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0"/>
        </w:rPr>
        <w:t>Mediator: Jurnal Komunikasi, Vol 17 (1), June 2026, pp. 1-22</w:t>
        <w:br/>
      </w:r>
      <w:r>
        <w:rPr>
          <w:rFonts w:ascii="Times New Roman" w:hAnsi="Times New Roman"/>
          <w:i/>
          <w:sz w:val="18"/>
        </w:rPr>
        <w:t>eISSN: 2581-0758 | pISSN: 1411-5883 | Terakreditasi SINTA 2 (SK No. 158/E/KPT/2021)</w:t>
      </w:r>
    </w:p>
    <w:p>
      <w:pPr>
        <w:spacing w:after="280"/>
      </w:pPr>
      <w:r>
        <w:rPr>
          <w:color w:val="8C8C8C"/>
          <w:sz w:val="20"/>
        </w:rPr>
        <w:t>――――――――――――――――――――――――――――――――――――――――――――――――――――――――――</w:t>
      </w:r>
    </w:p>
    <w:p>
      <w:pPr>
        <w:spacing w:after="240"/>
        <w:jc w:val="left"/>
      </w:pPr>
      <w:r>
        <w:rPr>
          <w:rFonts w:ascii="Times New Roman" w:hAnsi="Times New Roman"/>
          <w:b/>
          <w:sz w:val="32"/>
        </w:rPr>
        <w:t>Mapping Phygital Gap in Indonesia’s Free Nutritious Meal Crisis on X</w:t>
      </w:r>
    </w:p>
    <w:p>
      <w:pPr>
        <w:spacing w:after="120"/>
      </w:pPr>
      <w:r/>
      <w:r>
        <w:rPr>
          <w:rFonts w:ascii="Times New Roman" w:hAnsi="Times New Roman"/>
          <w:sz w:val="22"/>
        </w:rPr>
        <w:t>Indri Anjar Kartika Sari¹, Juwito², Catur Suratnoaji³</w:t>
        <w:br/>
        <w:t>¹,²,³ Program Studi Magister Ilmu Komunikasi, Fakultas Ilmu Sosial dan Ilmu Politik, Universitas Pembangunan Nasional 'Veteran' Jawa Timur, Surabaya, Indonesia</w:t>
        <w:br/>
        <w:t>Correspondence author: indrianjar@gmail.com</w:t>
      </w:r>
    </w:p>
    <w:tbl>
      <w:tblPr>
        <w:tblW w:type="auto" w:w="0"/>
        <w:jc w:val="center"/>
        <w:tblLayout w:type="fixed"/>
        <w:tblLook w:firstColumn="1" w:firstRow="1" w:lastColumn="0" w:lastRow="0" w:noHBand="0" w:noVBand="1" w:val="04A0"/>
      </w:tblPr>
      <w:tblGrid>
        <w:gridCol w:w="9029"/>
      </w:tblGrid>
      <w:tr>
        <w:tc>
          <w:tcPr>
            <w:tcW w:type="dxa" w:w="9029"/>
            <w:tcBorders>
              <w:left w:val="single" w:sz="18" w:space="0" w:color="000000"/>
              <w:bottom w:val="single" w:sz="8" w:space="0" w:color="000000"/>
            </w:tcBorders>
          </w:tcPr>
          <w:p>
            <w:pPr>
              <w:spacing w:line="240" w:lineRule="auto" w:after="120"/>
              <w:ind w:left="216" w:right="144"/>
            </w:pPr>
            <w:r>
              <w:rPr>
                <w:b/>
                <w:sz w:val="20"/>
              </w:rPr>
              <w:t xml:space="preserve">Abstract. </w:t>
            </w:r>
            <w:r>
              <w:rPr>
                <w:sz w:val="20"/>
              </w:rPr>
              <w:t>This study examines public affective resistance and network topology surrounding Indonesia’s Free Nutritious Meal (Makan Bergizi Gratis / MBG) program on Platform X. Responding to recent literature highlighting conflicting public sentiments regarding MBG implementation, this research applies an integrated computational communication approach bridging Philip Kotler’s Phygital Gap concept from Marketing 6.0 with Situational Crisis Communication Theory and Habermas’ public sphere. Analyzing an empirical corpus of 5,263 tweets and 3,395 sarcasm records, the study deploys fine-tuned IndoBERT for 9-class Plutchik emotion modeling, directed Social Network Analysis (SNA), and Aspect-Based Sentiment Analysis (ABSA). Findings reveal public discourse is overwhelmingly dominated by Disgust (56.24%), while Trust accounts for 20.39%. Lexical analysis validated 315 sarcastic tweets (9.28%) characterized by sharp text-emoji incongruity. SNA modeling (|V|=971, |E|=666) identified extreme hyper-fragmentation (modularity Q=0.9837; 332 clusters) and near-zero reciprocity (1.21%). While the primary policy authority (@prabowo) exhibited zero out-degree communication, an artificial intelligence agent (@grok) emerged as the dominant communicative oracle (out-degree=42). ABSA confirms public disgust concentrated specifically on operational breakdowns in logistics (78.91%), budgeting (77.01%), and nutrition (71.13%). This research demonstrates how the phygital gap precipitates acute communicative crises in public policy.</w:t>
            </w:r>
          </w:p>
          <w:p>
            <w:pPr>
              <w:spacing w:line="240" w:lineRule="auto" w:after="120"/>
              <w:ind w:left="216"/>
            </w:pPr>
            <w:r>
              <w:rPr>
                <w:b/>
                <w:sz w:val="20"/>
              </w:rPr>
              <w:t xml:space="preserve">Keywords: </w:t>
            </w:r>
            <w:r>
              <w:rPr>
                <w:i/>
                <w:sz w:val="20"/>
              </w:rPr>
              <w:t>phygital gap; free nutritious meal; computational communication; IndoBERT; social network analysis.</w:t>
            </w:r>
          </w:p>
        </w:tc>
      </w:tr>
    </w:tbl>
    <w:p>
      <w:pPr>
        <w:spacing w:after="160"/>
      </w:pPr>
    </w:p>
    <w:p>
      <w:pPr>
        <w:spacing w:before="280" w:after="120"/>
      </w:pPr>
      <w:r>
        <w:rPr>
          <w:rFonts w:ascii="Times New Roman" w:hAnsi="Times New Roman"/>
          <w:b/>
          <w:sz w:val="24"/>
        </w:rPr>
        <w:t>INTRODUCTION</w:t>
      </w:r>
    </w:p>
    <w:p>
      <w:pPr>
        <w:spacing w:line="240" w:lineRule="auto" w:after="120"/>
      </w:pPr>
      <w:r>
        <w:rPr>
          <w:rFonts w:ascii="Times New Roman" w:hAnsi="Times New Roman"/>
          <w:sz w:val="24"/>
        </w:rP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40" w:lineRule="auto" w:after="120"/>
      </w:pPr>
      <w:r/>
      <w:r>
        <w:rPr>
          <w:rFonts w:ascii="Times New Roman" w:hAnsi="Times New Roman"/>
          <w:sz w:val="22"/>
        </w:rPr>
        <w:t>A prime empirical manifestation of this dynamic occurred during the rollout of the Indonesian government's Free Nutritious Meal (</w:t>
      </w:r>
      <w:r>
        <w:rPr>
          <w:rFonts w:ascii="Times New Roman" w:hAnsi="Times New Roman"/>
          <w:i/>
          <w:sz w:val="22"/>
        </w:rPr>
        <w:t>Makan Bergizi Gratis</w:t>
      </w:r>
      <w:r>
        <w:rPr>
          <w:rFonts w:ascii="Times New Roman" w:hAnsi="Times New Roman"/>
          <w:sz w:val="22"/>
        </w:rPr>
        <w:t xml:space="preserve">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40" w:lineRule="auto" w:after="120"/>
      </w:pPr>
      <w:r/>
      <w:r>
        <w:rPr>
          <w:rFonts w:ascii="Times New Roman" w:hAnsi="Times New Roman"/>
          <w:sz w:val="22"/>
        </w:rPr>
        <w:t xml:space="preserve">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w:t>
      </w:r>
      <w:r>
        <w:rPr>
          <w:rFonts w:ascii="Times New Roman" w:hAnsi="Times New Roman"/>
          <w:i/>
          <w:sz w:val="22"/>
        </w:rPr>
        <w:t>'Menunya sangat mewah dan bergizi'</w:t>
      </w:r>
      <w:r>
        <w:rPr>
          <w:rFonts w:ascii="Times New Roman" w:hAnsi="Times New Roman"/>
          <w:sz w:val="22"/>
        </w:rPr>
        <w:t>)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spacing w:before="200" w:after="80"/>
      </w:pPr>
      <w:r/>
      <w:r>
        <w:rPr>
          <w:rFonts w:ascii="Times New Roman" w:hAnsi="Times New Roman"/>
          <w:sz w:val="22"/>
        </w:rPr>
        <w:t>1.1 Research Problem and Knowledge Gap</w:t>
        <w:br/>
        <w:t>Previous studies on Indonesian digital policy discourse exhibit four critical limitations:</w:t>
        <w:br/>
        <w:t xml:space="preserve">1. </w:t>
      </w:r>
      <w:r>
        <w:rPr>
          <w:rFonts w:ascii="Times New Roman" w:hAnsi="Times New Roman"/>
          <w:b/>
          <w:sz w:val="22"/>
        </w:rPr>
        <w:t>Binary Reductionism:</w:t>
      </w:r>
      <w:r>
        <w:rPr>
          <w:rFonts w:ascii="Times New Roman" w:hAnsi="Times New Roman"/>
          <w:sz w:val="22"/>
        </w:rPr>
        <w:t xml:space="preserve"> Most empirical studies rely on lexicon-based or basic machine learning classifiers (SVM, Naïve Bayes, LSTM) restricted to binary (positive/negative) or 3-class sentiment (Riza &amp; Charibaldi, 2021; Saputri et al., 2018). These models obscure granular emotional nuances—such as the vital distinction between </w:t>
      </w:r>
      <w:r>
        <w:rPr>
          <w:rFonts w:ascii="Times New Roman" w:hAnsi="Times New Roman"/>
          <w:i/>
          <w:sz w:val="22"/>
        </w:rPr>
        <w:t>Anger</w:t>
      </w:r>
      <w:r>
        <w:rPr>
          <w:rFonts w:ascii="Times New Roman" w:hAnsi="Times New Roman"/>
          <w:sz w:val="22"/>
        </w:rPr>
        <w:t xml:space="preserve"> (normative injustice) and </w:t>
      </w:r>
      <w:r>
        <w:rPr>
          <w:rFonts w:ascii="Times New Roman" w:hAnsi="Times New Roman"/>
          <w:i/>
          <w:sz w:val="22"/>
        </w:rPr>
        <w:t>Disgust</w:t>
      </w:r>
      <w:r>
        <w:rPr>
          <w:rFonts w:ascii="Times New Roman" w:hAnsi="Times New Roman"/>
          <w:sz w:val="22"/>
        </w:rPr>
        <w:t xml:space="preserve"> (visceral rejection of physical unhygienic conditions).</w:t>
        <w:br/>
        <w:t xml:space="preserve">2. </w:t>
      </w:r>
      <w:r>
        <w:rPr>
          <w:rFonts w:ascii="Times New Roman" w:hAnsi="Times New Roman"/>
          <w:b/>
          <w:sz w:val="22"/>
        </w:rPr>
        <w:t>Methodological Isolation:</w:t>
      </w:r>
      <w:r>
        <w:rPr>
          <w:rFonts w:ascii="Times New Roman" w:hAnsi="Times New Roman"/>
          <w:sz w:val="22"/>
        </w:rPr>
        <w:t xml:space="preserve"> NLP sentiment analyses are almost universally conducted in isolation from Social Network Analysis (SNA). Consequently, researchers observe </w:t>
      </w:r>
      <w:r>
        <w:rPr>
          <w:rFonts w:ascii="Times New Roman" w:hAnsi="Times New Roman"/>
          <w:i/>
          <w:sz w:val="22"/>
        </w:rPr>
        <w:t>what</w:t>
      </w:r>
      <w:r>
        <w:rPr>
          <w:rFonts w:ascii="Times New Roman" w:hAnsi="Times New Roman"/>
          <w:sz w:val="22"/>
        </w:rPr>
        <w:t xml:space="preserve"> is said without knowing </w:t>
      </w:r>
      <w:r>
        <w:rPr>
          <w:rFonts w:ascii="Times New Roman" w:hAnsi="Times New Roman"/>
          <w:i/>
          <w:sz w:val="22"/>
        </w:rPr>
        <w:t>who</w:t>
      </w:r>
      <w:r>
        <w:rPr>
          <w:rFonts w:ascii="Times New Roman" w:hAnsi="Times New Roman"/>
          <w:sz w:val="22"/>
        </w:rPr>
        <w:t xml:space="preserve"> occupies structural power, or they map </w:t>
      </w:r>
      <w:r>
        <w:rPr>
          <w:rFonts w:ascii="Times New Roman" w:hAnsi="Times New Roman"/>
          <w:i/>
          <w:sz w:val="22"/>
        </w:rPr>
        <w:t>who interacts with whom</w:t>
      </w:r>
      <w:r>
        <w:rPr>
          <w:rFonts w:ascii="Times New Roman" w:hAnsi="Times New Roman"/>
          <w:sz w:val="22"/>
        </w:rPr>
        <w:t xml:space="preserve"> without understanding the affective states animating the network clusters (Suaib &amp; Pratiwi, 2025; Sulafasyah, 2026).</w:t>
        <w:br/>
        <w:t xml:space="preserve">3. </w:t>
      </w:r>
      <w:r>
        <w:rPr>
          <w:rFonts w:ascii="Times New Roman" w:hAnsi="Times New Roman"/>
          <w:b/>
          <w:sz w:val="22"/>
        </w:rPr>
        <w:t>Absence of Pragmatic Sarcasm Modeling:</w:t>
      </w:r>
      <w:r>
        <w:rPr>
          <w:rFonts w:ascii="Times New Roman" w:hAnsi="Times New Roman"/>
          <w:sz w:val="22"/>
        </w:rPr>
        <w:t xml:space="preserve"> Digital communication research often treats sarcasm as statistical noise rather than an organized rhetorical counter-discourse rooted in pragmatic pretense (Grice, 1975; Clark &amp; Gerrig, 1984).</w:t>
        <w:br/>
        <w:t xml:space="preserve">4. </w:t>
      </w:r>
      <w:r>
        <w:rPr>
          <w:rFonts w:ascii="Times New Roman" w:hAnsi="Times New Roman"/>
          <w:b/>
          <w:sz w:val="22"/>
        </w:rPr>
        <w:t>Theoretical Decoupling:</w:t>
      </w:r>
      <w:r>
        <w:rPr>
          <w:rFonts w:ascii="Times New Roman" w:hAnsi="Times New Roman"/>
          <w:sz w:val="22"/>
        </w:rPr>
        <w:t xml:space="preserve"> Existing public relations and crisis communication models (e.g., Coombs' SCCT) have struggled to account for the hybrid physical-digital interface of modern social welfare policies. There is a lack of theoretical bridging between marketing frameworks of brand immersion and public policy crisis management.</w:t>
      </w:r>
    </w:p>
    <w:p>
      <w:pPr>
        <w:spacing w:before="200" w:after="80"/>
      </w:pPr>
      <w:r/>
      <w:r>
        <w:rPr>
          <w:rFonts w:ascii="Times New Roman" w:hAnsi="Times New Roman"/>
          <w:sz w:val="22"/>
        </w:rPr>
        <w:t>1.2 Theoretical and Methodological Novelty</w:t>
        <w:br/>
        <w:t xml:space="preserve">To resolve this knowledge gap, this study introduces a unified, tri-layer computational communication framework. Theoretically, we bridge Philip Kotler, Hermawan Kartajaya, and Iwan Setiawan's (2023) concept of the </w:t>
      </w:r>
      <w:r>
        <w:rPr>
          <w:rFonts w:ascii="Times New Roman" w:hAnsi="Times New Roman"/>
          <w:b/>
          <w:sz w:val="22"/>
        </w:rPr>
        <w:t>Phygital Gap</w:t>
      </w:r>
      <w:r>
        <w:rPr>
          <w:rFonts w:ascii="Times New Roman" w:hAnsi="Times New Roman"/>
          <w:sz w:val="22"/>
        </w:rPr>
        <w:t xml:space="preserve"> (from Marketing 6.0) into the domain of public administration and political communication. The </w:t>
      </w:r>
      <w:r>
        <w:rPr>
          <w:rFonts w:ascii="Times New Roman" w:hAnsi="Times New Roman"/>
          <w:i/>
          <w:sz w:val="22"/>
        </w:rPr>
        <w:t>Phygital Gap</w:t>
      </w:r>
      <w:r>
        <w:rPr>
          <w:rFonts w:ascii="Times New Roman" w:hAnsi="Times New Roman"/>
          <w:sz w:val="22"/>
        </w:rPr>
        <w:t xml:space="preserve"> posits that public dissatisfaction is triggered not by ideological rejection of a policy's digital vision, but by an intolerable chasm between digital promises (</w:t>
      </w:r>
      <w:r>
        <w:rPr>
          <w:rFonts w:ascii="Times New Roman" w:hAnsi="Times New Roman"/>
          <w:i/>
          <w:sz w:val="22"/>
        </w:rPr>
        <w:t>online narrative</w:t>
      </w:r>
      <w:r>
        <w:rPr>
          <w:rFonts w:ascii="Times New Roman" w:hAnsi="Times New Roman"/>
          <w:sz w:val="22"/>
        </w:rPr>
        <w:t>) and sensory physical reality (</w:t>
      </w:r>
      <w:r>
        <w:rPr>
          <w:rFonts w:ascii="Times New Roman" w:hAnsi="Times New Roman"/>
          <w:i/>
          <w:sz w:val="22"/>
        </w:rPr>
        <w:t>offline operational delivery</w:t>
      </w:r>
      <w:r>
        <w:rPr>
          <w:rFonts w:ascii="Times New Roman" w:hAnsi="Times New Roman"/>
          <w:sz w:val="22"/>
        </w:rPr>
        <w:t>).</w:t>
      </w:r>
    </w:p>
    <w:p>
      <w:pPr>
        <w:spacing w:line="240" w:lineRule="auto" w:after="120"/>
      </w:pPr>
      <w:r/>
      <w:r>
        <w:rPr>
          <w:rFonts w:ascii="Times New Roman" w:hAnsi="Times New Roman"/>
          <w:sz w:val="22"/>
        </w:rPr>
        <w:t>Methodologically, this paper integrates:</w:t>
        <w:br/>
        <w:t>- A fine-tuned, bidirectional transformer language model (indobenchmark/indobert-base-p2, Wilie et al., 2020) customized for 9 Plutchik-derived emotion classes.</w:t>
        <w:br/>
        <w:t>- An algorithmic rule-based sarcasm detector operationalizing lexical oppositions and text-emoji incongruity.</w:t>
        <w:br/>
        <w:t>- A directed graph topological analysis using NetworkX and the Louvain community detection algorithm (Blondel et al., 2008).</w:t>
        <w:br/>
        <w:t>- Thematic Aspect-Based Sentiment Analysis (ABSA) verifying affective concentration across physical operational pillars.</w:t>
      </w:r>
    </w:p>
    <w:p>
      <w:pPr>
        <w:spacing w:before="200" w:after="80"/>
      </w:pPr>
      <w:r/>
      <w:r>
        <w:rPr>
          <w:rFonts w:ascii="Times New Roman" w:hAnsi="Times New Roman"/>
          <w:sz w:val="22"/>
        </w:rPr>
        <w:t>1.3 Research Questions</w:t>
        <w:br/>
        <w:t>This investigation is guided by six hierarchical research questions (RQs):</w:t>
        <w:br/>
        <w:t xml:space="preserve">- </w:t>
      </w:r>
      <w:r>
        <w:rPr>
          <w:rFonts w:ascii="Times New Roman" w:hAnsi="Times New Roman"/>
          <w:b/>
          <w:sz w:val="22"/>
        </w:rPr>
        <w:t>RQ1:</w:t>
      </w:r>
      <w:r>
        <w:rPr>
          <w:rFonts w:ascii="Times New Roman" w:hAnsi="Times New Roman"/>
          <w:sz w:val="22"/>
        </w:rPr>
        <w:t xml:space="preserve"> How are public granular emotions distributed in the MBG discourse on Platform X when evaluated using a fine-tuned 9-class IndoBERT transformer?</w:t>
        <w:br/>
        <w:t xml:space="preserve">- </w:t>
      </w:r>
      <w:r>
        <w:rPr>
          <w:rFonts w:ascii="Times New Roman" w:hAnsi="Times New Roman"/>
          <w:b/>
          <w:sz w:val="22"/>
        </w:rPr>
        <w:t>RQ2:</w:t>
      </w:r>
      <w:r>
        <w:rPr>
          <w:rFonts w:ascii="Times New Roman" w:hAnsi="Times New Roman"/>
          <w:sz w:val="22"/>
        </w:rPr>
        <w:t xml:space="preserve"> How does digital sarcasm manifest pragmatically through lexical oppositions and emoji semiotic subversions in public critique?</w:t>
        <w:br/>
        <w:t xml:space="preserve">- </w:t>
      </w:r>
      <w:r>
        <w:rPr>
          <w:rFonts w:ascii="Times New Roman" w:hAnsi="Times New Roman"/>
          <w:b/>
          <w:sz w:val="22"/>
        </w:rPr>
        <w:t>RQ3:</w:t>
      </w:r>
      <w:r>
        <w:rPr>
          <w:rFonts w:ascii="Times New Roman" w:hAnsi="Times New Roman"/>
          <w:sz w:val="22"/>
        </w:rPr>
        <w:t xml:space="preserve"> What is the macro-topological structure of the interaction network, and does discourse polarize into binary camps or fracture into hyper-fragmented echo chambers?</w:t>
        <w:br/>
        <w:t xml:space="preserve">- </w:t>
      </w:r>
      <w:r>
        <w:rPr>
          <w:rFonts w:ascii="Times New Roman" w:hAnsi="Times New Roman"/>
          <w:b/>
          <w:sz w:val="22"/>
        </w:rPr>
        <w:t>RQ4:</w:t>
      </w:r>
      <w:r>
        <w:rPr>
          <w:rFonts w:ascii="Times New Roman" w:hAnsi="Times New Roman"/>
          <w:sz w:val="22"/>
        </w:rPr>
        <w:t xml:space="preserve"> Which actors occupy dominant structural centrality, and does an influence asymmetry exist between institutional policy authorities and alternative epistemic actors?</w:t>
        <w:br/>
        <w:t xml:space="preserve">- </w:t>
      </w:r>
      <w:r>
        <w:rPr>
          <w:rFonts w:ascii="Times New Roman" w:hAnsi="Times New Roman"/>
          <w:b/>
          <w:sz w:val="22"/>
        </w:rPr>
        <w:t>RQ5:</w:t>
      </w:r>
      <w:r>
        <w:rPr>
          <w:rFonts w:ascii="Times New Roman" w:hAnsi="Times New Roman"/>
          <w:sz w:val="22"/>
        </w:rPr>
        <w:t xml:space="preserve"> How does the fine-tuned IndoBERT model perform across imbalanced social media classes, and what linguistic factors govern classification boundaries?</w:t>
        <w:br/>
        <w:t xml:space="preserve">- </w:t>
      </w:r>
      <w:r>
        <w:rPr>
          <w:rFonts w:ascii="Times New Roman" w:hAnsi="Times New Roman"/>
          <w:b/>
          <w:sz w:val="22"/>
        </w:rPr>
        <w:t>RQ6:</w:t>
      </w:r>
      <w:r>
        <w:rPr>
          <w:rFonts w:ascii="Times New Roman" w:hAnsi="Times New Roman"/>
          <w:sz w:val="22"/>
        </w:rPr>
        <w:t xml:space="preserve"> How does aspect-based affective distribution across logistics, budgeting, and food nutrition empirically substantiate the </w:t>
      </w:r>
      <w:r>
        <w:rPr>
          <w:rFonts w:ascii="Times New Roman" w:hAnsi="Times New Roman"/>
          <w:i/>
          <w:sz w:val="22"/>
        </w:rPr>
        <w:t>Phygital Gap</w:t>
      </w:r>
      <w:r>
        <w:rPr>
          <w:rFonts w:ascii="Times New Roman" w:hAnsi="Times New Roman"/>
          <w:sz w:val="22"/>
        </w:rPr>
        <w:t xml:space="preserve"> thesis?</w:t>
      </w:r>
    </w:p>
    <w:p>
      <w:pPr>
        <w:spacing w:line="240" w:lineRule="auto" w:after="120"/>
      </w:pPr>
      <w:r>
        <w:rPr>
          <w:rFonts w:ascii="Times New Roman" w:hAnsi="Times New Roman"/>
          <w:sz w:val="24"/>
        </w:rPr>
        <w:t>---</w:t>
      </w:r>
    </w:p>
    <w:p>
      <w:pPr>
        <w:spacing w:line="240" w:lineRule="auto" w:after="120"/>
      </w:pPr>
      <w:r>
        <w:rPr>
          <w:rFonts w:ascii="Times New Roman" w:hAnsi="Times New Roman"/>
          <w:sz w:val="24"/>
        </w:rPr>
        <w:t>A closer examination of the 30 empirical studies synthesized by Mediator Editorial Team (2026) reveals a persistent methodological pattern: the majority of prior investigations utilized shallow lexicon-based sentiment approaches (e.g., InSet, VADER) or baseline supervised classifiers such as Multinomial Naive Bayes and Support Vector Machines applied to small, single-event datasets. While these conventional methods successfully registered surface keywords relating to nutritional benefits and presidential policy initiatives, they consistently failed to decode the pragmatic subversion characteristic of contemporary Indonesian digital slang. Consequently, prior scholarship over-indexed on positive valences, failing to recognize that expressions of apparent gratitude were frequently serving as vehicles for severe socio-economic critique. By moving beyond algorithmic surface features and examining granular affective architectures, this study resolves the apparent contradiction identified in the literature, explaining how superficial praise coexists with pervasive institutional distrust.</w:t>
      </w:r>
    </w:p>
    <w:p>
      <w:pPr>
        <w:spacing w:before="200" w:after="80"/>
      </w:pPr>
      <w:r>
        <w:rPr>
          <w:rFonts w:ascii="Times New Roman" w:hAnsi="Times New Roman"/>
          <w:b/>
          <w:i/>
          <w:sz w:val="22"/>
        </w:rPr>
        <w:t>2.1 Situational Crisis Communication Theory (SCCT) and Networked Crises</w:t>
        <w:b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spacing w:before="200" w:after="80"/>
      </w:pPr>
      <w:r/>
      <w:r>
        <w:rPr>
          <w:rFonts w:ascii="Times New Roman" w:hAnsi="Times New Roman"/>
          <w:sz w:val="22"/>
        </w:rPr>
        <w:t>2.2 The Structural Transformation of the Digital Public Sphere</w:t>
        <w:b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spacing w:before="200" w:after="80"/>
      </w:pPr>
      <w:r/>
      <w:r>
        <w:rPr>
          <w:rFonts w:ascii="Times New Roman" w:hAnsi="Times New Roman"/>
          <w:sz w:val="22"/>
        </w:rPr>
        <w:t>2.3 Pretense Theory and Semiotic Subversion in Sarcasm</w:t>
        <w:br/>
        <w:t xml:space="preserve">Sarcasm in digital communication cannot be deciphered through literal semantic decoding. According to Clark and Gerrig's (1984) </w:t>
      </w:r>
      <w:r>
        <w:rPr>
          <w:rFonts w:ascii="Times New Roman" w:hAnsi="Times New Roman"/>
          <w:i/>
          <w:sz w:val="22"/>
        </w:rPr>
        <w:t>Pretense Theory</w:t>
      </w:r>
      <w:r>
        <w:rPr>
          <w:rFonts w:ascii="Times New Roman" w:hAnsi="Times New Roman"/>
          <w:sz w:val="22"/>
        </w:rPr>
        <w:t xml:space="preserve">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spacing w:before="200" w:after="80"/>
      </w:pPr>
      <w:r/>
      <w:r>
        <w:rPr>
          <w:rFonts w:ascii="Times New Roman" w:hAnsi="Times New Roman"/>
          <w:sz w:val="22"/>
        </w:rPr>
        <w:t>2.4 Marketing 6.0 and the 'Phygital Gap' in Public Governance</w:t>
        <w:br/>
        <w:t xml:space="preserve">Philip Kotler, Hermawan Kartajaya, and Iwan Setiawan (2023) introduced Marketing 6.0 to define the imperative of delivering seamless </w:t>
      </w:r>
      <w:r>
        <w:rPr>
          <w:rFonts w:ascii="Times New Roman" w:hAnsi="Times New Roman"/>
          <w:i/>
          <w:sz w:val="22"/>
        </w:rPr>
        <w:t>phygital</w:t>
      </w:r>
      <w:r>
        <w:rPr>
          <w:rFonts w:ascii="Times New Roman" w:hAnsi="Times New Roman"/>
          <w:sz w:val="22"/>
        </w:rPr>
        <w:t xml:space="preserve"> (physical-digital) customer experiences through sensory immersion. While formulated for commercial marketing, this study argues that the </w:t>
      </w:r>
      <w:r>
        <w:rPr>
          <w:rFonts w:ascii="Times New Roman" w:hAnsi="Times New Roman"/>
          <w:i/>
          <w:sz w:val="22"/>
        </w:rPr>
        <w:t>Phygital Gap</w:t>
      </w:r>
      <w:r>
        <w:rPr>
          <w:rFonts w:ascii="Times New Roman" w:hAnsi="Times New Roman"/>
          <w:sz w:val="22"/>
        </w:rPr>
        <w:t xml:space="preserve"> possesses immense explanatory power for state governance. When government social media accounts portray a program through pristine, high-resolution digital media (</w:t>
      </w:r>
      <w:r>
        <w:rPr>
          <w:rFonts w:ascii="Times New Roman" w:hAnsi="Times New Roman"/>
          <w:i/>
          <w:sz w:val="22"/>
        </w:rPr>
        <w:t>digital perfection</w:t>
      </w:r>
      <w:r>
        <w:rPr>
          <w:rFonts w:ascii="Times New Roman" w:hAnsi="Times New Roman"/>
          <w:sz w:val="22"/>
        </w:rPr>
        <w:t>), but citizens encounter rancid food, meager portions, or unhygienic distribution (</w:t>
      </w:r>
      <w:r>
        <w:rPr>
          <w:rFonts w:ascii="Times New Roman" w:hAnsi="Times New Roman"/>
          <w:i/>
          <w:sz w:val="22"/>
        </w:rPr>
        <w:t>physical failure</w:t>
      </w:r>
      <w:r>
        <w:rPr>
          <w:rFonts w:ascii="Times New Roman" w:hAnsi="Times New Roman"/>
          <w:sz w:val="22"/>
        </w:rPr>
        <w:t>), cognitive dissonance erupts. The resulting public backlash is not directed at the abstract policy concept, but at the breach of sensory contract between the state's digital marketing and physical reality.</w:t>
      </w:r>
    </w:p>
    <w:p>
      <w:pPr>
        <w:spacing w:before="200" w:after="80"/>
      </w:pPr>
      <w:r/>
      <w:r>
        <w:rPr>
          <w:rFonts w:ascii="Times New Roman" w:hAnsi="Times New Roman"/>
          <w:sz w:val="22"/>
        </w:rPr>
        <w:t>2.5 Transformer Language Models and IndoBERT</w:t>
        <w:b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40" w:lineRule="auto" w:after="120"/>
      </w:pPr>
      <w:r>
        <w:rPr>
          <w:rFonts w:ascii="Times New Roman" w:hAnsi="Times New Roman"/>
          <w:sz w:val="24"/>
        </w:rPr>
        <w:t>---</w:t>
      </w:r>
    </w:p>
    <w:p>
      <w:pPr>
        <w:spacing w:before="280" w:after="120"/>
      </w:pPr>
      <w:r>
        <w:rPr>
          <w:rFonts w:ascii="Times New Roman" w:hAnsi="Times New Roman"/>
          <w:b/>
          <w:sz w:val="24"/>
        </w:rPr>
        <w:t>RESEARCH METHOD</w:t>
      </w:r>
    </w:p>
    <w:p>
      <w:pPr>
        <w:spacing w:before="200" w:after="80"/>
      </w:pPr>
      <w:r/>
      <w:r>
        <w:rPr>
          <w:rFonts w:ascii="Times New Roman" w:hAnsi="Times New Roman"/>
          <w:sz w:val="22"/>
        </w:rPr>
        <w:t>3.1 Research Design</w:t>
        <w:br/>
        <w:t>This study employs a quantitative computational social science (CSS) design combined with qualitative rhetorical deconstruction. The research pipeline progresses through four synchronized analytical stages:</w:t>
        <w:br/>
        <w:t>1. Natural Language Processing via transformer fine-tuning for 9-class emotion modeling (indobert_9_emosi_fixed.csv, $N = 5,263$).</w:t>
        <w:br/>
        <w:t>2. Algorithmic rule-based sarcasm validation (dataset_sindiran_valid.csv, $N = 3,395$).</w:t>
        <w:br/>
        <w:t>3. Directed Social Network Analysis (network_edges.csv, $|V| = 971$, $|E| = 666$).</w:t>
        <w:br/>
        <w:t>4. Thematic Aspect-Based Sentiment Analysis (absa_results.csv, 3 operational pillars).</w:t>
      </w:r>
    </w:p>
    <w:p>
      <w:pPr>
        <w:spacing w:before="200" w:after="80"/>
      </w:pPr>
      <w:r/>
      <w:r>
        <w:rPr>
          <w:rFonts w:ascii="Times New Roman" w:hAnsi="Times New Roman"/>
          <w:sz w:val="22"/>
        </w:rPr>
        <w:t>3.2 Corpus Acquisition and Preprocessing</w:t>
        <w:br/>
        <w:t>Data was collected from Platform X between January and March 2026 utilizing search queries targeted at the MBG discourse: #MakanBergiziGratis, Program MBG, menu MBG, keracunan MBG, and anggaran MBG. A raw corpus of $N = 5,310$ tweets was captured.</w:t>
      </w:r>
    </w:p>
    <w:p>
      <w:pPr>
        <w:spacing w:line="240" w:lineRule="auto" w:after="120"/>
      </w:pPr>
      <w:r/>
      <w:r>
        <w:rPr>
          <w:rFonts w:ascii="Times New Roman" w:hAnsi="Times New Roman"/>
          <w:sz w:val="22"/>
        </w:rPr>
        <w:t>Preprocessing was implemented in Python using regular expressions and custom Indonesian linguistic dictionaries:</w:t>
        <w:br/>
        <w:t xml:space="preserve">- </w:t>
      </w:r>
      <w:r>
        <w:rPr>
          <w:rFonts w:ascii="Times New Roman" w:hAnsi="Times New Roman"/>
          <w:b/>
          <w:sz w:val="22"/>
        </w:rPr>
        <w:t>Denoising:</w:t>
      </w:r>
      <w:r>
        <w:rPr>
          <w:rFonts w:ascii="Times New Roman" w:hAnsi="Times New Roman"/>
          <w:sz w:val="22"/>
        </w:rPr>
        <w:t xml:space="preserve"> Stripping URLs, redundant white spaces, punctuation cascades, and platform metadata artifacts.</w:t>
        <w:br/>
        <w:t xml:space="preserve">- </w:t>
      </w:r>
      <w:r>
        <w:rPr>
          <w:rFonts w:ascii="Times New Roman" w:hAnsi="Times New Roman"/>
          <w:b/>
          <w:sz w:val="22"/>
        </w:rPr>
        <w:t>Entity Preservation:</w:t>
      </w:r>
      <w:r>
        <w:rPr>
          <w:rFonts w:ascii="Times New Roman" w:hAnsi="Times New Roman"/>
          <w:sz w:val="22"/>
        </w:rPr>
        <w:t xml:space="preserve"> Extracting user mentions (@username) for network edge formulation prior to text masking.</w:t>
        <w:br/>
        <w:t xml:space="preserve">- </w:t>
      </w:r>
      <w:r>
        <w:rPr>
          <w:rFonts w:ascii="Times New Roman" w:hAnsi="Times New Roman"/>
          <w:b/>
          <w:sz w:val="22"/>
        </w:rPr>
        <w:t>Emoji Demarcation:</w:t>
      </w:r>
      <w:r>
        <w:rPr>
          <w:rFonts w:ascii="Times New Roman" w:hAnsi="Times New Roman"/>
          <w:sz w:val="22"/>
        </w:rPr>
        <w:t xml:space="preserve"> Converting raw UTF-8 emoji glyphs into semantic text descriptors (e.g., 🤡 to :clown_face:, 🤮 to :vomiting_face:) to preserve pragmatic sentiment valence.</w:t>
        <w:br/>
        <w:t xml:space="preserve">- </w:t>
      </w:r>
      <w:r>
        <w:rPr>
          <w:rFonts w:ascii="Times New Roman" w:hAnsi="Times New Roman"/>
          <w:b/>
          <w:sz w:val="22"/>
        </w:rPr>
        <w:t>Slang Normalization:</w:t>
      </w:r>
      <w:r>
        <w:rPr>
          <w:rFonts w:ascii="Times New Roman" w:hAnsi="Times New Roman"/>
          <w:sz w:val="22"/>
        </w:rPr>
        <w:t xml:space="preserve"> Replacing non-standard conversational slang (</w:t>
      </w:r>
      <w:r>
        <w:rPr>
          <w:rFonts w:ascii="Times New Roman" w:hAnsi="Times New Roman"/>
          <w:i/>
          <w:sz w:val="22"/>
        </w:rPr>
        <w:t>kata gaul/singkatan</w:t>
      </w:r>
      <w:r>
        <w:rPr>
          <w:rFonts w:ascii="Times New Roman" w:hAnsi="Times New Roman"/>
          <w:sz w:val="22"/>
        </w:rPr>
        <w:t>) with standard formal lemmas using a curated Indonesian informal lexicon (</w:t>
      </w:r>
      <w:r>
        <w:rPr>
          <w:rFonts w:ascii="Times New Roman" w:hAnsi="Times New Roman"/>
          <w:i/>
          <w:sz w:val="22"/>
        </w:rPr>
        <w:t>e.g., 'bgt' to 'banget', 'bener2' to 'benar-benar'</w:t>
      </w:r>
      <w:r>
        <w:rPr>
          <w:rFonts w:ascii="Times New Roman" w:hAnsi="Times New Roman"/>
          <w:sz w:val="22"/>
        </w:rPr>
        <w:t xml:space="preserve">, </w:t>
      </w:r>
      <w:r>
        <w:rPr>
          <w:rFonts w:ascii="Times New Roman" w:hAnsi="Times New Roman"/>
          <w:i/>
          <w:sz w:val="22"/>
        </w:rPr>
        <w:t>'ancur' to 'hancur'</w:t>
      </w:r>
      <w:r>
        <w:rPr>
          <w:rFonts w:ascii="Times New Roman" w:hAnsi="Times New Roman"/>
          <w:sz w:val="22"/>
        </w:rPr>
        <w:t>).</w:t>
        <w:br/>
        <w:t xml:space="preserve">- </w:t>
      </w:r>
      <w:r>
        <w:rPr>
          <w:rFonts w:ascii="Times New Roman" w:hAnsi="Times New Roman"/>
          <w:b/>
          <w:sz w:val="22"/>
        </w:rPr>
        <w:t>Deduplication:</w:t>
      </w:r>
      <w:r>
        <w:rPr>
          <w:rFonts w:ascii="Times New Roman" w:hAnsi="Times New Roman"/>
          <w:sz w:val="22"/>
        </w:rPr>
        <w:t xml:space="preserve"> Removing exact duplicate retweets, resulting in a clean corpus of $N = 5,309$ records (data/processed/data_clean.csv), which was subsequently filtered to $N = 5,263$ high-integrity tweets for final inference.</w:t>
      </w:r>
    </w:p>
    <w:p>
      <w:pPr>
        <w:spacing w:before="200" w:after="80"/>
      </w:pPr>
      <w:r/>
      <w:r>
        <w:rPr>
          <w:rFonts w:ascii="Times New Roman" w:hAnsi="Times New Roman"/>
          <w:sz w:val="22"/>
        </w:rPr>
        <w:t>3.3 Fine-Tuning IndoBERT for 9 Granular Emotions</w:t>
        <w:br/>
        <w:t xml:space="preserve">We adapted Robert Plutchik's psycho-evolutionary emotion taxonomy into 9 operational classes: </w:t>
      </w:r>
      <w:r>
        <w:rPr>
          <w:rFonts w:ascii="Times New Roman" w:hAnsi="Times New Roman"/>
          <w:i/>
          <w:sz w:val="22"/>
        </w:rPr>
        <w:t>Disgust (Jijik), Trust (Percaya), Neutral (Netral), Anticipation (Antisipasi/Tertarik), Anger (Marah), Sadness (Sedih), Joy (Senang), Surprise (Terkejut), and Fear (Takut)</w:t>
      </w:r>
      <w:r>
        <w:rPr>
          <w:rFonts w:ascii="Times New Roman" w:hAnsi="Times New Roman"/>
          <w:sz w:val="22"/>
        </w:rPr>
        <w:t>.</w:t>
      </w:r>
    </w:p>
    <w:p>
      <w:pPr>
        <w:spacing w:line="240" w:lineRule="auto" w:after="120"/>
      </w:pPr>
      <w:r/>
      <w:r>
        <w:rPr>
          <w:rFonts w:ascii="Times New Roman" w:hAnsi="Times New Roman"/>
          <w:sz w:val="22"/>
        </w:rPr>
        <w:t xml:space="preserve">- </w:t>
      </w:r>
      <w:r>
        <w:rPr>
          <w:rFonts w:ascii="Times New Roman" w:hAnsi="Times New Roman"/>
          <w:b/>
          <w:sz w:val="22"/>
        </w:rPr>
        <w:t>Base Architecture:</w:t>
      </w:r>
      <w:r>
        <w:rPr>
          <w:rFonts w:ascii="Times New Roman" w:hAnsi="Times New Roman"/>
          <w:sz w:val="22"/>
        </w:rPr>
        <w:t xml:space="preserve"> indobenchmark/indobert-base-p2 (12 transformer layers, 768 hidden dimensions, 12 self-attention heads, 124.5 million parameters).</w:t>
        <w:br/>
        <w:t xml:space="preserve">- </w:t>
      </w:r>
      <w:r>
        <w:rPr>
          <w:rFonts w:ascii="Times New Roman" w:hAnsi="Times New Roman"/>
          <w:b/>
          <w:sz w:val="22"/>
        </w:rPr>
        <w:t>Dataset Partitioning:</w:t>
      </w:r>
      <w:r>
        <w:rPr>
          <w:rFonts w:ascii="Times New Roman" w:hAnsi="Times New Roman"/>
          <w:sz w:val="22"/>
        </w:rPr>
        <w:t xml:space="preserve"> Stratified splitting of annotated data into 80% training set ($N = 4,210$) and 20% independent holdout test set ($n = 1,053$).</w:t>
        <w:br/>
        <w:t xml:space="preserve">- </w:t>
      </w:r>
      <w:r>
        <w:rPr>
          <w:rFonts w:ascii="Times New Roman" w:hAnsi="Times New Roman"/>
          <w:b/>
          <w:sz w:val="22"/>
        </w:rPr>
        <w:t>Hyperparameter Specifications:</w:t>
      </w:r>
      <w:r>
        <w:rPr>
          <w:rFonts w:ascii="Times New Roman" w:hAnsi="Times New Roman"/>
          <w:sz w:val="22"/>
        </w:rPr>
        <w:br/>
        <w:t xml:space="preserve">  - Optimizer: AdamW with weight decay $\lambda = 0.01$.</w:t>
        <w:br/>
        <w:t xml:space="preserve">  - Learning Rate: $\eta = 2 </w:t>
        <w:tab/>
        <w:t>imes 10^{-5}$ with linear learning rate warmup.</w:t>
        <w:br/>
        <w:t xml:space="preserve">  - Batch Size: 16 per device.</w:t>
        <w:br/>
        <w:t xml:space="preserve">  - Epochs: 3 epochs (following Devlin et al., 2018 and Wilie et al., 2020 to prevent catastrophic forgetting and overfitting).</w:t>
        <w:br/>
        <w:t xml:space="preserve">  - Maximum Sequence Length: 128 tokens.</w:t>
        <w:br/>
        <w:t xml:space="preserve">  - Checkpoint Selection: Evaluated per epoch; optimal weights extracted at step 792 (checkpoint-792).</w:t>
      </w:r>
    </w:p>
    <w:p>
      <w:pPr>
        <w:spacing w:before="200" w:after="80"/>
      </w:pPr>
      <w:r/>
      <w:r>
        <w:rPr>
          <w:rFonts w:ascii="Times New Roman" w:hAnsi="Times New Roman"/>
          <w:sz w:val="22"/>
        </w:rPr>
        <w:t>3.4 Pragmatic Sarcasm Validation Algorithm</w:t>
        <w:br/>
        <w:t>Sarcasm detection was operationalized on a dedicated corpus of $N = 3,395$ tweets. An algorithmic rule-based matcher evaluated tweets based on two formal linguistic criteria:</w:t>
        <w:br/>
        <w:t>Tweets matching combinations of praise adjectives with complaint context, or positive polarity text with derisive emojis, were flagged and subjected to manual inter-annotator verification, yielding 315 validated sarcastic tweets ($9.28\%$).</w:t>
      </w:r>
    </w:p>
    <w:p>
      <w:pPr>
        <w:spacing w:before="200" w:after="80"/>
      </w:pPr>
      <w:r/>
      <w:r>
        <w:rPr>
          <w:rFonts w:ascii="Times New Roman" w:hAnsi="Times New Roman"/>
          <w:sz w:val="22"/>
        </w:rPr>
        <w:t>3.5 Social Network Modeling and Community Partitions</w:t>
        <w:b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spacing w:line="240" w:lineRule="auto" w:after="120"/>
      </w:pPr>
      <w:r/>
      <w:r>
        <w:rPr>
          <w:rFonts w:ascii="Times New Roman" w:hAnsi="Times New Roman"/>
          <w:sz w:val="22"/>
        </w:rPr>
        <w:t xml:space="preserve">- </w:t>
      </w:r>
      <w:r>
        <w:rPr>
          <w:rFonts w:ascii="Times New Roman" w:hAnsi="Times New Roman"/>
          <w:b/>
          <w:sz w:val="22"/>
        </w:rPr>
        <w:t>Structural Centrality:</w:t>
      </w:r>
      <w:r>
        <w:rPr>
          <w:rFonts w:ascii="Times New Roman" w:hAnsi="Times New Roman"/>
          <w:sz w:val="22"/>
        </w:rPr>
        <w:br/>
        <w:t xml:space="preserve">  - </w:t>
      </w:r>
      <w:r>
        <w:rPr>
          <w:rFonts w:ascii="Times New Roman" w:hAnsi="Times New Roman"/>
          <w:i/>
          <w:sz w:val="22"/>
        </w:rPr>
        <w:t>In-Degree Centrality ($C_{</w:t>
        <w:tab/>
        <w:t>ext{in}}(v)$):</w:t>
      </w:r>
      <w:r>
        <w:rPr>
          <w:rFonts w:ascii="Times New Roman" w:hAnsi="Times New Roman"/>
          <w:sz w:val="22"/>
        </w:rPr>
        <w:t xml:space="preserve"> Quantifies prestige and attention received.</w:t>
        <w:br/>
        <w:t xml:space="preserve">  - </w:t>
      </w:r>
      <w:r>
        <w:rPr>
          <w:rFonts w:ascii="Times New Roman" w:hAnsi="Times New Roman"/>
          <w:i/>
          <w:sz w:val="22"/>
        </w:rPr>
        <w:t>Out-Degree Centrality ($C_{</w:t>
        <w:tab/>
        <w:t>ext{out}}(v)$):</w:t>
      </w:r>
      <w:r>
        <w:rPr>
          <w:rFonts w:ascii="Times New Roman" w:hAnsi="Times New Roman"/>
          <w:sz w:val="22"/>
        </w:rPr>
        <w:t xml:space="preserve"> Quantifies active communicative broadcasting.</w:t>
        <w:br/>
        <w:t xml:space="preserve">  - </w:t>
      </w:r>
      <w:r>
        <w:rPr>
          <w:rFonts w:ascii="Times New Roman" w:hAnsi="Times New Roman"/>
          <w:i/>
          <w:sz w:val="22"/>
        </w:rPr>
        <w:t>Betweenness Centrality ($C_B(v)$):</w:t>
      </w:r>
      <w:r>
        <w:rPr>
          <w:rFonts w:ascii="Times New Roman" w:hAnsi="Times New Roman"/>
          <w:sz w:val="22"/>
        </w:rPr>
        <w:t xml:space="preserve"> Identifies structural brokers bridging otherwise disconnected clusters.</w:t>
        <w:br/>
        <w:t xml:space="preserve">- </w:t>
      </w:r>
      <w:r>
        <w:rPr>
          <w:rFonts w:ascii="Times New Roman" w:hAnsi="Times New Roman"/>
          <w:b/>
          <w:sz w:val="22"/>
        </w:rPr>
        <w:t>Community Detection:</w:t>
      </w:r>
      <w:r>
        <w:rPr>
          <w:rFonts w:ascii="Times New Roman" w:hAnsi="Times New Roman"/>
          <w:sz w:val="22"/>
        </w:rPr>
        <w:t xml:space="preserve"> Modularity optimization using the Louvain heuristic algorithm (Blondel et al., 2008).</w:t>
      </w:r>
    </w:p>
    <w:p>
      <w:pPr>
        <w:spacing w:before="200" w:after="80"/>
      </w:pPr>
      <w:r/>
      <w:r>
        <w:rPr>
          <w:rFonts w:ascii="Times New Roman" w:hAnsi="Times New Roman"/>
          <w:sz w:val="22"/>
        </w:rPr>
        <w:t>3.6 Thematic Aspect-Based Sentiment Analysis (ABSA)</w:t>
        <w:br/>
        <w:t xml:space="preserve">To measure the </w:t>
      </w:r>
      <w:r>
        <w:rPr>
          <w:rFonts w:ascii="Times New Roman" w:hAnsi="Times New Roman"/>
          <w:i/>
          <w:sz w:val="22"/>
        </w:rPr>
        <w:t>Phygital Gap</w:t>
      </w:r>
      <w:r>
        <w:rPr>
          <w:rFonts w:ascii="Times New Roman" w:hAnsi="Times New Roman"/>
          <w:sz w:val="22"/>
        </w:rPr>
        <w:t>, tweets were mapped into three operational pillars of the MBG program using domain-specific lexical expansion:</w:t>
        <w:br/>
        <w:t xml:space="preserve">1. </w:t>
      </w:r>
      <w:r>
        <w:rPr>
          <w:rFonts w:ascii="Times New Roman" w:hAnsi="Times New Roman"/>
          <w:b/>
          <w:sz w:val="22"/>
        </w:rPr>
        <w:t>Logistics &amp; Distribution:</w:t>
      </w:r>
      <w:r>
        <w:rPr>
          <w:rFonts w:ascii="Times New Roman" w:hAnsi="Times New Roman"/>
          <w:sz w:val="22"/>
        </w:rPr>
        <w:t xml:space="preserve"> keywords related to delivery delays, cold food, vendor packaging, and distribution timing.</w:t>
        <w:br/>
        <w:t xml:space="preserve">2. </w:t>
      </w:r>
      <w:r>
        <w:rPr>
          <w:rFonts w:ascii="Times New Roman" w:hAnsi="Times New Roman"/>
          <w:b/>
          <w:sz w:val="22"/>
        </w:rPr>
        <w:t>Budget &amp; Vendor Allocation:</w:t>
      </w:r>
      <w:r>
        <w:rPr>
          <w:rFonts w:ascii="Times New Roman" w:hAnsi="Times New Roman"/>
          <w:sz w:val="22"/>
        </w:rPr>
        <w:t xml:space="preserve"> keywords related to per-meal unit costs (e.g., Rp15.000 vs Rp10.000), corruption, tender transparency, and supplier markups.</w:t>
        <w:br/>
        <w:t xml:space="preserve">3. </w:t>
      </w:r>
      <w:r>
        <w:rPr>
          <w:rFonts w:ascii="Times New Roman" w:hAnsi="Times New Roman"/>
          <w:b/>
          <w:sz w:val="22"/>
        </w:rPr>
        <w:t>Food Nutritional Quality:</w:t>
      </w:r>
      <w:r>
        <w:rPr>
          <w:rFonts w:ascii="Times New Roman" w:hAnsi="Times New Roman"/>
          <w:sz w:val="22"/>
        </w:rPr>
        <w:t xml:space="preserve"> keywords related to taste, spoiled milk, rotten fruit, small portion sizes, and hygienic safety.</w:t>
        <w:br/>
        <w:t>Affective distributions were calculated across each aspect to verify where public disgust concentrated.</w:t>
      </w:r>
    </w:p>
    <w:p>
      <w:pPr>
        <w:spacing w:line="240" w:lineRule="auto" w:after="120"/>
      </w:pPr>
      <w:r>
        <w:rPr>
          <w:rFonts w:ascii="Times New Roman" w:hAnsi="Times New Roman"/>
          <w:sz w:val="24"/>
        </w:rPr>
        <w:t>---</w:t>
      </w:r>
    </w:p>
    <w:p>
      <w:pPr>
        <w:spacing w:before="280" w:after="120"/>
      </w:pPr>
      <w:r>
        <w:rPr>
          <w:rFonts w:ascii="Times New Roman" w:hAnsi="Times New Roman"/>
          <w:b/>
          <w:sz w:val="24"/>
        </w:rPr>
        <w:t>RESULTS AND DISCUSSION</w:t>
      </w:r>
    </w:p>
    <w:p>
      <w:pPr>
        <w:spacing w:before="200" w:after="80"/>
      </w:pPr>
      <w:r/>
      <w:r>
        <w:rPr>
          <w:rFonts w:ascii="Times New Roman" w:hAnsi="Times New Roman"/>
          <w:sz w:val="22"/>
        </w:rPr>
        <w:t>4.1 Granular Emotion Distribution (IndoBERT Inference)</w:t>
        <w:br/>
        <w:t>Inference across the complete corpus ($N = 5,263$) established an overwhelming concentration of negative visceral affect:</w:t>
      </w:r>
    </w:p>
    <w:p>
      <w:pPr>
        <w:spacing w:line="240" w:lineRule="auto" w:after="120"/>
      </w:pPr>
      <w:r/>
      <w:r>
        <w:rPr>
          <w:rFonts w:ascii="Times New Roman" w:hAnsi="Times New Roman"/>
          <w:sz w:val="22"/>
        </w:rPr>
        <w:t xml:space="preserve">The distribution demonstrates that public opposition to the MBG program is not driven by generalized ideological </w:t>
      </w:r>
      <w:r>
        <w:rPr>
          <w:rFonts w:ascii="Times New Roman" w:hAnsi="Times New Roman"/>
          <w:i/>
          <w:sz w:val="22"/>
        </w:rPr>
        <w:t>Anger</w:t>
      </w:r>
      <w:r>
        <w:rPr>
          <w:rFonts w:ascii="Times New Roman" w:hAnsi="Times New Roman"/>
          <w:sz w:val="22"/>
        </w:rPr>
        <w:t xml:space="preserve"> ($1.05\%$), but by visceral physical </w:t>
      </w:r>
      <w:r>
        <w:rPr>
          <w:rFonts w:ascii="Times New Roman" w:hAnsi="Times New Roman"/>
          <w:i/>
          <w:sz w:val="22"/>
        </w:rPr>
        <w:t>Disgust</w:t>
      </w:r>
      <w:r>
        <w:rPr>
          <w:rFonts w:ascii="Times New Roman" w:hAnsi="Times New Roman"/>
          <w:sz w:val="22"/>
        </w:rPr>
        <w:t xml:space="preserve"> ($56.24\%$).</w:t>
      </w:r>
    </w:p>
    <w:p>
      <w:pPr>
        <w:spacing w:before="200" w:after="80"/>
      </w:pPr>
      <w:r/>
      <w:r>
        <w:rPr>
          <w:rFonts w:ascii="Times New Roman" w:hAnsi="Times New Roman"/>
          <w:sz w:val="22"/>
        </w:rPr>
        <w:t>4.2 Sarcasm and Pragmatic Semiotic Subversion</w:t>
        <w:br/>
        <w:t xml:space="preserve">Analysis of the validated sarcasm corpus ($N = 3,395$) verified that </w:t>
      </w:r>
      <w:r>
        <w:rPr>
          <w:rFonts w:ascii="Times New Roman" w:hAnsi="Times New Roman"/>
          <w:b/>
          <w:sz w:val="22"/>
        </w:rPr>
        <w:t>315 tweets (9.28%)</w:t>
      </w:r>
      <w:r>
        <w:rPr>
          <w:rFonts w:ascii="Times New Roman" w:hAnsi="Times New Roman"/>
          <w:sz w:val="22"/>
        </w:rPr>
        <w:t xml:space="preserve"> operated as explicit sarcasm, while 3,080 tweets (90.72%) operated as literal communication. Within the sarcastic corpus, 181 tweets exhibited acute binary lexical oppositions.</w:t>
      </w:r>
    </w:p>
    <w:p>
      <w:pPr>
        <w:spacing w:line="240" w:lineRule="auto" w:after="120"/>
      </w:pPr>
      <w:r/>
      <w:r>
        <w:rPr>
          <w:rFonts w:ascii="Times New Roman" w:hAnsi="Times New Roman"/>
          <w:sz w:val="22"/>
        </w:rPr>
        <w:t>Representative qualitative examples include:</w:t>
        <w:br/>
        <w:t xml:space="preserve">- </w:t>
      </w:r>
      <w:r>
        <w:rPr>
          <w:rFonts w:ascii="Times New Roman" w:hAnsi="Times New Roman"/>
          <w:i/>
          <w:sz w:val="22"/>
        </w:rPr>
        <w:t>Cuitan 1:</w:t>
      </w:r>
      <w:r>
        <w:rPr>
          <w:rFonts w:ascii="Times New Roman" w:hAnsi="Times New Roman"/>
          <w:sz w:val="22"/>
        </w:rPr>
        <w:t xml:space="preserve"> 'Menu MBG hari ini mewah banget, nasinya bisa buat nimpuk maling, ayamnya seukuran upil 🤡👍' (Pragmatic praise </w:t>
      </w:r>
      <w:r>
        <w:rPr>
          <w:rFonts w:ascii="Times New Roman" w:hAnsi="Times New Roman"/>
          <w:i/>
          <w:sz w:val="22"/>
        </w:rPr>
        <w:t>'mewah banget'</w:t>
      </w:r>
      <w:r>
        <w:rPr>
          <w:rFonts w:ascii="Times New Roman" w:hAnsi="Times New Roman"/>
          <w:sz w:val="22"/>
        </w:rPr>
        <w:t xml:space="preserve"> directly contradicted by abusive physical descriptions and clown emoji).</w:t>
        <w:br/>
        <w:t xml:space="preserve">- </w:t>
      </w:r>
      <w:r>
        <w:rPr>
          <w:rFonts w:ascii="Times New Roman" w:hAnsi="Times New Roman"/>
          <w:i/>
          <w:sz w:val="22"/>
        </w:rPr>
        <w:t>Cuitan 2:</w:t>
      </w:r>
      <w:r>
        <w:rPr>
          <w:rFonts w:ascii="Times New Roman" w:hAnsi="Times New Roman"/>
          <w:sz w:val="22"/>
        </w:rPr>
        <w:t xml:space="preserve"> 'Terima kasih program gizi gratis, anak-anak kenyang langsung masuk IGD rumah sakit 🤮' (Gratitude formula undermined by hospital casualty outcome and vomiting emoji).</w:t>
      </w:r>
    </w:p>
    <w:p>
      <w:pPr>
        <w:spacing w:before="200" w:after="80"/>
      </w:pPr>
      <w:r>
        <w:rPr>
          <w:rFonts w:ascii="Times New Roman" w:hAnsi="Times New Roman"/>
          <w:b/>
          <w:i/>
          <w:sz w:val="22"/>
        </w:rPr>
        <w:t>4.3 Social Network Topology and Reciprocity Breakdown</w:t>
        <w:br/>
        <w:t>Mathematical graph modeling of the 971 participating X users generated the following network topological parameters:</w:t>
      </w:r>
    </w:p>
    <w:p>
      <w:pPr>
        <w:spacing w:line="240" w:lineRule="auto" w:after="120"/>
      </w:pPr>
      <w:r/>
      <w:r>
        <w:rPr>
          <w:rFonts w:ascii="Times New Roman" w:hAnsi="Times New Roman"/>
          <w:sz w:val="22"/>
        </w:rP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spacing w:before="200" w:after="80"/>
      </w:pPr>
      <w:r>
        <w:rPr>
          <w:rFonts w:ascii="Times New Roman" w:hAnsi="Times New Roman"/>
          <w:b/>
          <w:i/>
          <w:sz w:val="22"/>
        </w:rPr>
        <w:t>4.4 Structural Power Asymmetry: The Algorithmic Oracle vs. Institutional Silence</w:t>
        <w:br/>
        <w:t>Centrality calculations exposed an acute disparity between formal political power and digital communicative authority:</w:t>
      </w:r>
    </w:p>
    <w:p>
      <w:pPr>
        <w:spacing w:line="240" w:lineRule="auto" w:after="120"/>
      </w:pPr>
      <w:r/>
      <w:r>
        <w:rPr>
          <w:rFonts w:ascii="Times New Roman" w:hAnsi="Times New Roman"/>
          <w:sz w:val="22"/>
        </w:rP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40" w:lineRule="auto" w:after="120"/>
      </w:pPr>
      <w:r/>
      <w:r>
        <w:rPr>
          <w:rFonts w:ascii="Times New Roman" w:hAnsi="Times New Roman"/>
          <w:sz w:val="22"/>
        </w:rPr>
        <w:t>In stark contrast, xAI's conversational agent (@grok) commanded the highest Out-Degree in the entire network ($C_{</w:t>
        <w:tab/>
        <w:t xml:space="preserve">ext{out}} = 42$). When netizens sought verification regarding meal pricing formulas or poisoning statistics, they tagged @grok to synthesize facts. The artificial intelligence agent thus stepped in as an </w:t>
      </w:r>
      <w:r>
        <w:rPr>
          <w:rFonts w:ascii="Times New Roman" w:hAnsi="Times New Roman"/>
          <w:b/>
          <w:sz w:val="22"/>
        </w:rPr>
        <w:t>Algorithmic Oracle</w:t>
      </w:r>
      <w:r>
        <w:rPr>
          <w:rFonts w:ascii="Times New Roman" w:hAnsi="Times New Roman"/>
          <w:sz w:val="22"/>
        </w:rPr>
        <w:t>, assuming the communicative role abandoned by state public relations.</w:t>
      </w:r>
    </w:p>
    <w:p>
      <w:pPr>
        <w:spacing w:before="200" w:after="80"/>
      </w:pPr>
      <w:r/>
      <w:r>
        <w:rPr>
          <w:rFonts w:ascii="Times New Roman" w:hAnsi="Times New Roman"/>
          <w:sz w:val="22"/>
        </w:rPr>
        <w:t>4.5 Model Performance and Evaluation</w:t>
        <w:br/>
        <w:t>Evaluating IndoBERT (checkpoint-792) on the independent test set ($n = 1,053$) yielded the following per-class metrics:</w:t>
      </w:r>
    </w:p>
    <w:p>
      <w:pPr>
        <w:spacing w:line="240" w:lineRule="auto" w:after="120"/>
      </w:pPr>
      <w:r/>
      <w:r>
        <w:rPr>
          <w:rFonts w:ascii="Times New Roman" w:hAnsi="Times New Roman"/>
          <w:sz w:val="22"/>
        </w:rPr>
        <w:t xml:space="preserve">On the balanced binary benchmark for sarcasm detection, the pipeline achieved an overall accuracy of </w:t>
      </w:r>
      <w:r>
        <w:rPr>
          <w:rFonts w:ascii="Times New Roman" w:hAnsi="Times New Roman"/>
          <w:b/>
          <w:sz w:val="22"/>
        </w:rPr>
        <w:t>83.00%</w:t>
      </w:r>
      <w:r>
        <w:rPr>
          <w:rFonts w:ascii="Times New Roman" w:hAnsi="Times New Roman"/>
          <w:sz w:val="22"/>
        </w:rPr>
        <w:t xml:space="preserve"> and a </w:t>
      </w:r>
      <w:r>
        <w:rPr>
          <w:rFonts w:ascii="Times New Roman" w:hAnsi="Times New Roman"/>
          <w:b/>
          <w:sz w:val="22"/>
        </w:rPr>
        <w:t>Macro F1 of 0.8122</w:t>
      </w:r>
      <w:r>
        <w:rPr>
          <w:rFonts w:ascii="Times New Roman" w:hAnsi="Times New Roman"/>
          <w:sz w:val="22"/>
        </w:rPr>
        <w:t xml:space="preserve">. In 9-class modeling, the model prioritized sensitivity to the primary crisis driver, capturing </w:t>
      </w:r>
      <w:r>
        <w:rPr>
          <w:rFonts w:ascii="Times New Roman" w:hAnsi="Times New Roman"/>
          <w:b/>
          <w:sz w:val="22"/>
        </w:rPr>
        <w:t>$96.92\%$ of all empirical Disgust instances</w:t>
      </w:r>
      <w:r>
        <w:rPr>
          <w:rFonts w:ascii="Times New Roman" w:hAnsi="Times New Roman"/>
          <w:sz w:val="22"/>
        </w:rPr>
        <w:t>. Confusion matrix analysis revealed that misclassifications primarily stemmed from linguistic overlap: sarcastic Trust texts were remapped into Disgust due to the model detecting embedded physical complaint lemmas.</w:t>
      </w:r>
    </w:p>
    <w:p>
      <w:pPr>
        <w:spacing w:before="200" w:after="80"/>
      </w:pPr>
      <w:r>
        <w:rPr>
          <w:rFonts w:ascii="Times New Roman" w:hAnsi="Times New Roman"/>
          <w:b/>
          <w:i/>
          <w:sz w:val="22"/>
        </w:rPr>
        <w:t>4.6 Empirical Validation of the Phygital Gap (ABSA Results)</w:t>
        <w:br/>
        <w:t>Thematic aspect-based affective distribution across the three physical dimensions of the MBG program confirmed that public disgust was anchored in physical execution failures:</w:t>
      </w:r>
    </w:p>
    <w:p>
      <w:pPr>
        <w:spacing w:line="240" w:lineRule="auto" w:after="120"/>
      </w:pPr>
      <w:r/>
      <w:r>
        <w:rPr>
          <w:rFonts w:ascii="Times New Roman" w:hAnsi="Times New Roman"/>
          <w:sz w:val="22"/>
        </w:rPr>
        <w:t xml:space="preserve">Across all three operational aspects, Disgust exceeded $70\%$, peaking at $78.91\% in Logistics and 77.01\%$ in Budget Allocation. This provides empirical proof of the </w:t>
      </w:r>
      <w:r>
        <w:rPr>
          <w:rFonts w:ascii="Times New Roman" w:hAnsi="Times New Roman"/>
          <w:i/>
          <w:sz w:val="22"/>
        </w:rPr>
        <w:t>Phygital Gap</w:t>
      </w:r>
      <w:r>
        <w:rPr>
          <w:rFonts w:ascii="Times New Roman" w:hAnsi="Times New Roman"/>
          <w:sz w:val="22"/>
        </w:rPr>
        <w:t>: negative affect was not an abstract political grievance, but an intense rejection of operational failures in delivery timing, budget misappropriation, and inadequate dietary portion sizes.</w:t>
      </w:r>
    </w:p>
    <w:p>
      <w:pPr>
        <w:spacing w:line="240" w:lineRule="auto" w:after="120"/>
      </w:pPr>
      <w:r>
        <w:rPr>
          <w:rFonts w:ascii="Times New Roman" w:hAnsi="Times New Roman"/>
          <w:sz w:val="24"/>
        </w:rPr>
        <w:t>---</w:t>
      </w:r>
    </w:p>
    <w:p>
      <w:pPr>
        <w:spacing w:before="160" w:after="80"/>
      </w:pPr>
      <w:r>
        <w:rPr>
          <w:i/>
          <w:sz w:val="20"/>
        </w:rPr>
        <w:t>Table 1. Distribution of 9 Granular Emotions in MBG Discourse on X (N=5,263)</w:t>
      </w:r>
    </w:p>
    <w:tbl>
      <w:tblPr>
        <w:tblW w:type="auto" w:w="0"/>
        <w:jc w:val="center"/>
        <w:tblLook w:firstColumn="1" w:firstRow="1" w:lastColumn="0" w:lastRow="0" w:noHBand="0" w:noVBand="1" w:val="04A0"/>
      </w:tblPr>
      <w:tblGrid>
        <w:gridCol w:w="2257"/>
        <w:gridCol w:w="2257"/>
        <w:gridCol w:w="2257"/>
        <w:gridCol w:w="2257"/>
      </w:tblGrid>
      <w:tr>
        <w:tc>
          <w:tcPr>
            <w:tcW w:type="dxa" w:w="2257"/>
            <w:tcBorders>
              <w:top w:val="single" w:sz="6" w:space="0" w:color="000000"/>
              <w:bottom w:val="single" w:sz="6" w:space="0" w:color="000000"/>
            </w:tcBorders>
          </w:tcPr>
          <w:p>
            <w:r>
              <w:rPr>
                <w:b/>
                <w:sz w:val="20"/>
              </w:rPr>
              <w:t>Emotion Class</w:t>
            </w:r>
          </w:p>
        </w:tc>
        <w:tc>
          <w:tcPr>
            <w:tcW w:type="dxa" w:w="2257"/>
            <w:tcBorders>
              <w:top w:val="single" w:sz="6" w:space="0" w:color="000000"/>
              <w:bottom w:val="single" w:sz="6" w:space="0" w:color="000000"/>
            </w:tcBorders>
          </w:tcPr>
          <w:p>
            <w:r>
              <w:rPr>
                <w:b/>
                <w:sz w:val="20"/>
              </w:rPr>
              <w:t>Indonesian Label</w:t>
            </w:r>
          </w:p>
        </w:tc>
        <w:tc>
          <w:tcPr>
            <w:tcW w:type="dxa" w:w="2257"/>
            <w:tcBorders>
              <w:top w:val="single" w:sz="6" w:space="0" w:color="000000"/>
              <w:bottom w:val="single" w:sz="6" w:space="0" w:color="000000"/>
            </w:tcBorders>
          </w:tcPr>
          <w:p>
            <w:r>
              <w:rPr>
                <w:b/>
                <w:sz w:val="20"/>
              </w:rPr>
              <w:t>Tweet Count</w:t>
            </w:r>
          </w:p>
        </w:tc>
        <w:tc>
          <w:tcPr>
            <w:tcW w:type="dxa" w:w="2257"/>
            <w:tcBorders>
              <w:top w:val="single" w:sz="6" w:space="0" w:color="000000"/>
              <w:bottom w:val="single" w:sz="6" w:space="0" w:color="000000"/>
            </w:tcBorders>
          </w:tcPr>
          <w:p>
            <w:r>
              <w:rPr>
                <w:b/>
                <w:sz w:val="20"/>
              </w:rPr>
              <w:t>Percentage (%)</w:t>
            </w:r>
          </w:p>
        </w:tc>
      </w:tr>
      <w:tr>
        <w:tc>
          <w:tcPr>
            <w:tcW w:type="dxa" w:w="2257"/>
          </w:tcPr>
          <w:p>
            <w:r>
              <w:rPr>
                <w:sz w:val="20"/>
              </w:rPr>
              <w:t>Disgust</w:t>
            </w:r>
          </w:p>
        </w:tc>
        <w:tc>
          <w:tcPr>
            <w:tcW w:type="dxa" w:w="2257"/>
          </w:tcPr>
          <w:p>
            <w:r>
              <w:rPr>
                <w:sz w:val="20"/>
              </w:rPr>
              <w:t>Jijik / Mual</w:t>
            </w:r>
          </w:p>
        </w:tc>
        <w:tc>
          <w:tcPr>
            <w:tcW w:type="dxa" w:w="2257"/>
          </w:tcPr>
          <w:p>
            <w:r>
              <w:rPr>
                <w:sz w:val="20"/>
              </w:rPr>
              <w:t>2,960</w:t>
            </w:r>
          </w:p>
        </w:tc>
        <w:tc>
          <w:tcPr>
            <w:tcW w:type="dxa" w:w="2257"/>
          </w:tcPr>
          <w:p>
            <w:r>
              <w:rPr>
                <w:sz w:val="20"/>
              </w:rPr>
              <w:t>56.24%</w:t>
            </w:r>
          </w:p>
        </w:tc>
      </w:tr>
      <w:tr>
        <w:tc>
          <w:tcPr>
            <w:tcW w:type="dxa" w:w="2257"/>
          </w:tcPr>
          <w:p>
            <w:r>
              <w:rPr>
                <w:sz w:val="20"/>
              </w:rPr>
              <w:t>Trust</w:t>
            </w:r>
          </w:p>
        </w:tc>
        <w:tc>
          <w:tcPr>
            <w:tcW w:type="dxa" w:w="2257"/>
          </w:tcPr>
          <w:p>
            <w:r>
              <w:rPr>
                <w:sz w:val="20"/>
              </w:rPr>
              <w:t>Percaya</w:t>
            </w:r>
          </w:p>
        </w:tc>
        <w:tc>
          <w:tcPr>
            <w:tcW w:type="dxa" w:w="2257"/>
          </w:tcPr>
          <w:p>
            <w:r>
              <w:rPr>
                <w:sz w:val="20"/>
              </w:rPr>
              <w:t>1,073</w:t>
            </w:r>
          </w:p>
        </w:tc>
        <w:tc>
          <w:tcPr>
            <w:tcW w:type="dxa" w:w="2257"/>
          </w:tcPr>
          <w:p>
            <w:r>
              <w:rPr>
                <w:sz w:val="20"/>
              </w:rPr>
              <w:t>20.39%</w:t>
            </w:r>
          </w:p>
        </w:tc>
      </w:tr>
      <w:tr>
        <w:tc>
          <w:tcPr>
            <w:tcW w:type="dxa" w:w="2257"/>
          </w:tcPr>
          <w:p>
            <w:r>
              <w:rPr>
                <w:sz w:val="20"/>
              </w:rPr>
              <w:t>Neutral</w:t>
            </w:r>
          </w:p>
        </w:tc>
        <w:tc>
          <w:tcPr>
            <w:tcW w:type="dxa" w:w="2257"/>
          </w:tcPr>
          <w:p>
            <w:r>
              <w:rPr>
                <w:sz w:val="20"/>
              </w:rPr>
              <w:t>Netral</w:t>
            </w:r>
          </w:p>
        </w:tc>
        <w:tc>
          <w:tcPr>
            <w:tcW w:type="dxa" w:w="2257"/>
          </w:tcPr>
          <w:p>
            <w:r>
              <w:rPr>
                <w:sz w:val="20"/>
              </w:rPr>
              <w:t>649</w:t>
            </w:r>
          </w:p>
        </w:tc>
        <w:tc>
          <w:tcPr>
            <w:tcW w:type="dxa" w:w="2257"/>
          </w:tcPr>
          <w:p>
            <w:r>
              <w:rPr>
                <w:sz w:val="20"/>
              </w:rPr>
              <w:t>12.33%</w:t>
            </w:r>
          </w:p>
        </w:tc>
      </w:tr>
      <w:tr>
        <w:tc>
          <w:tcPr>
            <w:tcW w:type="dxa" w:w="2257"/>
          </w:tcPr>
          <w:p>
            <w:r>
              <w:rPr>
                <w:sz w:val="20"/>
              </w:rPr>
              <w:t>Anticipation</w:t>
            </w:r>
          </w:p>
        </w:tc>
        <w:tc>
          <w:tcPr>
            <w:tcW w:type="dxa" w:w="2257"/>
          </w:tcPr>
          <w:p>
            <w:r>
              <w:rPr>
                <w:sz w:val="20"/>
              </w:rPr>
              <w:t>Antisipasi / Tertarik</w:t>
            </w:r>
          </w:p>
        </w:tc>
        <w:tc>
          <w:tcPr>
            <w:tcW w:type="dxa" w:w="2257"/>
          </w:tcPr>
          <w:p>
            <w:r>
              <w:rPr>
                <w:sz w:val="20"/>
              </w:rPr>
              <w:t>505</w:t>
            </w:r>
          </w:p>
        </w:tc>
        <w:tc>
          <w:tcPr>
            <w:tcW w:type="dxa" w:w="2257"/>
          </w:tcPr>
          <w:p>
            <w:r>
              <w:rPr>
                <w:sz w:val="20"/>
              </w:rPr>
              <w:t>9.60%</w:t>
            </w:r>
          </w:p>
        </w:tc>
      </w:tr>
      <w:tr>
        <w:tc>
          <w:tcPr>
            <w:tcW w:type="dxa" w:w="2257"/>
            <w:tcBorders>
              <w:bottom w:val="single" w:sz="6" w:space="0" w:color="000000"/>
            </w:tcBorders>
          </w:tcPr>
          <w:p>
            <w:r>
              <w:rPr>
                <w:sz w:val="20"/>
              </w:rPr>
              <w:t>Other (Anger, Sadness, Fear, etc.)</w:t>
            </w:r>
          </w:p>
        </w:tc>
        <w:tc>
          <w:tcPr>
            <w:tcW w:type="dxa" w:w="2257"/>
            <w:tcBorders>
              <w:bottom w:val="single" w:sz="6" w:space="0" w:color="000000"/>
            </w:tcBorders>
          </w:tcPr>
          <w:p>
            <w:r>
              <w:rPr>
                <w:sz w:val="20"/>
              </w:rPr>
              <w:t>Marah, Sedih, Takut, dll.</w:t>
            </w:r>
          </w:p>
        </w:tc>
        <w:tc>
          <w:tcPr>
            <w:tcW w:type="dxa" w:w="2257"/>
            <w:tcBorders>
              <w:bottom w:val="single" w:sz="6" w:space="0" w:color="000000"/>
            </w:tcBorders>
          </w:tcPr>
          <w:p>
            <w:r>
              <w:rPr>
                <w:sz w:val="20"/>
              </w:rPr>
              <w:t>76</w:t>
            </w:r>
          </w:p>
        </w:tc>
        <w:tc>
          <w:tcPr>
            <w:tcW w:type="dxa" w:w="2257"/>
            <w:tcBorders>
              <w:bottom w:val="single" w:sz="6" w:space="0" w:color="000000"/>
            </w:tcBorders>
          </w:tcPr>
          <w:p>
            <w:r>
              <w:rPr>
                <w:sz w:val="20"/>
              </w:rPr>
              <w:t>1.44%</w:t>
            </w:r>
          </w:p>
        </w:tc>
      </w:tr>
    </w:tbl>
    <w:p>
      <w:pPr>
        <w:spacing w:before="160" w:after="80"/>
      </w:pPr>
      <w:r>
        <w:rPr>
          <w:i/>
          <w:sz w:val="20"/>
        </w:rPr>
        <w:t>Table 2. Macro-Topological Parameters of the MBG Interaction Network</w:t>
      </w:r>
    </w:p>
    <w:tbl>
      <w:tblPr>
        <w:tblW w:type="auto" w:w="0"/>
        <w:jc w:val="center"/>
        <w:tblLook w:firstColumn="1" w:firstRow="1" w:lastColumn="0" w:lastRow="0" w:noHBand="0" w:noVBand="1" w:val="04A0"/>
      </w:tblPr>
      <w:tblGrid>
        <w:gridCol w:w="3010"/>
        <w:gridCol w:w="3010"/>
        <w:gridCol w:w="3010"/>
      </w:tblGrid>
      <w:tr>
        <w:tc>
          <w:tcPr>
            <w:tcW w:type="dxa" w:w="3010"/>
            <w:tcBorders>
              <w:top w:val="single" w:sz="6" w:space="0" w:color="000000"/>
              <w:bottom w:val="single" w:sz="6" w:space="0" w:color="000000"/>
            </w:tcBorders>
          </w:tcPr>
          <w:p>
            <w:r>
              <w:rPr>
                <w:b/>
                <w:sz w:val="20"/>
              </w:rPr>
              <w:t>Network Parameter</w:t>
            </w:r>
          </w:p>
        </w:tc>
        <w:tc>
          <w:tcPr>
            <w:tcW w:type="dxa" w:w="3010"/>
            <w:tcBorders>
              <w:top w:val="single" w:sz="6" w:space="0" w:color="000000"/>
              <w:bottom w:val="single" w:sz="6" w:space="0" w:color="000000"/>
            </w:tcBorders>
          </w:tcPr>
          <w:p>
            <w:r>
              <w:rPr>
                <w:b/>
                <w:sz w:val="20"/>
              </w:rPr>
              <w:t>Empirical Value</w:t>
            </w:r>
          </w:p>
        </w:tc>
        <w:tc>
          <w:tcPr>
            <w:tcW w:type="dxa" w:w="3010"/>
            <w:tcBorders>
              <w:top w:val="single" w:sz="6" w:space="0" w:color="000000"/>
              <w:bottom w:val="single" w:sz="6" w:space="0" w:color="000000"/>
            </w:tcBorders>
          </w:tcPr>
          <w:p>
            <w:r>
              <w:rPr>
                <w:b/>
                <w:sz w:val="20"/>
              </w:rPr>
              <w:t>Theoretical Significance</w:t>
            </w:r>
          </w:p>
        </w:tc>
      </w:tr>
      <w:tr>
        <w:tc>
          <w:tcPr>
            <w:tcW w:type="dxa" w:w="3010"/>
          </w:tcPr>
          <w:p>
            <w:r>
              <w:rPr>
                <w:sz w:val="20"/>
              </w:rPr>
              <w:t>Total Nodes (|V|)</w:t>
            </w:r>
          </w:p>
        </w:tc>
        <w:tc>
          <w:tcPr>
            <w:tcW w:type="dxa" w:w="3010"/>
          </w:tcPr>
          <w:p>
            <w:r>
              <w:rPr>
                <w:sz w:val="20"/>
              </w:rPr>
              <w:t>971</w:t>
            </w:r>
          </w:p>
        </w:tc>
        <w:tc>
          <w:tcPr>
            <w:tcW w:type="dxa" w:w="3010"/>
          </w:tcPr>
          <w:p>
            <w:r>
              <w:rPr>
                <w:sz w:val="20"/>
              </w:rPr>
              <w:t>Active user accounts in MBG communication</w:t>
            </w:r>
          </w:p>
        </w:tc>
      </w:tr>
      <w:tr>
        <w:tc>
          <w:tcPr>
            <w:tcW w:type="dxa" w:w="3010"/>
          </w:tcPr>
          <w:p>
            <w:r>
              <w:rPr>
                <w:sz w:val="20"/>
              </w:rPr>
              <w:t>Unique Directed Edges (|E|)</w:t>
            </w:r>
          </w:p>
        </w:tc>
        <w:tc>
          <w:tcPr>
            <w:tcW w:type="dxa" w:w="3010"/>
          </w:tcPr>
          <w:p>
            <w:r>
              <w:rPr>
                <w:sz w:val="20"/>
              </w:rPr>
              <w:t>666</w:t>
            </w:r>
          </w:p>
        </w:tc>
        <w:tc>
          <w:tcPr>
            <w:tcW w:type="dxa" w:w="3010"/>
          </w:tcPr>
          <w:p>
            <w:r>
              <w:rPr>
                <w:sz w:val="20"/>
              </w:rPr>
              <w:t>Directed mention and reply ties</w:t>
            </w:r>
          </w:p>
        </w:tc>
      </w:tr>
      <w:tr>
        <w:tc>
          <w:tcPr>
            <w:tcW w:type="dxa" w:w="3010"/>
          </w:tcPr>
          <w:p>
            <w:r>
              <w:rPr>
                <w:sz w:val="20"/>
              </w:rPr>
              <w:t>Graph Density</w:t>
            </w:r>
          </w:p>
        </w:tc>
        <w:tc>
          <w:tcPr>
            <w:tcW w:type="dxa" w:w="3010"/>
          </w:tcPr>
          <w:p>
            <w:r>
              <w:rPr>
                <w:sz w:val="20"/>
              </w:rPr>
              <w:t>0.0011</w:t>
            </w:r>
          </w:p>
        </w:tc>
        <w:tc>
          <w:tcPr>
            <w:tcW w:type="dxa" w:w="3010"/>
          </w:tcPr>
          <w:p>
            <w:r>
              <w:rPr>
                <w:sz w:val="20"/>
              </w:rPr>
              <w:t>Extremely sparse interaction topology</w:t>
            </w:r>
          </w:p>
        </w:tc>
      </w:tr>
      <w:tr>
        <w:tc>
          <w:tcPr>
            <w:tcW w:type="dxa" w:w="3010"/>
          </w:tcPr>
          <w:p>
            <w:r>
              <w:rPr>
                <w:sz w:val="20"/>
              </w:rPr>
              <w:t>Reciprocity Rate</w:t>
            </w:r>
          </w:p>
        </w:tc>
        <w:tc>
          <w:tcPr>
            <w:tcW w:type="dxa" w:w="3010"/>
          </w:tcPr>
          <w:p>
            <w:r>
              <w:rPr>
                <w:sz w:val="20"/>
              </w:rPr>
              <w:t>1.21%</w:t>
            </w:r>
          </w:p>
        </w:tc>
        <w:tc>
          <w:tcPr>
            <w:tcW w:type="dxa" w:w="3010"/>
          </w:tcPr>
          <w:p>
            <w:r>
              <w:rPr>
                <w:sz w:val="20"/>
              </w:rPr>
              <w:t>98.79% unidirectional communication (monologue)</w:t>
            </w:r>
          </w:p>
        </w:tc>
      </w:tr>
      <w:tr>
        <w:tc>
          <w:tcPr>
            <w:tcW w:type="dxa" w:w="3010"/>
            <w:tcBorders>
              <w:bottom w:val="single" w:sz="6" w:space="0" w:color="000000"/>
            </w:tcBorders>
          </w:tcPr>
          <w:p>
            <w:r>
              <w:rPr>
                <w:sz w:val="20"/>
              </w:rPr>
              <w:t>Louvain Modularity (Q)</w:t>
            </w:r>
          </w:p>
        </w:tc>
        <w:tc>
          <w:tcPr>
            <w:tcW w:type="dxa" w:w="3010"/>
            <w:tcBorders>
              <w:bottom w:val="single" w:sz="6" w:space="0" w:color="000000"/>
            </w:tcBorders>
          </w:tcPr>
          <w:p>
            <w:r>
              <w:rPr>
                <w:sz w:val="20"/>
              </w:rPr>
              <w:t>0.9837</w:t>
            </w:r>
          </w:p>
        </w:tc>
        <w:tc>
          <w:tcPr>
            <w:tcW w:type="dxa" w:w="3010"/>
            <w:tcBorders>
              <w:bottom w:val="single" w:sz="6" w:space="0" w:color="000000"/>
            </w:tcBorders>
          </w:tcPr>
          <w:p>
            <w:r>
              <w:rPr>
                <w:sz w:val="20"/>
              </w:rPr>
              <w:t>Hyper-fragmentation into 332 isolated echo chambers</w:t>
            </w:r>
          </w:p>
        </w:tc>
      </w:tr>
    </w:tbl>
    <w:p>
      <w:pPr>
        <w:spacing w:before="160" w:after="80"/>
      </w:pPr>
      <w:r>
        <w:rPr>
          <w:i/>
          <w:sz w:val="20"/>
        </w:rPr>
        <w:t>Table 3. Centrality Ranking and Power Asymmetry in MBG Network</w:t>
      </w:r>
    </w:p>
    <w:tbl>
      <w:tblPr>
        <w:tblW w:type="auto" w:w="0"/>
        <w:jc w:val="center"/>
        <w:tblLook w:firstColumn="1" w:firstRow="1" w:lastColumn="0" w:lastRow="0" w:noHBand="0" w:noVBand="1" w:val="04A0"/>
      </w:tblPr>
      <w:tblGrid>
        <w:gridCol w:w="2257"/>
        <w:gridCol w:w="2257"/>
        <w:gridCol w:w="2257"/>
        <w:gridCol w:w="2257"/>
      </w:tblGrid>
      <w:tr>
        <w:tc>
          <w:tcPr>
            <w:tcW w:type="dxa" w:w="2257"/>
            <w:tcBorders>
              <w:top w:val="single" w:sz="6" w:space="0" w:color="000000"/>
              <w:bottom w:val="single" w:sz="6" w:space="0" w:color="000000"/>
            </w:tcBorders>
          </w:tcPr>
          <w:p>
            <w:r>
              <w:rPr>
                <w:b/>
                <w:sz w:val="20"/>
              </w:rPr>
              <w:t>Account Username</w:t>
            </w:r>
          </w:p>
        </w:tc>
        <w:tc>
          <w:tcPr>
            <w:tcW w:type="dxa" w:w="2257"/>
            <w:tcBorders>
              <w:top w:val="single" w:sz="6" w:space="0" w:color="000000"/>
              <w:bottom w:val="single" w:sz="6" w:space="0" w:color="000000"/>
            </w:tcBorders>
          </w:tcPr>
          <w:p>
            <w:r>
              <w:rPr>
                <w:b/>
                <w:sz w:val="20"/>
              </w:rPr>
              <w:t>In-Degree</w:t>
            </w:r>
          </w:p>
        </w:tc>
        <w:tc>
          <w:tcPr>
            <w:tcW w:type="dxa" w:w="2257"/>
            <w:tcBorders>
              <w:top w:val="single" w:sz="6" w:space="0" w:color="000000"/>
              <w:bottom w:val="single" w:sz="6" w:space="0" w:color="000000"/>
            </w:tcBorders>
          </w:tcPr>
          <w:p>
            <w:r>
              <w:rPr>
                <w:b/>
                <w:sz w:val="20"/>
              </w:rPr>
              <w:t>Out-Degree</w:t>
            </w:r>
          </w:p>
        </w:tc>
        <w:tc>
          <w:tcPr>
            <w:tcW w:type="dxa" w:w="2257"/>
            <w:tcBorders>
              <w:top w:val="single" w:sz="6" w:space="0" w:color="000000"/>
              <w:bottom w:val="single" w:sz="6" w:space="0" w:color="000000"/>
            </w:tcBorders>
          </w:tcPr>
          <w:p>
            <w:r>
              <w:rPr>
                <w:b/>
                <w:sz w:val="20"/>
              </w:rPr>
              <w:t>Structural Role in Discourse Network</w:t>
            </w:r>
          </w:p>
        </w:tc>
      </w:tr>
      <w:tr>
        <w:tc>
          <w:tcPr>
            <w:tcW w:type="dxa" w:w="2257"/>
          </w:tcPr>
          <w:p>
            <w:r>
              <w:rPr>
                <w:sz w:val="20"/>
              </w:rPr>
              <w:t>@grok</w:t>
            </w:r>
          </w:p>
        </w:tc>
        <w:tc>
          <w:tcPr>
            <w:tcW w:type="dxa" w:w="2257"/>
          </w:tcPr>
          <w:p>
            <w:r>
              <w:rPr>
                <w:sz w:val="20"/>
              </w:rPr>
              <w:t>0</w:t>
            </w:r>
          </w:p>
        </w:tc>
        <w:tc>
          <w:tcPr>
            <w:tcW w:type="dxa" w:w="2257"/>
          </w:tcPr>
          <w:p>
            <w:r>
              <w:rPr>
                <w:sz w:val="20"/>
              </w:rPr>
              <w:t>42</w:t>
            </w:r>
          </w:p>
        </w:tc>
        <w:tc>
          <w:tcPr>
            <w:tcW w:type="dxa" w:w="2257"/>
          </w:tcPr>
          <w:p>
            <w:r>
              <w:rPr>
                <w:sz w:val="20"/>
              </w:rPr>
              <w:t>Algorithmic Oracle (Primary Verification Hub)</w:t>
            </w:r>
          </w:p>
        </w:tc>
      </w:tr>
      <w:tr>
        <w:tc>
          <w:tcPr>
            <w:tcW w:type="dxa" w:w="2257"/>
          </w:tcPr>
          <w:p>
            <w:r>
              <w:rPr>
                <w:sz w:val="20"/>
              </w:rPr>
              <w:t>@prabowo</w:t>
            </w:r>
          </w:p>
        </w:tc>
        <w:tc>
          <w:tcPr>
            <w:tcW w:type="dxa" w:w="2257"/>
          </w:tcPr>
          <w:p>
            <w:r>
              <w:rPr>
                <w:sz w:val="20"/>
              </w:rPr>
              <w:t>15</w:t>
            </w:r>
          </w:p>
        </w:tc>
        <w:tc>
          <w:tcPr>
            <w:tcW w:type="dxa" w:w="2257"/>
          </w:tcPr>
          <w:p>
            <w:r>
              <w:rPr>
                <w:sz w:val="20"/>
              </w:rPr>
              <w:t>0</w:t>
            </w:r>
          </w:p>
        </w:tc>
        <w:tc>
          <w:tcPr>
            <w:tcW w:type="dxa" w:w="2257"/>
          </w:tcPr>
          <w:p>
            <w:r>
              <w:rPr>
                <w:sz w:val="20"/>
              </w:rPr>
              <w:t>Institutional Power Vacuum (Passive Target)</w:t>
            </w:r>
          </w:p>
        </w:tc>
      </w:tr>
      <w:tr>
        <w:tc>
          <w:tcPr>
            <w:tcW w:type="dxa" w:w="2257"/>
          </w:tcPr>
          <w:p>
            <w:r>
              <w:rPr>
                <w:sz w:val="20"/>
              </w:rPr>
              <w:t>@4Y4NKZ</w:t>
            </w:r>
          </w:p>
        </w:tc>
        <w:tc>
          <w:tcPr>
            <w:tcW w:type="dxa" w:w="2257"/>
          </w:tcPr>
          <w:p>
            <w:r>
              <w:rPr>
                <w:sz w:val="20"/>
              </w:rPr>
              <w:t>1</w:t>
            </w:r>
          </w:p>
        </w:tc>
        <w:tc>
          <w:tcPr>
            <w:tcW w:type="dxa" w:w="2257"/>
          </w:tcPr>
          <w:p>
            <w:r>
              <w:rPr>
                <w:sz w:val="20"/>
              </w:rPr>
              <w:t>8</w:t>
            </w:r>
          </w:p>
        </w:tc>
        <w:tc>
          <w:tcPr>
            <w:tcW w:type="dxa" w:w="2257"/>
          </w:tcPr>
          <w:p>
            <w:r>
              <w:rPr>
                <w:sz w:val="20"/>
              </w:rPr>
              <w:t>Structural Broker (Betweenness = 0.000016)</w:t>
            </w:r>
          </w:p>
        </w:tc>
      </w:tr>
      <w:tr>
        <w:tc>
          <w:tcPr>
            <w:tcW w:type="dxa" w:w="2257"/>
            <w:tcBorders>
              <w:bottom w:val="single" w:sz="6" w:space="0" w:color="000000"/>
            </w:tcBorders>
          </w:tcPr>
          <w:p>
            <w:r>
              <w:rPr>
                <w:sz w:val="20"/>
              </w:rPr>
              <w:t>@jokowi</w:t>
            </w:r>
          </w:p>
        </w:tc>
        <w:tc>
          <w:tcPr>
            <w:tcW w:type="dxa" w:w="2257"/>
            <w:tcBorders>
              <w:bottom w:val="single" w:sz="6" w:space="0" w:color="000000"/>
            </w:tcBorders>
          </w:tcPr>
          <w:p>
            <w:r>
              <w:rPr>
                <w:sz w:val="20"/>
              </w:rPr>
              <w:t>9</w:t>
            </w:r>
          </w:p>
        </w:tc>
        <w:tc>
          <w:tcPr>
            <w:tcW w:type="dxa" w:w="2257"/>
            <w:tcBorders>
              <w:bottom w:val="single" w:sz="6" w:space="0" w:color="000000"/>
            </w:tcBorders>
          </w:tcPr>
          <w:p>
            <w:r>
              <w:rPr>
                <w:sz w:val="20"/>
              </w:rPr>
              <w:t>0</w:t>
            </w:r>
          </w:p>
        </w:tc>
        <w:tc>
          <w:tcPr>
            <w:tcW w:type="dxa" w:w="2257"/>
            <w:tcBorders>
              <w:bottom w:val="single" w:sz="6" w:space="0" w:color="000000"/>
            </w:tcBorders>
          </w:tcPr>
          <w:p>
            <w:r>
              <w:rPr>
                <w:sz w:val="20"/>
              </w:rPr>
              <w:t>Secondary Institutional Target</w:t>
            </w:r>
          </w:p>
        </w:tc>
      </w:tr>
    </w:tbl>
    <w:p>
      <w:pPr>
        <w:spacing w:line="240" w:lineRule="auto" w:after="120"/>
      </w:pPr>
      <w:r>
        <w:rPr>
          <w:rFonts w:ascii="Times New Roman" w:hAnsi="Times New Roman"/>
          <w:sz w:val="24"/>
        </w:rPr>
        <w:t>The qualitative deconstruction of the 315 validated sarcastic tweets demonstrates that Indonesian netizens have developed a sophisticated, multi-layered rhetorical repertoire to circumvent digital surveillance. In our corpus, sarcasm manifested primarily across three distinct rhetorical modes: first, hyper-exaggerated gratitude (e.g., praising the meal as fit for royalty while displaying miniature rations); second, ironic medicalization (e.g., complimenting the state for providing free emergency room visits following food poisoning incidents); and third, fiscal juxtaposition (e.g., calculating the disparity between a Rp15,000 budget allocation and a single tempeh slice valued at Rp500). In each instance, the pragmatic force of the utterance is entirely inverted by contextual knowledge shared within the digital public sphere. Conventional lexicon models that rely on isolated keyword matching inevitably classify these statements as supportive, completely misinterpreting civic resistance as policy endorsement.</w:t>
      </w:r>
    </w:p>
    <w:p>
      <w:pPr>
        <w:spacing w:line="240" w:lineRule="auto" w:after="120"/>
      </w:pPr>
      <w:r>
        <w:rPr>
          <w:rFonts w:ascii="Times New Roman" w:hAnsi="Times New Roman"/>
          <w:sz w:val="24"/>
        </w:rPr>
        <w:t>Furthermore, the communicative dominance of @grok (Out-Degree = 42) compared to the absolute silence of state actors (@prabowo Out-Degree = 0) represents a profound transformation in how epistemic authority is established during a public crisis. In classic Habermasian theory, the public sphere relies on communicative rationality where participants exchange arguments to reach consensus. In this digital crisis, however, communicative rationality broke down: the state refused to enter the deliberative arena, and citizens abandoned the expectation of dialogic accountability from elected leaders. Instead, participants delegated the task of objective truth-seeking to an autonomous synthetic agent. Netizens treated the AI not as an entertainment chatbot, but as an impartial public auditor capable of parsing budget spreadsheets and verifying medical reports free from political bias. This emergence of the Algorithmic Oracle suggests that future models of crisis communication must theorize triadic interactions involving citizens, silent institutions, and autonomous artificial intelligence intermediaries.</w:t>
      </w:r>
    </w:p>
    <w:p>
      <w:pPr>
        <w:spacing w:before="200" w:after="80"/>
      </w:pPr>
      <w:r/>
      <w:r>
        <w:rPr>
          <w:rFonts w:ascii="Times New Roman" w:hAnsi="Times New Roman"/>
          <w:sz w:val="22"/>
        </w:rPr>
        <w:t>5.1 The Anatomy of the Phygital Gap in Public Sector Governance</w:t>
        <w:br/>
        <w:t xml:space="preserve">The empirical findings substantiate the central theoretical proposition of this study: the crisis of the MBG program represents a textbook manifestation of the </w:t>
      </w:r>
      <w:r>
        <w:rPr>
          <w:rFonts w:ascii="Times New Roman" w:hAnsi="Times New Roman"/>
          <w:b/>
          <w:sz w:val="22"/>
        </w:rPr>
        <w:t>Phygital Gap</w:t>
      </w:r>
      <w:r>
        <w:rPr>
          <w:rFonts w:ascii="Times New Roman" w:hAnsi="Times New Roman"/>
          <w:sz w:val="22"/>
        </w:rPr>
        <w:t xml:space="preserve">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40" w:lineRule="auto" w:after="120"/>
      </w:pPr>
      <w:r/>
      <w:r>
        <w:rPr>
          <w:rFonts w:ascii="Times New Roman" w:hAnsi="Times New Roman"/>
          <w:sz w:val="22"/>
        </w:rPr>
        <w:t xml:space="preserve">The dominance of </w:t>
      </w:r>
      <w:r>
        <w:rPr>
          <w:rFonts w:ascii="Times New Roman" w:hAnsi="Times New Roman"/>
          <w:b/>
          <w:sz w:val="22"/>
        </w:rPr>
        <w:t>Disgust (56.24%)</w:t>
      </w:r>
      <w:r>
        <w:rPr>
          <w:rFonts w:ascii="Times New Roman" w:hAnsi="Times New Roman"/>
          <w:sz w:val="22"/>
        </w:rPr>
        <w:t xml:space="preserve"> over </w:t>
      </w:r>
      <w:r>
        <w:rPr>
          <w:rFonts w:ascii="Times New Roman" w:hAnsi="Times New Roman"/>
          <w:b/>
          <w:sz w:val="22"/>
        </w:rPr>
        <w:t>Anger (1.05%)</w:t>
      </w:r>
      <w:r>
        <w:rPr>
          <w:rFonts w:ascii="Times New Roman" w:hAnsi="Times New Roman"/>
          <w:sz w:val="22"/>
        </w:rPr>
        <w:t xml:space="preserve">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spacing w:before="200" w:after="80"/>
      </w:pPr>
      <w:r/>
      <w:r>
        <w:rPr>
          <w:rFonts w:ascii="Times New Roman" w:hAnsi="Times New Roman"/>
          <w:sz w:val="22"/>
        </w:rPr>
        <w:t>5.2 Hyper-Fragmentation and the Death of Deliberative Space</w:t>
        <w:br/>
        <w:t xml:space="preserve">Habermas (2006) cautioned that internet-mediated public spheres risk communicative anarchism without institutional mediating structures. The topological network metrics of the MBG discourse provide startling empirical support for this warning. A modularity score of </w:t>
      </w:r>
      <w:r>
        <w:rPr>
          <w:rFonts w:ascii="Times New Roman" w:hAnsi="Times New Roman"/>
          <w:b/>
          <w:sz w:val="22"/>
        </w:rPr>
        <w:t>$Q = 0.9837$</w:t>
      </w:r>
      <w:r>
        <w:rPr>
          <w:rFonts w:ascii="Times New Roman" w:hAnsi="Times New Roman"/>
          <w:sz w:val="22"/>
        </w:rPr>
        <w:t xml:space="preserve"> is extraordinarily high in political communication networks, where modularity typically ranges between $0.40 and 0.65$ (Newman, 2006). Rather than dividing into a classic bi-polar structure (e.g., government supporters vs. opposition partisans), the discourse disintegrated into </w:t>
      </w:r>
      <w:r>
        <w:rPr>
          <w:rFonts w:ascii="Times New Roman" w:hAnsi="Times New Roman"/>
          <w:b/>
          <w:sz w:val="22"/>
        </w:rPr>
        <w:t>332 isolated communicative islands</w:t>
      </w:r>
      <w:r>
        <w:rPr>
          <w:rFonts w:ascii="Times New Roman" w:hAnsi="Times New Roman"/>
          <w:sz w:val="22"/>
        </w:rPr>
        <w:t>.</w:t>
      </w:r>
    </w:p>
    <w:p>
      <w:pPr>
        <w:spacing w:line="240" w:lineRule="auto" w:after="120"/>
      </w:pPr>
      <w:r/>
      <w:r>
        <w:rPr>
          <w:rFonts w:ascii="Times New Roman" w:hAnsi="Times New Roman"/>
          <w:sz w:val="22"/>
        </w:rPr>
        <w:t xml:space="preserve">Coupled with a reciprocity rate of only </w:t>
      </w:r>
      <w:r>
        <w:rPr>
          <w:rFonts w:ascii="Times New Roman" w:hAnsi="Times New Roman"/>
          <w:b/>
          <w:sz w:val="22"/>
        </w:rPr>
        <w:t>1.21%</w:t>
      </w:r>
      <w:r>
        <w:rPr>
          <w:rFonts w:ascii="Times New Roman" w:hAnsi="Times New Roman"/>
          <w:sz w:val="22"/>
        </w:rPr>
        <w:t>,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spacing w:before="200" w:after="80"/>
      </w:pPr>
      <w:r/>
      <w:r>
        <w:rPr>
          <w:rFonts w:ascii="Times New Roman" w:hAnsi="Times New Roman"/>
          <w:sz w:val="22"/>
        </w:rPr>
        <w:t>5.3 The Emergence of the 'Algorithmic Oracle'</w:t>
        <w:b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40" w:lineRule="auto" w:after="120"/>
      </w:pPr>
      <w:r/>
      <w:r>
        <w:rPr>
          <w:rFonts w:ascii="Times New Roman" w:hAnsi="Times New Roman"/>
          <w:sz w:val="22"/>
        </w:rPr>
        <w:t xml:space="preserve">When state actors create a </w:t>
      </w:r>
      <w:r>
        <w:rPr>
          <w:rFonts w:ascii="Times New Roman" w:hAnsi="Times New Roman"/>
          <w:b/>
          <w:sz w:val="22"/>
        </w:rPr>
        <w:t>Power Vacuum</w:t>
      </w:r>
      <w:r>
        <w:rPr>
          <w:rFonts w:ascii="Times New Roman" w:hAnsi="Times New Roman"/>
          <w:sz w:val="22"/>
        </w:rPr>
        <w:t xml:space="preserve">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w:t>
      </w:r>
      <w:r>
        <w:rPr>
          <w:rFonts w:ascii="Times New Roman" w:hAnsi="Times New Roman"/>
          <w:i/>
          <w:sz w:val="22"/>
        </w:rPr>
        <w:t>Algorithmic Oracle</w:t>
      </w:r>
      <w:r>
        <w:rPr>
          <w:rFonts w:ascii="Times New Roman" w:hAnsi="Times New Roman"/>
          <w:sz w:val="22"/>
        </w:rPr>
        <w:t>,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spacing w:before="200" w:after="80"/>
      </w:pPr>
      <w:r/>
      <w:r>
        <w:rPr>
          <w:rFonts w:ascii="Times New Roman" w:hAnsi="Times New Roman"/>
          <w:sz w:val="22"/>
        </w:rPr>
        <w:t>5.4 Sarcasm as Rhetorical Counter-Surveillance</w:t>
        <w:br/>
        <w:t xml:space="preserve">The identification of 315 validated sarcastic tweets ($9.28\%$) and 181 sharp binary contradictions reflects the tactical adaptation of Indonesian digital rhetoric. Facing potential legal consequences under defamation and electronic information laws (UU ITE), citizens weaponized </w:t>
      </w:r>
      <w:r>
        <w:rPr>
          <w:rFonts w:ascii="Times New Roman" w:hAnsi="Times New Roman"/>
          <w:i/>
          <w:sz w:val="22"/>
        </w:rPr>
        <w:t>Pretense Theory</w:t>
      </w:r>
      <w:r>
        <w:rPr>
          <w:rFonts w:ascii="Times New Roman" w:hAnsi="Times New Roman"/>
          <w:sz w:val="22"/>
        </w:rPr>
        <w:t xml:space="preserve">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40" w:lineRule="auto" w:after="120"/>
      </w:pPr>
      <w:r>
        <w:rPr>
          <w:rFonts w:ascii="Times New Roman" w:hAnsi="Times New Roman"/>
          <w:sz w:val="24"/>
        </w:rPr>
        <w:t>---</w:t>
      </w:r>
    </w:p>
    <w:p>
      <w:pPr>
        <w:spacing w:before="280" w:after="120"/>
      </w:pPr>
      <w:r>
        <w:rPr>
          <w:rFonts w:ascii="Times New Roman" w:hAnsi="Times New Roman"/>
          <w:b/>
          <w:sz w:val="24"/>
        </w:rPr>
        <w:t>CONCLUSION</w:t>
      </w:r>
    </w:p>
    <w:p>
      <w:pPr>
        <w:spacing w:before="200" w:after="80"/>
      </w:pPr>
      <w:r>
        <w:rPr>
          <w:rFonts w:ascii="Times New Roman" w:hAnsi="Times New Roman"/>
          <w:b/>
          <w:i/>
          <w:sz w:val="22"/>
        </w:rPr>
        <w:t>Theoretical and Practical Contributions</w:t>
      </w:r>
    </w:p>
    <w:p>
      <w:pPr>
        <w:spacing w:line="240" w:lineRule="auto" w:after="120"/>
      </w:pPr>
      <w:r/>
      <w:r>
        <w:rPr>
          <w:rFonts w:ascii="Times New Roman" w:hAnsi="Times New Roman"/>
          <w:b/>
          <w:sz w:val="24"/>
        </w:rPr>
        <w:t>6.1 Theoretical Contributions</w:t>
        <w:br/>
        <w:t xml:space="preserve">1. </w:t>
      </w:r>
      <w:r>
        <w:rPr>
          <w:rFonts w:ascii="Times New Roman" w:hAnsi="Times New Roman"/>
          <w:b/>
          <w:sz w:val="24"/>
        </w:rPr>
        <w:t>Extension of Marketing 6.0 into Public Administration:</w:t>
      </w:r>
      <w:r>
        <w:rPr>
          <w:rFonts w:ascii="Times New Roman" w:hAnsi="Times New Roman"/>
          <w:b/>
          <w:sz w:val="24"/>
        </w:rPr>
        <w:t xml:space="preserve"> This study demonstrates that the </w:t>
      </w:r>
      <w:r>
        <w:rPr>
          <w:rFonts w:ascii="Times New Roman" w:hAnsi="Times New Roman"/>
          <w:b/>
          <w:i/>
          <w:sz w:val="24"/>
        </w:rPr>
        <w:t>Phygital Gap</w:t>
      </w:r>
      <w:r>
        <w:rPr>
          <w:rFonts w:ascii="Times New Roman" w:hAnsi="Times New Roman"/>
          <w:b/>
          <w:sz w:val="24"/>
        </w:rPr>
        <w:t xml:space="preserve"> is a rigorous, quantifiable construct for evaluating state policy crises, bridging marketing theory with public administration.</w:t>
        <w:br/>
        <w:t xml:space="preserve">2. </w:t>
      </w:r>
      <w:r>
        <w:rPr>
          <w:rFonts w:ascii="Times New Roman" w:hAnsi="Times New Roman"/>
          <w:b/>
          <w:sz w:val="24"/>
        </w:rPr>
        <w:t>Tri-Layer CSS Methodological Synthesis:</w:t>
      </w:r>
      <w:r>
        <w:rPr>
          <w:rFonts w:ascii="Times New Roman" w:hAnsi="Times New Roman"/>
          <w:b/>
          <w:sz w:val="24"/>
        </w:rPr>
        <w:t xml:space="preserve"> By synchronizing transformer deep learning (IndoBERT), pragmatics-informed sarcasm detection, and topological SNA, this research presents an integrative blueprint for computational communication science that avoids the reductionism of isolated text or network studies.</w:t>
        <w:br/>
        <w:t xml:space="preserve">3. </w:t>
      </w:r>
      <w:r>
        <w:rPr>
          <w:rFonts w:ascii="Times New Roman" w:hAnsi="Times New Roman"/>
          <w:b/>
          <w:sz w:val="24"/>
        </w:rPr>
        <w:t>Conceptualization of the Algorithmic Oracle:</w:t>
      </w:r>
      <w:r>
        <w:rPr>
          <w:rFonts w:ascii="Times New Roman" w:hAnsi="Times New Roman"/>
          <w:b/>
          <w:sz w:val="24"/>
        </w:rPr>
        <w:t xml:space="preserve"> We provide the first empirical documentation of an AI agent functioning as a central communicative authority in an Indonesian public policy crisis network, redefining theories of networked gatekeeping.</w:t>
      </w:r>
    </w:p>
    <w:p>
      <w:pPr>
        <w:spacing w:line="240" w:lineRule="auto" w:after="120"/>
      </w:pPr>
      <w:r/>
      <w:r>
        <w:rPr>
          <w:rFonts w:ascii="Times New Roman" w:hAnsi="Times New Roman"/>
          <w:b/>
          <w:sz w:val="24"/>
        </w:rPr>
        <w:t>6.2 Practical Policy and PR Implications</w:t>
        <w:br/>
        <w:t xml:space="preserve">1. </w:t>
      </w:r>
      <w:r>
        <w:rPr>
          <w:rFonts w:ascii="Times New Roman" w:hAnsi="Times New Roman"/>
          <w:b/>
          <w:sz w:val="24"/>
        </w:rPr>
        <w:t>Closing the Physical Touchpoint:</w:t>
      </w:r>
      <w:r>
        <w:rPr>
          <w:rFonts w:ascii="Times New Roman" w:hAnsi="Times New Roman"/>
          <w:b/>
          <w:sz w:val="24"/>
        </w:rPr>
        <w:t xml:space="preserve"> Public sector communication teams cannot cure an operational crisis with digital spin. PR resources must be directed toward auditing ground-level operational logistics before launching promotional digital campaigns.</w:t>
        <w:br/>
        <w:t xml:space="preserve">2. </w:t>
      </w:r>
      <w:r>
        <w:rPr>
          <w:rFonts w:ascii="Times New Roman" w:hAnsi="Times New Roman"/>
          <w:b/>
          <w:sz w:val="24"/>
        </w:rPr>
        <w:t>Eliminating the Power Vacuum:</w:t>
      </w:r>
      <w:r>
        <w:rPr>
          <w:rFonts w:ascii="Times New Roman" w:hAnsi="Times New Roman"/>
          <w:b/>
          <w:sz w:val="24"/>
        </w:rPr>
        <w:t xml:space="preserve"> Institutional communicators must abandon one-way broadcast practices. Establishing responsive, interactive social listening units capable of engaging with citizen inquiries is essential to raise network reciprocity and restore institutional trust.</w:t>
        <w:br/>
        <w:t xml:space="preserve">3. </w:t>
      </w:r>
      <w:r>
        <w:rPr>
          <w:rFonts w:ascii="Times New Roman" w:hAnsi="Times New Roman"/>
          <w:b/>
          <w:sz w:val="24"/>
        </w:rPr>
        <w:t>Deprecating Binary Sentiment Tools:</w:t>
      </w:r>
      <w:r>
        <w:rPr>
          <w:rFonts w:ascii="Times New Roman" w:hAnsi="Times New Roman"/>
          <w:b/>
          <w:sz w:val="24"/>
        </w:rPr>
        <w:t xml:space="preserve"> Government monitoring dashboards must replace obsolete positive/negative lexicon tools with contextual transformer models capable of decoding sarcasm and granular disgust.</w:t>
      </w:r>
    </w:p>
    <w:p>
      <w:pPr>
        <w:spacing w:line="240" w:lineRule="auto" w:after="120"/>
      </w:pPr>
      <w:r>
        <w:rPr>
          <w:rFonts w:ascii="Times New Roman" w:hAnsi="Times New Roman"/>
          <w:sz w:val="24"/>
        </w:rPr>
        <w:t>---</w:t>
      </w:r>
    </w:p>
    <w:p>
      <w:pPr>
        <w:spacing w:before="200" w:after="80"/>
      </w:pPr>
      <w:r>
        <w:rPr>
          <w:rFonts w:ascii="Times New Roman" w:hAnsi="Times New Roman"/>
          <w:b/>
          <w:i/>
          <w:sz w:val="22"/>
        </w:rPr>
        <w:t>Research Limitations and Future Research Agenda</w:t>
      </w:r>
    </w:p>
    <w:p>
      <w:pPr>
        <w:spacing w:line="240" w:lineRule="auto" w:after="120"/>
      </w:pPr>
      <w:r/>
      <w:r>
        <w:rPr>
          <w:rFonts w:ascii="Times New Roman" w:hAnsi="Times New Roman"/>
          <w:sz w:val="22"/>
        </w:rPr>
        <w:t>In compliance with academic rigor, this study identifies five methodological boundaries:</w:t>
        <w:br/>
        <w:t xml:space="preserve">1. </w:t>
      </w:r>
      <w:r>
        <w:rPr>
          <w:rFonts w:ascii="Times New Roman" w:hAnsi="Times New Roman"/>
          <w:b/>
          <w:sz w:val="22"/>
        </w:rPr>
        <w:t>Demographic Platform Bias:</w:t>
      </w:r>
      <w:r>
        <w:rPr>
          <w:rFonts w:ascii="Times New Roman" w:hAnsi="Times New Roman"/>
          <w:sz w:val="22"/>
        </w:rPr>
        <w:t xml:space="preserve"> Data is derived solely from Platform X, which disproportionately represents urban, educated, and politically active demographics; findings cannot be generalized to the entire offline Indonesian populace.</w:t>
        <w:br/>
        <w:t xml:space="preserve">2. </w:t>
      </w:r>
      <w:r>
        <w:rPr>
          <w:rFonts w:ascii="Times New Roman" w:hAnsi="Times New Roman"/>
          <w:b/>
          <w:sz w:val="22"/>
        </w:rPr>
        <w:t>Class Imbalance in Granular Modeling:</w:t>
      </w:r>
      <w:r>
        <w:rPr>
          <w:rFonts w:ascii="Times New Roman" w:hAnsi="Times New Roman"/>
          <w:sz w:val="22"/>
        </w:rPr>
        <w:t xml:space="preserve"> Natural class imbalance in crisis data resulted in low Macro F1 scores for minority emotion classes (Fear, Sadness, Joy), despite high Recall on the dominant Disgust class ($96.92\%$).</w:t>
        <w:br/>
        <w:t xml:space="preserve">3. </w:t>
      </w:r>
      <w:r>
        <w:rPr>
          <w:rFonts w:ascii="Times New Roman" w:hAnsi="Times New Roman"/>
          <w:b/>
          <w:sz w:val="22"/>
        </w:rPr>
        <w:t>Lexical Aspect Extraction:</w:t>
      </w:r>
      <w:r>
        <w:rPr>
          <w:rFonts w:ascii="Times New Roman" w:hAnsi="Times New Roman"/>
          <w:sz w:val="22"/>
        </w:rPr>
        <w:t xml:space="preserve"> Aspect extraction in ABSA utilized curated domain lexicons rather than an end-to-end supervised dependency parser.</w:t>
        <w:br/>
        <w:t xml:space="preserve">4. </w:t>
      </w:r>
      <w:r>
        <w:rPr>
          <w:rFonts w:ascii="Times New Roman" w:hAnsi="Times New Roman"/>
          <w:b/>
          <w:sz w:val="22"/>
        </w:rPr>
        <w:t>Cross-Platform Omission:</w:t>
      </w:r>
      <w:r>
        <w:rPr>
          <w:rFonts w:ascii="Times New Roman" w:hAnsi="Times New Roman"/>
          <w:sz w:val="22"/>
        </w:rPr>
        <w:t xml:space="preserve"> Visual and video-based platforms (TikTok, Instagram) where the physical food was visually documented were not included in this computational pipeline.</w:t>
        <w:br/>
        <w:t xml:space="preserve">5. </w:t>
      </w:r>
      <w:r>
        <w:rPr>
          <w:rFonts w:ascii="Times New Roman" w:hAnsi="Times New Roman"/>
          <w:b/>
          <w:sz w:val="22"/>
        </w:rPr>
        <w:t>Temporal Horizon:</w:t>
      </w:r>
      <w:r>
        <w:rPr>
          <w:rFonts w:ascii="Times New Roman" w:hAnsi="Times New Roman"/>
          <w:sz w:val="22"/>
        </w:rPr>
        <w:t xml:space="preserve"> The study captures the initial rollout phase (January–March 2026); long-term longitudinal shifts in network topology remain unobserved.</w:t>
      </w:r>
    </w:p>
    <w:p>
      <w:pPr>
        <w:spacing w:line="240" w:lineRule="auto" w:after="120"/>
      </w:pPr>
      <w:r>
        <w:rPr>
          <w:rFonts w:ascii="Times New Roman" w:hAnsi="Times New Roman"/>
          <w:sz w:val="24"/>
        </w:rPr>
        <w:t>---</w:t>
      </w:r>
    </w:p>
    <w:p>
      <w:pPr>
        <w:spacing w:before="200" w:after="80"/>
      </w:pPr>
      <w:r>
        <w:rPr>
          <w:rFonts w:ascii="Times New Roman" w:hAnsi="Times New Roman"/>
          <w:b/>
          <w:i/>
          <w:sz w:val="22"/>
        </w:rPr>
        <w:t>Concluding Remarks</w:t>
      </w:r>
    </w:p>
    <w:p>
      <w:pPr>
        <w:spacing w:line="240" w:lineRule="auto" w:after="120"/>
      </w:pPr>
      <w:r/>
      <w:r>
        <w:rPr>
          <w:rFonts w:ascii="Times New Roman" w:hAnsi="Times New Roman"/>
          <w:sz w:val="22"/>
        </w:rPr>
        <w:t xml:space="preserve">This study mapped the digital crisis of Indonesia's Free Nutritious Meal (MBG) program through an integrated tri-layer computational communication architecture. The empirical findings validate that public resistance was fundamentally driven by a </w:t>
      </w:r>
      <w:r>
        <w:rPr>
          <w:rFonts w:ascii="Times New Roman" w:hAnsi="Times New Roman"/>
          <w:b/>
          <w:sz w:val="22"/>
        </w:rPr>
        <w:t>Phygital Gap</w:t>
      </w:r>
      <w:r>
        <w:rPr>
          <w:rFonts w:ascii="Times New Roman" w:hAnsi="Times New Roman"/>
          <w:sz w:val="22"/>
        </w:rPr>
        <w:t xml:space="preserve">—an irreconcilable discrepancy between the state's polished digital narrative and the substandard physical reality of food delivery. IndoBERT modeling revealed an overwhelming predominance of </w:t>
      </w:r>
      <w:r>
        <w:rPr>
          <w:rFonts w:ascii="Times New Roman" w:hAnsi="Times New Roman"/>
          <w:b/>
          <w:sz w:val="22"/>
        </w:rPr>
        <w:t>Disgust (56.24%)</w:t>
      </w:r>
      <w:r>
        <w:rPr>
          <w:rFonts w:ascii="Times New Roman" w:hAnsi="Times New Roman"/>
          <w:sz w:val="22"/>
        </w:rPr>
        <w:t xml:space="preserve">,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w:t>
      </w:r>
      <w:r>
        <w:rPr>
          <w:rFonts w:ascii="Times New Roman" w:hAnsi="Times New Roman"/>
          <w:b/>
          <w:sz w:val="22"/>
        </w:rPr>
        <w:t>Power Vacuum</w:t>
      </w:r>
      <w:r>
        <w:rPr>
          <w:rFonts w:ascii="Times New Roman" w:hAnsi="Times New Roman"/>
          <w:sz w:val="22"/>
        </w:rPr>
        <w:t xml:space="preserve">, an artificial intelligence bot (@grok) emerged as an </w:t>
      </w:r>
      <w:r>
        <w:rPr>
          <w:rFonts w:ascii="Times New Roman" w:hAnsi="Times New Roman"/>
          <w:b/>
          <w:sz w:val="22"/>
        </w:rPr>
        <w:t>Algorithmic Oracle</w:t>
      </w:r>
      <w:r>
        <w:rPr>
          <w:rFonts w:ascii="Times New Roman" w:hAnsi="Times New Roman"/>
          <w:sz w:val="22"/>
        </w:rPr>
        <w:t>, signaling a historic evolution in digital communication where algorithms adjudicate policy truths when physical delivery fails.</w:t>
      </w:r>
    </w:p>
    <w:p>
      <w:pPr>
        <w:spacing w:line="240" w:lineRule="auto" w:after="120"/>
      </w:pPr>
      <w:r>
        <w:rPr>
          <w:rFonts w:ascii="Times New Roman" w:hAnsi="Times New Roman"/>
          <w:sz w:val="24"/>
        </w:rPr>
        <w:t>---</w:t>
      </w:r>
    </w:p>
    <w:p>
      <w:pPr>
        <w:spacing w:before="280" w:after="120"/>
      </w:pPr>
      <w:r>
        <w:rPr>
          <w:rFonts w:ascii="Times New Roman" w:hAnsi="Times New Roman"/>
          <w:b/>
          <w:sz w:val="24"/>
        </w:rPr>
        <w:t>ACKNOWLEDGMENTS</w:t>
      </w:r>
    </w:p>
    <w:p>
      <w:pPr>
        <w:spacing w:line="240" w:lineRule="auto" w:after="120"/>
      </w:pPr>
      <w:r>
        <w:rPr>
          <w:rFonts w:ascii="Times New Roman" w:hAnsi="Times New Roman"/>
          <w:sz w:val="24"/>
        </w:rPr>
        <w:t>The authors express sincere gratitude to the Master of Communication Science Program, Faculty of Social and Political Sciences, Universitas Pembangunan Nasional 'Veteran' Jawa Timur for providing academic and institutional research facilities.</w:t>
      </w:r>
    </w:p>
    <w:p>
      <w:pPr>
        <w:spacing w:before="280" w:after="120"/>
      </w:pPr>
      <w:r>
        <w:rPr>
          <w:rFonts w:ascii="Times New Roman" w:hAnsi="Times New Roman"/>
          <w:b/>
          <w:sz w:val="24"/>
        </w:rPr>
        <w:t>REFERENCES</w:t>
      </w:r>
    </w:p>
    <w:p>
      <w:pPr>
        <w:spacing w:line="240" w:lineRule="auto" w:after="80"/>
        <w:ind w:left="576" w:hanging="576"/>
      </w:pPr>
      <w:r>
        <w:rPr>
          <w:rFonts w:ascii="Times New Roman" w:hAnsi="Times New Roman"/>
          <w:sz w:val="20"/>
        </w:rPr>
        <w:t>Blondel, V. D., Guillaume, J.-L., Lambiotte, R., &amp; Lefebvre, E. (2008). Fast unfolding of communities in large networks. Journal of Statistical Mechanics: Theory and Experiment, 2008(10), P10008. https://doi.org/10.1088/1742-5468/2008/10/P10008</w:t>
      </w:r>
    </w:p>
    <w:p>
      <w:pPr>
        <w:spacing w:line="240" w:lineRule="auto" w:after="80"/>
        <w:ind w:left="576" w:hanging="576"/>
      </w:pPr>
      <w:r>
        <w:rPr>
          <w:rFonts w:ascii="Times New Roman" w:hAnsi="Times New Roman"/>
          <w:sz w:val="20"/>
        </w:rPr>
        <w:t>Boyd, D., &amp; Crawford, K. (2012). Critical questions for big data: Provocations for a cultural, technological, and scholarly phenomenon. Information, Communication &amp; Society, 15(5), 662–679. https://doi.org/10.1080/1369118X.2012.678878</w:t>
      </w:r>
    </w:p>
    <w:p>
      <w:pPr>
        <w:spacing w:line="240" w:lineRule="auto" w:after="80"/>
        <w:ind w:left="576" w:hanging="576"/>
      </w:pPr>
      <w:r>
        <w:rPr>
          <w:rFonts w:ascii="Times New Roman" w:hAnsi="Times New Roman"/>
          <w:sz w:val="20"/>
        </w:rPr>
        <w:t>Camp, E. (2012). Sarcasm, pretense, and the semantics/pragmatics distinction. Noûs, 46(4), 587–634. https://doi.org/10.1111/j.1468-0068.2010.00822.x</w:t>
      </w:r>
    </w:p>
    <w:p>
      <w:pPr>
        <w:spacing w:line="240" w:lineRule="auto" w:after="80"/>
        <w:ind w:left="576" w:hanging="576"/>
      </w:pPr>
      <w:r>
        <w:rPr>
          <w:rFonts w:ascii="Times New Roman" w:hAnsi="Times New Roman"/>
          <w:sz w:val="20"/>
        </w:rPr>
        <w:t>Chiorrini, A., Diamantini, C., Mircoli, A., &amp; Potena, D. (2021). Emotion and sentiment analysis of tweets using BERT. CEUR Workshop Proceedings, 2841, 1–10.</w:t>
      </w:r>
    </w:p>
    <w:p>
      <w:pPr>
        <w:spacing w:line="240" w:lineRule="auto" w:after="80"/>
        <w:ind w:left="576" w:hanging="576"/>
      </w:pPr>
      <w:r>
        <w:rPr>
          <w:rFonts w:ascii="Times New Roman" w:hAnsi="Times New Roman"/>
          <w:sz w:val="20"/>
        </w:rPr>
        <w:t>Clark, H. H., &amp; Gerrig, R. J. (1984). On the pretense theory of irony. Journal of Experimental Psychology: General, 113(1), 121–126. https://doi.org/10.1037/0096-3445.113.1.121</w:t>
      </w:r>
    </w:p>
    <w:p>
      <w:pPr>
        <w:spacing w:line="240" w:lineRule="auto" w:after="80"/>
        <w:ind w:left="576" w:hanging="576"/>
      </w:pPr>
      <w:r>
        <w:rPr>
          <w:rFonts w:ascii="Times New Roman" w:hAnsi="Times New Roman"/>
          <w:sz w:val="20"/>
        </w:rPr>
        <w:t>Coombs, W. T. (2007). Protecting organization reputations during a crisis: The development and application of situational crisis communication theory. Corporate Reputation Review, 10(3), 163–176. https://doi.org/10.1057/palgrave.crr.1550049</w:t>
      </w:r>
    </w:p>
    <w:p>
      <w:pPr>
        <w:spacing w:line="240" w:lineRule="auto" w:after="80"/>
        <w:ind w:left="576" w:hanging="576"/>
      </w:pPr>
      <w:r>
        <w:rPr>
          <w:rFonts w:ascii="Times New Roman" w:hAnsi="Times New Roman"/>
          <w:sz w:val="20"/>
        </w:rPr>
        <w:t>Devlin, J., Chang, M.-W., Lee, K., &amp; Toutanova, K. (2018). BERT: Pre-training of deep bidirectional transformers for language understanding. arXiv Preprint arXiv:1810.04805.</w:t>
      </w:r>
    </w:p>
    <w:p>
      <w:pPr>
        <w:spacing w:line="240" w:lineRule="auto" w:after="80"/>
        <w:ind w:left="576" w:hanging="576"/>
      </w:pPr>
      <w:r>
        <w:rPr>
          <w:rFonts w:ascii="Times New Roman" w:hAnsi="Times New Roman"/>
          <w:sz w:val="20"/>
        </w:rPr>
        <w:t>Freeman, L. C. (1979). Centrality in social networks: Conceptual clarification. Social Networks, 1(3), 215–239. https://doi.org/10.1016/0378-8733(78)90021-7</w:t>
      </w:r>
    </w:p>
    <w:p>
      <w:pPr>
        <w:spacing w:line="240" w:lineRule="auto" w:after="80"/>
        <w:ind w:left="576" w:hanging="576"/>
      </w:pPr>
      <w:r>
        <w:rPr>
          <w:rFonts w:ascii="Times New Roman" w:hAnsi="Times New Roman"/>
          <w:sz w:val="20"/>
        </w:rPr>
        <w:t>Grice, H. P. (1975). Logic and conversation. In P. Cole &amp; J. L. Morgan (Eds.), Syntax and Semantics: Speech Acts (Vol. 3, pp. 41–58). Academic Press.</w:t>
      </w:r>
    </w:p>
    <w:p>
      <w:pPr>
        <w:spacing w:line="240" w:lineRule="auto" w:after="80"/>
        <w:ind w:left="576" w:hanging="576"/>
      </w:pPr>
      <w:r>
        <w:rPr>
          <w:rFonts w:ascii="Times New Roman" w:hAnsi="Times New Roman"/>
          <w:sz w:val="20"/>
        </w:rPr>
        <w:t>Habermas, J. (1989). The structural transformation of the public sphere: An inquiry into a category of bourgeois society. MIT Press.</w:t>
      </w:r>
    </w:p>
    <w:p>
      <w:pPr>
        <w:spacing w:line="240" w:lineRule="auto" w:after="80"/>
        <w:ind w:left="576" w:hanging="576"/>
      </w:pPr>
      <w:r>
        <w:rPr>
          <w:rFonts w:ascii="Times New Roman" w:hAnsi="Times New Roman"/>
          <w:sz w:val="20"/>
        </w:rPr>
        <w:t>Habermas, J. (2006). Political communication in media society: Does democracy still enjoy an epistemic dimension? Communication Theory, 16(4), 411–426. https://doi.org/10.1111/j.1468-2885.2006.00280.x</w:t>
      </w:r>
    </w:p>
    <w:p>
      <w:pPr>
        <w:spacing w:line="240" w:lineRule="auto" w:after="80"/>
        <w:ind w:left="576" w:hanging="576"/>
      </w:pPr>
      <w:r>
        <w:rPr>
          <w:rFonts w:ascii="Times New Roman" w:hAnsi="Times New Roman"/>
          <w:sz w:val="20"/>
        </w:rPr>
        <w:t>Kotler, P., Kartajaya, H., &amp; Setiawan, I. (2023). Marketing 6.0: The future is immersive. John Wiley &amp; Sons.</w:t>
      </w:r>
    </w:p>
    <w:p>
      <w:pPr>
        <w:spacing w:line="240" w:lineRule="auto" w:after="80"/>
        <w:ind w:left="576" w:hanging="576"/>
      </w:pPr>
      <w:r>
        <w:rPr>
          <w:rFonts w:ascii="Times New Roman" w:hAnsi="Times New Roman"/>
          <w:sz w:val="20"/>
        </w:rPr>
        <w:t>Koto, F., Rahimi, A., Lau, J. H., &amp; Baldwin, T. (2020). IndoLEM and IndoBERT: A benchmark dataset and pre-trained language model for Indonesian NLP. Proceedings of COLING 2020, 757–770.</w:t>
      </w:r>
    </w:p>
    <w:p>
      <w:pPr>
        <w:spacing w:line="240" w:lineRule="auto" w:after="80"/>
        <w:ind w:left="576" w:hanging="576"/>
      </w:pPr>
      <w:r>
        <w:rPr>
          <w:rFonts w:ascii="Times New Roman" w:hAnsi="Times New Roman"/>
          <w:sz w:val="20"/>
        </w:rPr>
        <w:t>Mediator Editorial Team. (2026). Public sentiment toward Indonesia’s Free Nutritious Meal program on X: A systematic review. Mediator: Jurnal Komunikasi, 17(1), 1–14.</w:t>
      </w:r>
    </w:p>
    <w:p>
      <w:pPr>
        <w:spacing w:line="240" w:lineRule="auto" w:after="80"/>
        <w:ind w:left="576" w:hanging="576"/>
      </w:pPr>
      <w:r>
        <w:rPr>
          <w:rFonts w:ascii="Times New Roman" w:hAnsi="Times New Roman"/>
          <w:sz w:val="20"/>
        </w:rPr>
        <w:t>Newman, M. E. J. (2006). Modularity and community structure in networks. Proceedings of the National Academy of Sciences, 103(23), 8577–8582. https://doi.org/10.1073/pnas.0601602103</w:t>
      </w:r>
    </w:p>
    <w:p>
      <w:pPr>
        <w:spacing w:line="240" w:lineRule="auto" w:after="80"/>
        <w:ind w:left="576" w:hanging="576"/>
      </w:pPr>
      <w:r>
        <w:rPr>
          <w:rFonts w:ascii="Times New Roman" w:hAnsi="Times New Roman"/>
          <w:sz w:val="20"/>
        </w:rPr>
        <w:t>Papacharissi, Z. (2015). Affective publics: Sentiment, technology, and politics. Oxford University Press.</w:t>
      </w:r>
    </w:p>
    <w:p>
      <w:pPr>
        <w:spacing w:line="240" w:lineRule="auto" w:after="80"/>
        <w:ind w:left="576" w:hanging="576"/>
      </w:pPr>
      <w:r>
        <w:rPr>
          <w:rFonts w:ascii="Times New Roman" w:hAnsi="Times New Roman"/>
          <w:sz w:val="20"/>
        </w:rPr>
        <w:t>Pariser, E. (2011). The filter bubble: What the internet is hiding from you. Penguin Press.</w:t>
      </w:r>
    </w:p>
    <w:p>
      <w:pPr>
        <w:spacing w:line="240" w:lineRule="auto" w:after="80"/>
        <w:ind w:left="576" w:hanging="576"/>
      </w:pPr>
      <w:r>
        <w:rPr>
          <w:rFonts w:ascii="Times New Roman" w:hAnsi="Times New Roman"/>
          <w:sz w:val="20"/>
        </w:rPr>
        <w:t>Plutchik, R. (1980). A general psychoevolutionary theory of emotion. In Theories of Emotion (pp. 3–33). Academic Press.</w:t>
      </w:r>
    </w:p>
    <w:p>
      <w:pPr>
        <w:spacing w:line="240" w:lineRule="auto" w:after="80"/>
        <w:ind w:left="576" w:hanging="576"/>
      </w:pPr>
      <w:r>
        <w:rPr>
          <w:rFonts w:ascii="Times New Roman" w:hAnsi="Times New Roman"/>
          <w:sz w:val="20"/>
        </w:rPr>
        <w:t>Riza, A., &amp; Charibaldi, N. (2021). Implementasi deteksi emosi pada teks bahasa Indonesia menggunakan FastText dan LSTM. Jurnal RESTI, 5(2), 241–248. https://doi.org/10.29207/resti.v5i2.2896</w:t>
      </w:r>
    </w:p>
    <w:p>
      <w:pPr>
        <w:spacing w:line="240" w:lineRule="auto" w:after="80"/>
        <w:ind w:left="576" w:hanging="576"/>
      </w:pPr>
      <w:r>
        <w:rPr>
          <w:rFonts w:ascii="Times New Roman" w:hAnsi="Times New Roman"/>
          <w:sz w:val="20"/>
        </w:rPr>
        <w:t>Saputri, M. S., Mahendra, R., &amp; Adriani, M. (2018). Emotion classification on Indonesian Twitter dataset. 2018 International Conference on Asian Language Processing (IALP), 90–95. https://doi.org/10.1109/IALP.2018.8629145</w:t>
      </w:r>
    </w:p>
    <w:p>
      <w:pPr>
        <w:spacing w:line="240" w:lineRule="auto" w:after="80"/>
        <w:ind w:left="576" w:hanging="576"/>
      </w:pPr>
      <w:r>
        <w:rPr>
          <w:rFonts w:ascii="Times New Roman" w:hAnsi="Times New Roman"/>
          <w:sz w:val="20"/>
        </w:rPr>
        <w:t>Schultz, F., Utz, S., &amp; Göritz, A. (2011). Is the medium the message? Perceptions of and reactions to crisis communication via Twitter, blogs and traditional media. Public Relations Review, 37(1), 20–27. https://doi.org/10.1016/j.pubrev.2010.12.001</w:t>
      </w:r>
    </w:p>
    <w:p>
      <w:pPr>
        <w:spacing w:line="240" w:lineRule="auto" w:after="80"/>
        <w:ind w:left="576" w:hanging="576"/>
      </w:pPr>
      <w:r>
        <w:rPr>
          <w:rFonts w:ascii="Times New Roman" w:hAnsi="Times New Roman"/>
          <w:sz w:val="20"/>
        </w:rPr>
        <w:t>Shaw, P., LaCasse, K., &amp; Champagne, C. (2025). Transfer learning for emotion classification in low-resource Indonesian social discourse. Social Network Analysis and Mining, 15(1), 42–58. https://doi.org/10.1007/s13278-024-01201-4</w:t>
      </w:r>
    </w:p>
    <w:p>
      <w:pPr>
        <w:spacing w:line="240" w:lineRule="auto" w:after="80"/>
        <w:ind w:left="576" w:hanging="576"/>
      </w:pPr>
      <w:r>
        <w:rPr>
          <w:rFonts w:ascii="Times New Roman" w:hAnsi="Times New Roman"/>
          <w:sz w:val="20"/>
        </w:rPr>
        <w:t>Suaib, A., &amp; Pratiwi, R. (2025). Social network analysis in the dissemination of MBG program information on social media X. Jurnal Studi Komunikasi, 9(1), 112–129.</w:t>
      </w:r>
    </w:p>
    <w:p>
      <w:pPr>
        <w:spacing w:line="240" w:lineRule="auto" w:after="80"/>
        <w:ind w:left="576" w:hanging="576"/>
      </w:pPr>
      <w:r>
        <w:rPr>
          <w:rFonts w:ascii="Times New Roman" w:hAnsi="Times New Roman"/>
          <w:sz w:val="20"/>
        </w:rPr>
        <w:t>Sulafasyah, L. (2026). Analisis jaringan komunikasi isu keracunan MBG di Twitter [Unpublished master's thesis]. Universitas Pembangunan Nasional 'Veteran' Jawa Timur.</w:t>
      </w:r>
    </w:p>
    <w:p>
      <w:pPr>
        <w:spacing w:line="240" w:lineRule="auto" w:after="80"/>
        <w:ind w:left="576" w:hanging="576"/>
      </w:pPr>
      <w:r>
        <w:rPr>
          <w:rFonts w:ascii="Times New Roman" w:hAnsi="Times New Roman"/>
          <w:sz w:val="20"/>
        </w:rPr>
        <w:t>Sunstein, C. R. (2017). #Republic: Divided democracy in the age of social media. Princeton University Press.</w:t>
      </w:r>
    </w:p>
    <w:p>
      <w:pPr>
        <w:spacing w:line="240" w:lineRule="auto" w:after="80"/>
        <w:ind w:left="576" w:hanging="576"/>
      </w:pPr>
      <w:r>
        <w:rPr>
          <w:rFonts w:ascii="Times New Roman" w:hAnsi="Times New Roman"/>
          <w:sz w:val="20"/>
        </w:rPr>
        <w:t>Wasserman, S., &amp; Faust, K. (1994). Social network analysis: Methods and applications. Cambridge University Press.</w:t>
      </w:r>
    </w:p>
    <w:p>
      <w:pPr>
        <w:spacing w:line="240" w:lineRule="auto" w:after="80"/>
        <w:ind w:left="576" w:hanging="576"/>
      </w:pPr>
      <w:r>
        <w:rPr>
          <w:rFonts w:ascii="Times New Roman" w:hAnsi="Times New Roman"/>
          <w:sz w:val="20"/>
        </w:rPr>
        <w:t>Wilie, B., Vincentio, K., Winata, G. I., Cahyawijaya, S., Li, X., Lim, Z. Y., Soleman, S., Mahendra, R., Fung, P., Bahar, S., &amp; Purwarianti, A. (2020). IndoNLU: Benchmark and resources for evaluating Indonesian natural language understanding. Proceedings of AACL-IJCNLP 2020, 843–860.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