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jc w:val="center"/>
      </w:pPr>
      <w:r>
        <w:rPr>
          <w:rFonts w:ascii="Times New Roman" w:hAnsi="Times New Roman"/>
          <w:b/>
          <w:color w:val="0F172A"/>
          <w:sz w:val="32"/>
        </w:rPr>
        <w:t>COVER LETTER FOR SUBMISSION TO INFORMATION, COMMUNICATION &amp; SOCIETY</w:t>
      </w:r>
    </w:p>
    <w:p/>
    <w:p>
      <w:pPr>
        <w:spacing w:after="120" w:line="276" w:lineRule="auto"/>
      </w:pPr>
      <w:r>
        <w:rPr>
          <w:rFonts w:ascii="Times New Roman" w:hAnsi="Times New Roman"/>
          <w:b w:val="0"/>
          <w:sz w:val="22"/>
        </w:rPr>
        <w:t>**Date:** March 20, 2026</w:t>
      </w:r>
    </w:p>
    <w:p/>
    <w:p>
      <w:pPr>
        <w:spacing w:after="120" w:line="276" w:lineRule="auto"/>
      </w:pPr>
      <w:r>
        <w:rPr>
          <w:rFonts w:ascii="Times New Roman" w:hAnsi="Times New Roman"/>
          <w:b w:val="0"/>
          <w:sz w:val="22"/>
        </w:rPr>
        <w:t>**To:**</w:t>
      </w:r>
    </w:p>
    <w:p>
      <w:pPr>
        <w:spacing w:after="120" w:line="276" w:lineRule="auto"/>
      </w:pPr>
      <w:r>
        <w:rPr>
          <w:rFonts w:ascii="Times New Roman" w:hAnsi="Times New Roman"/>
          <w:sz w:val="22"/>
        </w:rPr>
        <w:t>**Prof. Brian Loader and the Editorial Team**</w:t>
      </w:r>
    </w:p>
    <w:p>
      <w:pPr>
        <w:spacing w:after="120" w:line="276" w:lineRule="auto"/>
      </w:pPr>
      <w:r>
        <w:rPr>
          <w:rFonts w:ascii="Times New Roman" w:hAnsi="Times New Roman"/>
          <w:sz w:val="22"/>
        </w:rPr>
        <w:t>*Information, Communication &amp; Society* (ICS)</w:t>
      </w:r>
    </w:p>
    <w:p>
      <w:pPr>
        <w:spacing w:after="120" w:line="276" w:lineRule="auto"/>
      </w:pPr>
      <w:r>
        <w:rPr>
          <w:rFonts w:ascii="Times New Roman" w:hAnsi="Times New Roman"/>
          <w:sz w:val="22"/>
        </w:rPr>
        <w:t>Taylor &amp; Francis Group</w:t>
      </w:r>
    </w:p>
    <w:p/>
    <w:p>
      <w:pPr>
        <w:spacing w:after="120" w:line="276" w:lineRule="auto"/>
      </w:pPr>
      <w:r>
        <w:rPr>
          <w:rFonts w:ascii="Times New Roman" w:hAnsi="Times New Roman"/>
          <w:b w:val="0"/>
          <w:sz w:val="22"/>
        </w:rPr>
        <w:t>**Subject:** Submission of Original Research Manuscript for Double-Blind Peer Review</w:t>
      </w:r>
    </w:p>
    <w:p/>
    <w:p>
      <w:pPr>
        <w:spacing w:before="80" w:after="80"/>
      </w:pPr>
      <w:r>
        <w:rPr>
          <w:color w:val="94A3B8"/>
        </w:rPr>
        <w:t>――――――――――――――――――――――――――――――――――――――――</w:t>
      </w:r>
    </w:p>
    <w:p/>
    <w:p>
      <w:pPr>
        <w:spacing w:after="120" w:line="276" w:lineRule="auto"/>
      </w:pPr>
      <w:r>
        <w:rPr>
          <w:rFonts w:ascii="Times New Roman" w:hAnsi="Times New Roman"/>
          <w:sz w:val="22"/>
        </w:rPr>
        <w:t>Dear Professor Loader and Editorial Board Members,</w:t>
      </w:r>
    </w:p>
    <w:p/>
    <w:p>
      <w:pPr>
        <w:spacing w:after="120" w:line="276" w:lineRule="auto"/>
      </w:pPr>
      <w:r>
        <w:rPr>
          <w:rFonts w:ascii="Times New Roman" w:hAnsi="Times New Roman"/>
          <w:sz w:val="22"/>
        </w:rPr>
        <w:t>We are pleased to submit our research manuscript entitled:</w:t>
      </w:r>
    </w:p>
    <w:p/>
    <w:p>
      <w:pPr>
        <w:spacing w:after="120" w:line="276" w:lineRule="auto"/>
      </w:pPr>
      <w:r>
        <w:rPr>
          <w:rFonts w:ascii="Times New Roman" w:hAnsi="Times New Roman"/>
          <w:sz w:val="22"/>
        </w:rPr>
        <w:t>**"Weaponized Emojis, Networked Contempt, and the Algorithmic Oracle: A Tri-Layer Forensic of Digital Public Resistance to Indonesia's Free Nutritious Meal Policy on Platform X"**</w:t>
      </w:r>
    </w:p>
    <w:p/>
    <w:p>
      <w:pPr>
        <w:spacing w:after="120" w:line="276" w:lineRule="auto"/>
      </w:pPr>
      <w:r>
        <w:rPr>
          <w:rFonts w:ascii="Times New Roman" w:hAnsi="Times New Roman"/>
          <w:sz w:val="22"/>
        </w:rPr>
        <w:t>for consideration as an Original Research Article in *Information, Communication &amp; Society* (ICS).</w:t>
      </w:r>
    </w:p>
    <w:p/>
    <w:p>
      <w:pPr>
        <w:spacing w:before="160" w:after="80"/>
      </w:pPr>
      <w:r>
        <w:rPr>
          <w:rFonts w:ascii="Times New Roman" w:hAnsi="Times New Roman"/>
          <w:b/>
          <w:sz w:val="24"/>
        </w:rPr>
        <w:t>Relevance to Information, Communication &amp; Society</w:t>
      </w:r>
    </w:p>
    <w:p>
      <w:pPr>
        <w:spacing w:after="120" w:line="276" w:lineRule="auto"/>
      </w:pPr>
      <w:r>
        <w:rPr>
          <w:rFonts w:ascii="Times New Roman" w:hAnsi="Times New Roman"/>
          <w:sz w:val="22"/>
        </w:rPr>
        <w:t>*Information, Communication &amp; Society* stands at the forefront of critical inquiries into the social, economic, and political transformations shaped by digital platforms, networked affect, and algorithmic power.</w:t>
      </w:r>
    </w:p>
    <w:p/>
    <w:p>
      <w:pPr>
        <w:spacing w:after="120" w:line="276" w:lineRule="auto"/>
      </w:pPr>
      <w:r>
        <w:rPr>
          <w:rFonts w:ascii="Times New Roman" w:hAnsi="Times New Roman"/>
          <w:sz w:val="22"/>
        </w:rPr>
        <w:t>Our paper investigates how the intersection of authoritarian content surveillance (e.g., Indonesia's UU ITE), digital platform affordances, and algorithmic actors transforms digital citizenship. Specifically, we examine the controversy surrounding Indonesia's national Free Nutritious Meal (*Makan Bergizi Gratis* / MBG) program on Platform X ($N = 9,862$ citizen posts).</w:t>
      </w:r>
    </w:p>
    <w:p/>
    <w:p>
      <w:pPr>
        <w:spacing w:after="120" w:line="276" w:lineRule="auto"/>
      </w:pPr>
      <w:r>
        <w:rPr>
          <w:rFonts w:ascii="Times New Roman" w:hAnsi="Times New Roman"/>
          <w:sz w:val="22"/>
        </w:rPr>
        <w:t>Our study provides key contributions tailored to ICS readership:</w:t>
      </w:r>
    </w:p>
    <w:p>
      <w:pPr>
        <w:pStyle w:val="ListNumber"/>
        <w:spacing w:after="60" w:line="276" w:lineRule="auto"/>
      </w:pPr>
      <w:r>
        <w:rPr>
          <w:rFonts w:ascii="Times New Roman" w:hAnsi="Times New Roman"/>
          <w:sz w:val="22"/>
        </w:rPr>
        <w:t>**Everyday Forms of Digital Resistance &amp; Semiotic Subversion:** Building on James C. Scott's weapons of the weak and Erving Goffman's framing, we theorize how citizens weaponize sarcasm and ironic emojis (🤡, 🤮) as paralinguistic shields to voice political resistance against state policy failures without incurring legal liability.</w:t>
      </w:r>
    </w:p>
    <w:p>
      <w:pPr>
        <w:pStyle w:val="ListNumber"/>
        <w:spacing w:after="60" w:line="276" w:lineRule="auto"/>
      </w:pPr>
      <w:r>
        <w:rPr>
          <w:rFonts w:ascii="Times New Roman" w:hAnsi="Times New Roman"/>
          <w:sz w:val="22"/>
        </w:rPr>
        <w:t>**Networked Affect &amp; Echo Chamber Modularity:** Drawing upon Zizi Papacharissi's networked affect, we demonstrate that citizen affective mobilization around MBG is characterized by severe fragmentation ($Q = 0.9837$ across 332 echo chambers) and near-total absence of deliberative engagement (reciprocity = $1.21\%$).</w:t>
      </w:r>
    </w:p>
    <w:p>
      <w:pPr>
        <w:pStyle w:val="ListNumber"/>
        <w:spacing w:after="60" w:line="276" w:lineRule="auto"/>
      </w:pPr>
      <w:r>
        <w:rPr>
          <w:rFonts w:ascii="Times New Roman" w:hAnsi="Times New Roman"/>
          <w:sz w:val="22"/>
        </w:rPr>
        <w:t>**The Rise of the Algorithmic Oracle:** We document an emergent form of algorithmic delegation where citizens query autonomous AI accounts (`@grok`) to bypass unresponsive state authorities, fundamentally reshaping the epistemic dynamics of the digital public sphere.</w:t>
      </w:r>
    </w:p>
    <w:p/>
    <w:p>
      <w:pPr>
        <w:spacing w:before="160" w:after="80"/>
      </w:pPr>
      <w:r>
        <w:rPr>
          <w:rFonts w:ascii="Times New Roman" w:hAnsi="Times New Roman"/>
          <w:b/>
          <w:sz w:val="24"/>
        </w:rPr>
        <w:t>Empirical Rigor &amp; Validation</w:t>
      </w:r>
    </w:p>
    <w:p>
      <w:pPr>
        <w:pStyle w:val="ListBullet"/>
        <w:spacing w:after="60" w:line="276" w:lineRule="auto"/>
      </w:pPr>
      <w:r>
        <w:rPr>
          <w:rFonts w:ascii="Times New Roman" w:hAnsi="Times New Roman"/>
          <w:sz w:val="22"/>
        </w:rPr>
        <w:t>**IndoBERT Transformer Architecture:** Micro-affective Plutchik modeling achieving high throughput ($223.3$ posts/s) on Apple Silicon GPU.</w:t>
      </w:r>
    </w:p>
    <w:p>
      <w:pPr>
        <w:pStyle w:val="ListBullet"/>
        <w:spacing w:after="60" w:line="276" w:lineRule="auto"/>
      </w:pPr>
      <w:r>
        <w:rPr>
          <w:rFonts w:ascii="Times New Roman" w:hAnsi="Times New Roman"/>
          <w:sz w:val="22"/>
        </w:rPr>
        <w:t>**Empirical Held-Out Validation:** Evaluated on an isolated group-aware held-out test split ($n = 1,058$, silver-standard references) achieving **75.99% accuracy** and **Macro-F1 of 0.4535** across 6 active classes.</w:t>
      </w:r>
    </w:p>
    <w:p>
      <w:pPr>
        <w:pStyle w:val="ListBullet"/>
        <w:spacing w:after="60" w:line="276" w:lineRule="auto"/>
      </w:pPr>
      <w:r>
        <w:rPr>
          <w:rFonts w:ascii="Times New Roman" w:hAnsi="Times New Roman"/>
          <w:sz w:val="22"/>
        </w:rPr>
        <w:t>**Taxonomic &amp; Imbalance Robustness:** Resolving class imbalance artifacts via linguistic audit and hierarchical valence modeling (**Macro-F1 = 0.7522 / 75.22%**, Accuracy **76.56%**).</w:t>
      </w:r>
    </w:p>
    <w:p>
      <w:pPr>
        <w:pStyle w:val="ListBullet"/>
        <w:spacing w:after="60" w:line="276" w:lineRule="auto"/>
      </w:pPr>
      <w:r>
        <w:rPr>
          <w:rFonts w:ascii="Times New Roman" w:hAnsi="Times New Roman"/>
          <w:sz w:val="22"/>
        </w:rPr>
        <w:t>**Canonical Topology:** Full reproducible network telemetry ($|V| = 971, |E| = 666$).</w:t>
      </w:r>
    </w:p>
    <w:p/>
    <w:p>
      <w:pPr>
        <w:spacing w:before="160" w:after="80"/>
      </w:pPr>
      <w:r>
        <w:rPr>
          <w:rFonts w:ascii="Times New Roman" w:hAnsi="Times New Roman"/>
          <w:b/>
          <w:sz w:val="24"/>
        </w:rPr>
        <w:t>Compliance and Declarations</w:t>
      </w:r>
    </w:p>
    <w:p>
      <w:pPr>
        <w:pStyle w:val="ListBullet"/>
        <w:spacing w:after="60" w:line="276" w:lineRule="auto"/>
      </w:pPr>
      <w:r>
        <w:rPr>
          <w:rFonts w:ascii="Times New Roman" w:hAnsi="Times New Roman"/>
          <w:sz w:val="22"/>
        </w:rPr>
        <w:t>**Originality:** The article is an original contribution, not previously published, and not concurrently under review elsewhere.</w:t>
      </w:r>
    </w:p>
    <w:p>
      <w:pPr>
        <w:pStyle w:val="ListBullet"/>
        <w:spacing w:after="60" w:line="276" w:lineRule="auto"/>
      </w:pPr>
      <w:r>
        <w:rPr>
          <w:rFonts w:ascii="Times New Roman" w:hAnsi="Times New Roman"/>
          <w:sz w:val="22"/>
        </w:rPr>
        <w:t>**Double-Blind Review:** The submitted manuscript is fully blinded to preserve confidentiality.</w:t>
      </w:r>
    </w:p>
    <w:p>
      <w:pPr>
        <w:pStyle w:val="ListBullet"/>
        <w:spacing w:after="60" w:line="276" w:lineRule="auto"/>
      </w:pPr>
      <w:r>
        <w:rPr>
          <w:rFonts w:ascii="Times New Roman" w:hAnsi="Times New Roman"/>
          <w:sz w:val="22"/>
        </w:rPr>
        <w:t>**Open Science:** Full datasets, code pipelines, and audit reports are archived at: `https://github.com/indri007/ThisIsEconomy`.</w:t>
      </w:r>
    </w:p>
    <w:p>
      <w:pPr>
        <w:pStyle w:val="ListBullet"/>
        <w:spacing w:after="60" w:line="276" w:lineRule="auto"/>
      </w:pPr>
      <w:r>
        <w:rPr>
          <w:rFonts w:ascii="Times New Roman" w:hAnsi="Times New Roman"/>
          <w:sz w:val="22"/>
        </w:rPr>
        <w:t>**Publication Route:** We select the Standard Subscription (Zero APC / Free Publication) model.</w:t>
      </w:r>
    </w:p>
    <w:p/>
    <w:p>
      <w:pPr>
        <w:spacing w:after="120" w:line="276" w:lineRule="auto"/>
      </w:pPr>
      <w:r>
        <w:rPr>
          <w:rFonts w:ascii="Times New Roman" w:hAnsi="Times New Roman"/>
          <w:sz w:val="22"/>
        </w:rPr>
        <w:t>Thank you for your consideration.</w:t>
      </w:r>
    </w:p>
    <w:p/>
    <w:p>
      <w:pPr>
        <w:spacing w:after="120" w:line="276" w:lineRule="auto"/>
      </w:pPr>
      <w:r>
        <w:rPr>
          <w:rFonts w:ascii="Times New Roman" w:hAnsi="Times New Roman"/>
          <w:sz w:val="22"/>
        </w:rPr>
        <w:t>Sincerely yours,</w:t>
      </w:r>
    </w:p>
    <w:p/>
    <w:p>
      <w:pPr>
        <w:spacing w:after="120" w:line="276" w:lineRule="auto"/>
      </w:pPr>
      <w:r>
        <w:rPr>
          <w:rFonts w:ascii="Times New Roman" w:hAnsi="Times New Roman"/>
          <w:sz w:val="22"/>
        </w:rPr>
        <w:t>**Indri Anjar Kartika Sari** *(Corresponding Author)*</w:t>
      </w:r>
    </w:p>
    <w:p>
      <w:pPr>
        <w:spacing w:after="120" w:line="276" w:lineRule="auto"/>
      </w:pPr>
      <w:r>
        <w:rPr>
          <w:rFonts w:ascii="Times New Roman" w:hAnsi="Times New Roman"/>
          <w:sz w:val="22"/>
        </w:rPr>
        <w:t>Department of Communication Science, UPN Veteran Jawa Timur</w:t>
      </w:r>
    </w:p>
    <w:p>
      <w:pPr>
        <w:spacing w:after="120" w:line="276" w:lineRule="auto"/>
      </w:pPr>
      <w:r>
        <w:rPr>
          <w:rFonts w:ascii="Times New Roman" w:hAnsi="Times New Roman"/>
          <w:sz w:val="22"/>
        </w:rPr>
        <w:t>Surabaya, 60294, Indonesia | Email: `indrianjar@gmail.com`</w:t>
      </w:r>
    </w:p>
    <w:p/>
    <w:p>
      <w:pPr>
        <w:spacing w:after="120" w:line="276" w:lineRule="auto"/>
      </w:pPr>
      <w:r>
        <w:rPr>
          <w:rFonts w:ascii="Times New Roman" w:hAnsi="Times New Roman"/>
          <w:sz w:val="22"/>
        </w:rPr>
        <w:t>*Co-Authors:* Dr. Catur Suratnoaji, M.Si. &amp; Dr. Agus Widiyarta, S.Sos., M.Si.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