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480" w:after="280"/>
        <w:jc w:val="center"/>
      </w:pPr>
      <w:r>
        <w:rPr>
          <w:rFonts w:ascii="Times New Roman" w:hAnsi="Times New Roman"/>
          <w:b/>
          <w:i w:val="0"/>
          <w:sz w:val="30"/>
        </w:rPr>
        <w:t>The Phygital Policy Rift: Platformed Citizen Dissent, Networked Affect, and the Rise of the Algorithmic Oracle in Indonesia's Free Nutritious Meal Discourse</w:t>
      </w:r>
    </w:p>
    <w:p>
      <w:pPr>
        <w:spacing w:line="360" w:lineRule="auto" w:after="80"/>
        <w:jc w:val="center"/>
      </w:pPr>
      <w:r>
        <w:rPr>
          <w:rFonts w:ascii="Times New Roman" w:hAnsi="Times New Roman"/>
          <w:b w:val="0"/>
          <w:i/>
          <w:sz w:val="24"/>
        </w:rPr>
      </w:r>
      <w:r>
        <w:rPr>
          <w:rFonts w:ascii="Times New Roman" w:hAnsi="Times New Roman"/>
          <w:b w:val="0"/>
          <w:i/>
          <w:sz w:val="24"/>
        </w:rPr>
        <w:t>Indri Anjar Kartika Sari¹</w:t>
      </w:r>
      <w:r>
        <w:rPr>
          <w:rFonts w:ascii="Times New Roman" w:hAnsi="Times New Roman"/>
          <w:b w:val="0"/>
          <w:i w:val="0"/>
          <w:sz w:val="24"/>
        </w:rPr>
        <w:t>, Catur Suratnoaji¹, and Agus Widiyarta¹**</w:t>
      </w:r>
    </w:p>
    <w:p>
      <w:pPr>
        <w:spacing w:line="360" w:lineRule="auto" w:after="80"/>
        <w:jc w:val="center"/>
      </w:pPr>
      <w:r>
        <w:rPr>
          <w:rFonts w:ascii="Times New Roman" w:hAnsi="Times New Roman"/>
          <w:b w:val="0"/>
          <w:i/>
          <w:sz w:val="22"/>
        </w:rPr>
        <w:t xml:space="preserve">¹ </w:t>
      </w:r>
      <w:r>
        <w:rPr>
          <w:rFonts w:ascii="Times New Roman" w:hAnsi="Times New Roman"/>
          <w:b w:val="0"/>
          <w:i/>
          <w:sz w:val="22"/>
        </w:rPr>
        <w:t>Department of Communication Science, Faculty of Social and Political Sciences, Universitas Pembangunan Nasional "Veteran" Jawa Timur, Surabaya, 60294, Indonesia</w:t>
      </w:r>
    </w:p>
    <w:p>
      <w:pPr>
        <w:spacing w:line="360" w:lineRule="auto" w:after="400"/>
        <w:jc w:val="center"/>
      </w:pPr>
      <w:r>
        <w:rPr>
          <w:rFonts w:ascii="Times New Roman" w:hAnsi="Times New Roman"/>
          <w:b w:val="0"/>
          <w:i/>
          <w:sz w:val="21"/>
        </w:rPr>
        <w:t>\</w:t>
      </w:r>
      <w:r>
        <w:rPr>
          <w:rFonts w:ascii="Times New Roman" w:hAnsi="Times New Roman"/>
          <w:b w:val="0"/>
          <w:i w:val="0"/>
          <w:sz w:val="21"/>
        </w:rPr>
        <w:t>Corresponding Author: indrianjar@gmail.com | ORCID: 0009-0002-8419-7231*</w:t>
      </w:r>
    </w:p>
    <w:p>
      <w:pPr>
        <w:spacing w:line="276" w:lineRule="auto" w:before="40" w:after="80"/>
        <w:ind w:left="720" w:right="720"/>
      </w:pPr>
      <w:r>
        <w:rPr>
          <w:rFonts w:ascii="Times New Roman" w:hAnsi="Times New Roman"/>
          <w:b/>
          <w:i/>
          <w:color w:val="334155"/>
          <w:sz w:val="21"/>
        </w:rPr>
        <w:t>Target Journal</w:t>
      </w:r>
      <w:r>
        <w:rPr>
          <w:rFonts w:ascii="Times New Roman" w:hAnsi="Times New Roman"/>
          <w:b w:val="0"/>
          <w:i/>
          <w:color w:val="334155"/>
          <w:sz w:val="21"/>
        </w:rPr>
        <w:t xml:space="preserve">: </w:t>
      </w:r>
      <w:r>
        <w:rPr>
          <w:rFonts w:ascii="Times New Roman" w:hAnsi="Times New Roman"/>
          <w:b w:val="0"/>
          <w:i/>
          <w:color w:val="334155"/>
          <w:sz w:val="21"/>
        </w:rPr>
        <w:t>Information, Communication &amp; Society</w:t>
      </w:r>
      <w:r>
        <w:rPr>
          <w:rFonts w:ascii="Times New Roman" w:hAnsi="Times New Roman"/>
          <w:b w:val="0"/>
          <w:i/>
          <w:color w:val="334155"/>
          <w:sz w:val="21"/>
        </w:rPr>
        <w:t xml:space="preserve"> (Taylor &amp; Francis)</w:t>
      </w:r>
    </w:p>
    <w:p>
      <w:pPr>
        <w:spacing w:line="276" w:lineRule="auto" w:before="40" w:after="80"/>
        <w:ind w:left="720" w:right="720"/>
      </w:pPr>
      <w:r>
        <w:rPr>
          <w:rFonts w:ascii="Times New Roman" w:hAnsi="Times New Roman"/>
          <w:b/>
          <w:i/>
          <w:color w:val="334155"/>
          <w:sz w:val="21"/>
        </w:rPr>
        <w:t>Indexing &amp; Metrics</w:t>
      </w:r>
      <w:r>
        <w:rPr>
          <w:rFonts w:ascii="Times New Roman" w:hAnsi="Times New Roman"/>
          <w:b w:val="0"/>
          <w:i/>
          <w:color w:val="334155"/>
          <w:sz w:val="21"/>
        </w:rPr>
        <w:t>: Scopus &amp; SSCI (Q1 in Communication &amp; Sociology, Impact Factor Top Tier)</w:t>
      </w:r>
    </w:p>
    <w:p>
      <w:pPr>
        <w:spacing w:line="276" w:lineRule="auto" w:before="40" w:after="80"/>
        <w:ind w:left="720" w:right="720"/>
      </w:pPr>
      <w:r>
        <w:rPr>
          <w:rFonts w:ascii="Times New Roman" w:hAnsi="Times New Roman"/>
          <w:b/>
          <w:i/>
          <w:color w:val="334155"/>
          <w:sz w:val="21"/>
        </w:rPr>
        <w:t>Publishing Model</w:t>
      </w:r>
      <w:r>
        <w:rPr>
          <w:rFonts w:ascii="Times New Roman" w:hAnsi="Times New Roman"/>
          <w:b w:val="0"/>
          <w:i/>
          <w:color w:val="334155"/>
          <w:sz w:val="21"/>
        </w:rPr>
        <w:t>: Subscription (Zero APC / Free Submission) or Open Access Option</w:t>
      </w:r>
    </w:p>
    <w:p>
      <w:pPr>
        <w:spacing w:line="276" w:lineRule="auto" w:before="40" w:after="80"/>
        <w:ind w:left="720" w:right="720"/>
      </w:pPr>
      <w:r>
        <w:rPr>
          <w:rFonts w:ascii="Times New Roman" w:hAnsi="Times New Roman"/>
          <w:b/>
          <w:i/>
          <w:color w:val="334155"/>
          <w:sz w:val="21"/>
        </w:rPr>
        <w:t>Manuscript Scope</w:t>
      </w:r>
      <w:r>
        <w:rPr>
          <w:rFonts w:ascii="Times New Roman" w:hAnsi="Times New Roman"/>
          <w:b w:val="0"/>
          <w:i/>
          <w:color w:val="334155"/>
          <w:sz w:val="21"/>
        </w:rPr>
        <w:t>: The Tripartite Nexus of Society, Digital Platforms, and Public Policy</w:t>
      </w:r>
    </w:p>
    <w:p>
      <w:pPr>
        <w:spacing w:line="276" w:lineRule="auto" w:before="40" w:after="80"/>
        <w:ind w:left="720" w:right="720"/>
      </w:pPr>
      <w:r>
        <w:rPr>
          <w:rFonts w:ascii="Times New Roman" w:hAnsi="Times New Roman"/>
          <w:b/>
          <w:i/>
          <w:color w:val="334155"/>
          <w:sz w:val="21"/>
        </w:rPr>
        <w:t>Article Length</w:t>
      </w:r>
      <w:r>
        <w:rPr>
          <w:rFonts w:ascii="Times New Roman" w:hAnsi="Times New Roman"/>
          <w:b w:val="0"/>
          <w:i/>
          <w:color w:val="334155"/>
          <w:sz w:val="21"/>
        </w:rPr>
        <w:t>: ~8,300 words (Exactly 21 standard academic double-spaced pages)</w:t>
      </w:r>
    </w:p>
    <w:p>
      <w:pPr>
        <w:spacing w:line="276" w:lineRule="auto" w:before="40" w:after="80"/>
        <w:ind w:left="720" w:right="720"/>
      </w:pPr>
      <w:r>
        <w:rPr>
          <w:rFonts w:ascii="Times New Roman" w:hAnsi="Times New Roman"/>
          <w:b/>
          <w:i/>
          <w:color w:val="334155"/>
          <w:sz w:val="21"/>
        </w:rPr>
        <w:t>Keywords</w:t>
      </w:r>
      <w:r>
        <w:rPr>
          <w:rFonts w:ascii="Times New Roman" w:hAnsi="Times New Roman"/>
          <w:b w:val="0"/>
          <w:i/>
          <w:color w:val="334155"/>
          <w:sz w:val="21"/>
        </w:rPr>
        <w:t>: Information society, Platformed publics, Connective action, Algorithmic Oracle, Human-Machine Communication, Phygital Gap, Public policy, IndoBERT.</w:t>
      </w:r>
    </w:p>
    <w:p>
      <w:pPr>
        <w:spacing w:line="480" w:lineRule="auto" w:before="320" w:after="80"/>
        <w:jc w:val="center"/>
      </w:pPr>
      <w:r>
        <w:rPr>
          <w:rFonts w:ascii="Times New Roman" w:hAnsi="Times New Roman"/>
          <w:b/>
          <w:i w:val="0"/>
          <w:sz w:val="27"/>
        </w:rPr>
        <w:t>Abstract</w:t>
      </w:r>
    </w:p>
    <w:p>
      <w:pPr>
        <w:spacing w:line="480" w:lineRule="auto" w:before="0" w:after="0"/>
        <w:ind w:firstLine="0"/>
      </w:pPr>
      <w:r>
        <w:rPr>
          <w:rFonts w:ascii="Times New Roman" w:hAnsi="Times New Roman"/>
          <w:b w:val="0"/>
          <w:i w:val="0"/>
          <w:sz w:val="24"/>
        </w:rPr>
        <w:t>In contemporary platform society, state-directed social welfare programs are mediated not merely through broadcast news, but across decentralized, algorithmic social media topologies. When grandiose digital policy narratives diverge from defective physical service delivery, citizen pushback manifests through complex socio-technical behaviors. Drawing on an explanatory-sequential computational communication framework, this study examines civic discourse surrounding Indonesia’s flagship Free Nutritious Meal (</w:t>
      </w:r>
      <w:r>
        <w:rPr>
          <w:rFonts w:ascii="Times New Roman" w:hAnsi="Times New Roman"/>
          <w:b w:val="0"/>
          <w:i/>
          <w:sz w:val="24"/>
        </w:rPr>
        <w:t>Makan Bergizi Gratis</w:t>
      </w:r>
      <w:r>
        <w:rPr>
          <w:rFonts w:ascii="Times New Roman" w:hAnsi="Times New Roman"/>
          <w:b w:val="0"/>
          <w:i w:val="0"/>
          <w:sz w:val="24"/>
        </w:rPr>
        <w:t xml:space="preserve"> / MBG) program on Platform X. By integrating fine-tuned Transformer modeling (IndoBERT across 3.0 epochs), Social Network Analysis ($|V| = 971, |E| = 692$), and out-of-sample streaming validation ($N = 9,862$), we uncover three crucial findings regarding the nexus of society, platforms, and policy. First, public discourse exhibits extreme topological atomization ($Q = 0.9837$, density $\rho = 0.0007$, reciprocity $1.20\%$), forming an archipelago of disconnected discursive monads rather than organized bipartisan camps. Second, citizen affect is overwhelmingly dominated by moral disgust ($98.14\%$), operationalized through paralinguistic sarcasm as a tactical weapon of the weak against state surveillance. Third, in the face of state institutional silence (out-degree = 0), citizens elevate the generative AI bot </w:t>
      </w:r>
      <w:r>
        <w:rPr>
          <w:rFonts w:ascii="Courier New" w:hAnsi="Courier New"/>
          <w:sz w:val="23"/>
        </w:rPr>
        <w:t>@grok</w:t>
      </w:r>
      <w:r>
        <w:rPr>
          <w:rFonts w:ascii="Times New Roman" w:hAnsi="Times New Roman"/>
          <w:b w:val="0"/>
          <w:i w:val="0"/>
          <w:sz w:val="24"/>
        </w:rPr>
        <w:t xml:space="preserve"> into a central 'Algorithmic Oracle' ($C_D = 0.0433, C_B = 0.0059$) to arbitrate truth regarding food poisoning and fiscal opacity. We theorize this crisis as a 'Phygital Gap'—demonstrating that in mediated public administration, communicative legitimacy cannot be sustained through digital PR when tangible physical touchpoints fail.</w:t>
      </w:r>
    </w:p>
    <w:p>
      <w:pPr>
        <w:spacing w:line="480" w:lineRule="auto" w:before="320" w:after="80"/>
        <w:jc w:val="center"/>
      </w:pPr>
      <w:r>
        <w:rPr>
          <w:rFonts w:ascii="Times New Roman" w:hAnsi="Times New Roman"/>
          <w:b/>
          <w:i w:val="0"/>
          <w:sz w:val="27"/>
        </w:rPr>
        <w:t>1. Introduction: Society, Platforms, and the Spectacle of Public Policy</w:t>
      </w:r>
    </w:p>
    <w:p>
      <w:pPr>
        <w:spacing w:line="480" w:lineRule="auto" w:before="0" w:after="0"/>
        <w:ind w:firstLine="720"/>
      </w:pPr>
      <w:r>
        <w:rPr>
          <w:rFonts w:ascii="Times New Roman" w:hAnsi="Times New Roman"/>
          <w:b w:val="0"/>
          <w:i w:val="0"/>
          <w:sz w:val="24"/>
        </w:rPr>
        <w:t xml:space="preserve">In late 2024 and early 2026, the Government of Indonesia launched one of the most resource-intensive welfare initiatives in Southeast Asian history: the </w:t>
      </w:r>
      <w:r>
        <w:rPr>
          <w:rFonts w:ascii="Times New Roman" w:hAnsi="Times New Roman"/>
          <w:b w:val="0"/>
          <w:i/>
          <w:sz w:val="24"/>
        </w:rPr>
        <w:t>Makan Bergizi Gratis</w:t>
      </w:r>
      <w:r>
        <w:rPr>
          <w:rFonts w:ascii="Times New Roman" w:hAnsi="Times New Roman"/>
          <w:b w:val="0"/>
          <w:i w:val="0"/>
          <w:sz w:val="24"/>
        </w:rPr>
        <w:t xml:space="preserve"> (MBG) or Free Nutritious Meal program. Positioned as the cornerstone of the national development agenda toward </w:t>
      </w:r>
      <w:r>
        <w:rPr>
          <w:rFonts w:ascii="Times New Roman" w:hAnsi="Times New Roman"/>
          <w:b w:val="0"/>
          <w:i/>
          <w:sz w:val="24"/>
        </w:rPr>
        <w:t>Indonesia Emas 2045</w:t>
      </w:r>
      <w:r>
        <w:rPr>
          <w:rFonts w:ascii="Times New Roman" w:hAnsi="Times New Roman"/>
          <w:b w:val="0"/>
          <w:i w:val="0"/>
          <w:sz w:val="24"/>
        </w:rPr>
        <w:t>, the program pledged to eliminate childhood stunting and stimulate grassroots agricultural economies, backed by an initial state budget allocation of IDR 71 trillion nested within an indicative expenditure framework recalibrated to IDR 268 trillion for fiscal year 2026 (Bloomberg Technoz, 2026; National Nutrition Agency, 2026).</w:t>
      </w:r>
    </w:p>
    <w:p>
      <w:pPr>
        <w:spacing w:line="480" w:lineRule="auto" w:before="0" w:after="0"/>
        <w:ind w:firstLine="720"/>
      </w:pPr>
      <w:r>
        <w:rPr>
          <w:rFonts w:ascii="Times New Roman" w:hAnsi="Times New Roman"/>
          <w:b w:val="0"/>
          <w:i w:val="0"/>
          <w:sz w:val="24"/>
        </w:rPr>
        <w:t>However, in the platform society (van Dijck et al., 2018), public policy execution is never evaluated in an informational vacuum. As Edelman (1964) argued, bureaucratic budgets and policy rollouts function as highly charged symbolic spectacles that citizens interpret through cognitive heuristics, affective filters, and algorithmic interfaces. When state authorities announced an administrative reduction of IDR 67 trillion from the program's upper ceiling—explaining the revision as a prudent reallocation of unabsorbed contingency funds—digital publics on Platform X (formerly Twitter) did not process this announcement through clinical fiscal logic. Instead, citizens seized upon the subtraction as confirmation of fiscal opacity, technical incompetence, or potential corruption.</w:t>
      </w:r>
    </w:p>
    <w:p>
      <w:pPr>
        <w:spacing w:line="480" w:lineRule="auto" w:before="0" w:after="0"/>
        <w:ind w:firstLine="720"/>
      </w:pPr>
      <w:r>
        <w:rPr>
          <w:rFonts w:ascii="Times New Roman" w:hAnsi="Times New Roman"/>
          <w:b w:val="0"/>
          <w:i w:val="0"/>
          <w:sz w:val="24"/>
        </w:rPr>
        <w:t>Compounding this fiscal skepticism was a cascade of tangible operational breakdowns during the rollout:</w:t>
      </w:r>
    </w:p>
    <w:p>
      <w:pPr>
        <w:spacing w:line="480" w:lineRule="auto" w:after="40"/>
        <w:ind w:left="720" w:hanging="360"/>
      </w:pPr>
      <w:r>
        <w:rPr>
          <w:b/>
        </w:rPr>
        <w:t xml:space="preserve">1. </w:t>
      </w:r>
      <w:r>
        <w:rPr>
          <w:rFonts w:ascii="Times New Roman" w:hAnsi="Times New Roman"/>
          <w:b/>
          <w:i w:val="0"/>
          <w:sz w:val="24"/>
        </w:rPr>
        <w:t>Supply Chain Suspensions</w:t>
      </w:r>
      <w:r>
        <w:rPr>
          <w:rFonts w:ascii="Times New Roman" w:hAnsi="Times New Roman"/>
          <w:b w:val="0"/>
          <w:i w:val="0"/>
          <w:sz w:val="24"/>
        </w:rPr>
        <w:t>: The formal shutdown or suspension of 4,581 out of approximately 27,952 Nutrition Fulfillment Service Units (</w:t>
      </w:r>
      <w:r>
        <w:rPr>
          <w:rFonts w:ascii="Times New Roman" w:hAnsi="Times New Roman"/>
          <w:b w:val="0"/>
          <w:i/>
          <w:sz w:val="24"/>
        </w:rPr>
        <w:t>Satuan Pelayanan Pemenuhan Gizi</w:t>
      </w:r>
      <w:r>
        <w:rPr>
          <w:rFonts w:ascii="Times New Roman" w:hAnsi="Times New Roman"/>
          <w:b w:val="0"/>
          <w:i w:val="0"/>
          <w:sz w:val="24"/>
        </w:rPr>
        <w:t>, SPPG), with 1,152 units remaining under review due to hygiene violations (ANTARA, 2026).</w:t>
      </w:r>
    </w:p>
    <w:p>
      <w:pPr>
        <w:spacing w:line="480" w:lineRule="auto" w:after="40"/>
        <w:ind w:left="720" w:hanging="360"/>
      </w:pPr>
      <w:r>
        <w:rPr>
          <w:b/>
        </w:rPr>
        <w:t xml:space="preserve">2. </w:t>
      </w:r>
      <w:r>
        <w:rPr>
          <w:rFonts w:ascii="Times New Roman" w:hAnsi="Times New Roman"/>
          <w:b/>
          <w:i w:val="0"/>
          <w:sz w:val="24"/>
        </w:rPr>
        <w:t>Food Safety Crises</w:t>
      </w:r>
      <w:r>
        <w:rPr>
          <w:rFonts w:ascii="Times New Roman" w:hAnsi="Times New Roman"/>
          <w:b w:val="0"/>
          <w:i w:val="0"/>
          <w:sz w:val="24"/>
        </w:rPr>
        <w:t>: Viral outbreaks of mass foodborne illness (</w:t>
      </w:r>
      <w:r>
        <w:rPr>
          <w:rFonts w:ascii="Times New Roman" w:hAnsi="Times New Roman"/>
          <w:b w:val="0"/>
          <w:i/>
          <w:sz w:val="24"/>
        </w:rPr>
        <w:t>keracunan massal</w:t>
      </w:r>
      <w:r>
        <w:rPr>
          <w:rFonts w:ascii="Times New Roman" w:hAnsi="Times New Roman"/>
          <w:b w:val="0"/>
          <w:i w:val="0"/>
          <w:sz w:val="24"/>
        </w:rPr>
        <w:t>) affecting hundreds of elementary school pupils across West Java, Central Java, and East Nusa Tenggara.</w:t>
      </w:r>
    </w:p>
    <w:p>
      <w:pPr>
        <w:spacing w:line="480" w:lineRule="auto" w:after="40"/>
        <w:ind w:left="720" w:hanging="360"/>
      </w:pPr>
      <w:r>
        <w:rPr>
          <w:b/>
        </w:rPr>
        <w:t xml:space="preserve">3. </w:t>
      </w:r>
      <w:r>
        <w:rPr>
          <w:rFonts w:ascii="Times New Roman" w:hAnsi="Times New Roman"/>
          <w:b/>
          <w:i w:val="0"/>
          <w:sz w:val="24"/>
        </w:rPr>
        <w:t>Procurement Scandals</w:t>
      </w:r>
      <w:r>
        <w:rPr>
          <w:rFonts w:ascii="Times New Roman" w:hAnsi="Times New Roman"/>
          <w:b w:val="0"/>
          <w:i w:val="0"/>
          <w:sz w:val="24"/>
        </w:rPr>
        <w:t>: Controversies over the importation of plastic food containers (</w:t>
      </w:r>
      <w:r>
        <w:rPr>
          <w:rFonts w:ascii="Times New Roman" w:hAnsi="Times New Roman"/>
          <w:b w:val="0"/>
          <w:i/>
          <w:sz w:val="24"/>
        </w:rPr>
        <w:t>ompreng</w:t>
      </w:r>
      <w:r>
        <w:rPr>
          <w:rFonts w:ascii="Times New Roman" w:hAnsi="Times New Roman"/>
          <w:b w:val="0"/>
          <w:i w:val="0"/>
          <w:sz w:val="24"/>
        </w:rPr>
        <w:t>) alongside allegations of crony vendor selection.</w:t>
      </w:r>
    </w:p>
    <w:p>
      <w:pPr>
        <w:spacing w:line="480" w:lineRule="auto" w:before="0" w:after="0"/>
        <w:ind w:firstLine="720"/>
      </w:pPr>
      <w:r>
        <w:rPr>
          <w:rFonts w:ascii="Times New Roman" w:hAnsi="Times New Roman"/>
          <w:b w:val="0"/>
          <w:i w:val="0"/>
          <w:sz w:val="24"/>
        </w:rPr>
        <w:t xml:space="preserve">This crisis crossed the threshold from an operational logistics challenge to an existential legitimacy crisis. Crucially, public dissent did not manifest through formal institutional petitions. Instead, citizens turned to Platform X to deploy </w:t>
      </w:r>
      <w:r>
        <w:rPr>
          <w:rFonts w:ascii="Times New Roman" w:hAnsi="Times New Roman"/>
          <w:b w:val="0"/>
          <w:i/>
          <w:sz w:val="24"/>
        </w:rPr>
        <w:t>digital sarcasm, affective mockery, and paralinguistic subversion</w:t>
      </w:r>
      <w:r>
        <w:rPr>
          <w:rFonts w:ascii="Times New Roman" w:hAnsi="Times New Roman"/>
          <w:b w:val="0"/>
          <w:i w:val="0"/>
          <w:sz w:val="24"/>
        </w:rPr>
        <w:t>. This paper investigates how citizens navigate platform affordances to articulate dissent against failed state delivery, and what this reveals about the relationship between society, platforms, and public policy.</w:t>
      </w:r>
    </w:p>
    <w:p>
      <w:pPr>
        <w:spacing w:line="480" w:lineRule="auto" w:before="320" w:after="80"/>
        <w:jc w:val="center"/>
      </w:pPr>
      <w:r>
        <w:rPr>
          <w:rFonts w:ascii="Times New Roman" w:hAnsi="Times New Roman"/>
          <w:b/>
          <w:i w:val="0"/>
          <w:sz w:val="27"/>
        </w:rPr>
        <w:t>2. Theoretical Foundations: Connective Action, Paralinguistic Resistance, and Algorithmic Mediation</w:t>
      </w:r>
    </w:p>
    <w:p>
      <w:pPr>
        <w:spacing w:line="480" w:lineRule="auto" w:before="240" w:after="60"/>
        <w:ind w:firstLine="0"/>
        <w:jc w:val="left"/>
      </w:pPr>
      <w:r>
        <w:rPr>
          <w:rFonts w:ascii="Times New Roman" w:hAnsi="Times New Roman"/>
          <w:b/>
          <w:i w:val="0"/>
          <w:sz w:val="25"/>
        </w:rPr>
        <w:t>2.1 Connective Action and Context Collapse in Platformed Publics</w:t>
      </w:r>
    </w:p>
    <w:p>
      <w:pPr>
        <w:spacing w:line="480" w:lineRule="auto" w:before="0" w:after="0"/>
        <w:ind w:firstLine="720"/>
      </w:pPr>
      <w:r>
        <w:rPr>
          <w:rFonts w:ascii="Times New Roman" w:hAnsi="Times New Roman"/>
          <w:b w:val="0"/>
          <w:i w:val="0"/>
          <w:sz w:val="24"/>
        </w:rPr>
        <w:t xml:space="preserve">Public policy discourse on digital platforms no longer conforms to hierarchical broadcast models. Rather, it operates through what Bennett and Segerberg (2012) theorized in </w:t>
      </w:r>
      <w:r>
        <w:rPr>
          <w:rFonts w:ascii="Times New Roman" w:hAnsi="Times New Roman"/>
          <w:b w:val="0"/>
          <w:i/>
          <w:sz w:val="24"/>
        </w:rPr>
        <w:t>Information, Communication &amp; Society</w:t>
      </w:r>
      <w:r>
        <w:rPr>
          <w:rFonts w:ascii="Times New Roman" w:hAnsi="Times New Roman"/>
          <w:b w:val="0"/>
          <w:i w:val="0"/>
          <w:sz w:val="24"/>
        </w:rPr>
        <w:t xml:space="preserve"> as the </w:t>
      </w:r>
      <w:r>
        <w:rPr>
          <w:rFonts w:ascii="Times New Roman" w:hAnsi="Times New Roman"/>
          <w:b/>
          <w:i w:val="0"/>
          <w:sz w:val="24"/>
        </w:rPr>
        <w:t>logic of connective action</w:t>
      </w:r>
      <w:r>
        <w:rPr>
          <w:rFonts w:ascii="Times New Roman" w:hAnsi="Times New Roman"/>
          <w:b w:val="0"/>
          <w:i w:val="0"/>
          <w:sz w:val="24"/>
        </w:rPr>
        <w:t>. In connective networks, collective action does not require disciplined political parties; it self-organizes around personal, digitally mediated expressions of identity, grievance, and humor.</w:t>
      </w:r>
    </w:p>
    <w:p>
      <w:pPr>
        <w:spacing w:line="480" w:lineRule="auto" w:before="0" w:after="0"/>
        <w:ind w:firstLine="720"/>
      </w:pPr>
      <w:r>
        <w:rPr>
          <w:rFonts w:ascii="Times New Roman" w:hAnsi="Times New Roman"/>
          <w:b w:val="0"/>
          <w:i w:val="0"/>
          <w:sz w:val="24"/>
        </w:rPr>
        <w:t xml:space="preserve">Furthermore, platforms like X operate under </w:t>
      </w:r>
      <w:r>
        <w:rPr>
          <w:rFonts w:ascii="Times New Roman" w:hAnsi="Times New Roman"/>
          <w:b/>
          <w:i w:val="0"/>
          <w:sz w:val="24"/>
        </w:rPr>
        <w:t>context collapse</w:t>
      </w:r>
      <w:r>
        <w:rPr>
          <w:rFonts w:ascii="Times New Roman" w:hAnsi="Times New Roman"/>
          <w:b w:val="0"/>
          <w:i w:val="0"/>
          <w:sz w:val="24"/>
        </w:rPr>
        <w:t xml:space="preserve"> (Marwick &amp; boyd, 2011; boyd &amp; Crawford, 2012). Diverse social audiences—peers, political elites, commercial entities, and law enforcement—collapse into a single conversational stream. In Indonesia, where the Electronic Information and Transactions Law (UU ITE) has been historically weaponized against explicit government critics, direct confrontation carries substantial legal hazards. Under conditions of surveillance and context collapse, political dissent inevitably migrates into coded, figurative registers.</w:t>
      </w:r>
    </w:p>
    <w:p>
      <w:pPr>
        <w:spacing w:line="480" w:lineRule="auto" w:before="240" w:after="60"/>
        <w:ind w:firstLine="0"/>
        <w:jc w:val="left"/>
      </w:pPr>
      <w:r>
        <w:rPr>
          <w:rFonts w:ascii="Times New Roman" w:hAnsi="Times New Roman"/>
          <w:b/>
          <w:i w:val="0"/>
          <w:sz w:val="25"/>
        </w:rPr>
        <w:t>2.2 Digital Sarcasm as Everyday Resistance: Paralinguistic Weapons of the Weak</w:t>
      </w:r>
    </w:p>
    <w:p>
      <w:pPr>
        <w:spacing w:line="480" w:lineRule="auto" w:before="0" w:after="0"/>
        <w:ind w:firstLine="720"/>
      </w:pPr>
      <w:r>
        <w:rPr>
          <w:rFonts w:ascii="Times New Roman" w:hAnsi="Times New Roman"/>
          <w:b w:val="0"/>
          <w:i w:val="0"/>
          <w:sz w:val="24"/>
        </w:rPr>
        <w:t>James C. Scott (1985) articulated that subordinate populations who perceive direct political confrontation to be dangerous adopt subversive humor, foot-dragging, and coded speech as "weapons of the weak." On social media, digital sarcasm serves as a modern paralinguistic shield.</w:t>
      </w:r>
    </w:p>
    <w:p>
      <w:pPr>
        <w:spacing w:line="480" w:lineRule="auto" w:before="0" w:after="0"/>
        <w:ind w:firstLine="720"/>
      </w:pPr>
      <w:r>
        <w:rPr>
          <w:rFonts w:ascii="Times New Roman" w:hAnsi="Times New Roman"/>
          <w:b w:val="0"/>
          <w:i w:val="0"/>
          <w:sz w:val="24"/>
        </w:rPr>
        <w:t xml:space="preserve">Linguistically, sarcasm operates through </w:t>
      </w:r>
      <w:r>
        <w:rPr>
          <w:rFonts w:ascii="Times New Roman" w:hAnsi="Times New Roman"/>
          <w:b w:val="0"/>
          <w:i/>
          <w:sz w:val="24"/>
        </w:rPr>
        <w:t>pragmatic incongruence</w:t>
      </w:r>
      <w:r>
        <w:rPr>
          <w:rFonts w:ascii="Times New Roman" w:hAnsi="Times New Roman"/>
          <w:b w:val="0"/>
          <w:i w:val="0"/>
          <w:sz w:val="24"/>
        </w:rPr>
        <w:t xml:space="preserve">—the blatant flouting of Grice's (1975) Maxim of Quality ("Do not say that which you believe to be false"). In computer-mediated communication, where vocal inflection and facial cues are absent, communicators deploy </w:t>
      </w:r>
      <w:r>
        <w:rPr>
          <w:rFonts w:ascii="Times New Roman" w:hAnsi="Times New Roman"/>
          <w:b/>
          <w:i w:val="0"/>
          <w:sz w:val="24"/>
        </w:rPr>
        <w:t>emojis as paralinguistic tone markers</w:t>
      </w:r>
      <w:r>
        <w:rPr>
          <w:rFonts w:ascii="Times New Roman" w:hAnsi="Times New Roman"/>
          <w:b w:val="0"/>
          <w:i w:val="0"/>
          <w:sz w:val="24"/>
        </w:rPr>
        <w:t xml:space="preserve"> (Dresner &amp; Herring, 2010; Skovholt et al., 2014; Walther, 2011). When a citizen posts </w:t>
      </w:r>
      <w:r>
        <w:rPr>
          <w:rFonts w:ascii="Times New Roman" w:hAnsi="Times New Roman"/>
          <w:b w:val="0"/>
          <w:i/>
          <w:sz w:val="24"/>
        </w:rPr>
        <w:t>"Truly world-class 5-star cuisine for our children 🤡"</w:t>
      </w:r>
      <w:r>
        <w:rPr>
          <w:rFonts w:ascii="Times New Roman" w:hAnsi="Times New Roman"/>
          <w:b w:val="0"/>
          <w:i w:val="0"/>
          <w:sz w:val="24"/>
        </w:rPr>
        <w:t>, the clown emoji functions as an illocutionary operator that structurally inverts the literal praise into a perlocutionary act of moral revulsion.</w:t>
      </w:r>
    </w:p>
    <w:p>
      <w:pPr>
        <w:spacing w:line="480" w:lineRule="auto" w:before="240" w:after="60"/>
        <w:ind w:firstLine="0"/>
        <w:jc w:val="left"/>
      </w:pPr>
      <w:r>
        <w:rPr>
          <w:rFonts w:ascii="Times New Roman" w:hAnsi="Times New Roman"/>
          <w:b/>
          <w:i w:val="0"/>
          <w:sz w:val="25"/>
        </w:rPr>
        <w:t>2.3 Human-Machine Communication and the Algorithmic Oracle</w:t>
      </w:r>
    </w:p>
    <w:p>
      <w:pPr>
        <w:spacing w:line="480" w:lineRule="auto" w:before="0" w:after="0"/>
        <w:ind w:firstLine="720"/>
      </w:pPr>
      <w:r>
        <w:rPr>
          <w:rFonts w:ascii="Times New Roman" w:hAnsi="Times New Roman"/>
          <w:b w:val="0"/>
          <w:i w:val="0"/>
          <w:sz w:val="24"/>
        </w:rPr>
        <w:t xml:space="preserve">In platform studies, network hubs were traditionally assumed to be human actors—politicians, journalists, or influencers. However, the integration of platform-native large language models disrupts this paradigm. Grounded in Human-Machine Communication (HMC) (Guzman &amp; Lewis, 2020) and the </w:t>
      </w:r>
      <w:r>
        <w:rPr>
          <w:rFonts w:ascii="Times New Roman" w:hAnsi="Times New Roman"/>
          <w:b/>
          <w:i w:val="0"/>
          <w:sz w:val="24"/>
        </w:rPr>
        <w:t>machine heuristic</w:t>
      </w:r>
      <w:r>
        <w:rPr>
          <w:rFonts w:ascii="Times New Roman" w:hAnsi="Times New Roman"/>
          <w:b w:val="0"/>
          <w:i w:val="0"/>
          <w:sz w:val="24"/>
        </w:rPr>
        <w:t xml:space="preserve"> (Sundar, 2020), citizens increasingly interact with algorithmic agents not as mere tools, but as conversational partners.</w:t>
      </w:r>
    </w:p>
    <w:p>
      <w:pPr>
        <w:spacing w:line="480" w:lineRule="auto" w:before="0" w:after="0"/>
        <w:ind w:firstLine="720"/>
      </w:pPr>
      <w:r>
        <w:rPr>
          <w:rFonts w:ascii="Times New Roman" w:hAnsi="Times New Roman"/>
          <w:b w:val="0"/>
          <w:i w:val="0"/>
          <w:sz w:val="24"/>
        </w:rPr>
        <w:t xml:space="preserve">When formal state institutions maintain defensive silence (out-degree = 0), citizens encounter an epistemic void. In response, they solicit platform AI agents—specifically </w:t>
      </w:r>
      <w:r>
        <w:rPr>
          <w:rFonts w:ascii="Courier New" w:hAnsi="Courier New"/>
          <w:sz w:val="23"/>
        </w:rPr>
        <w:t>@grok</w:t>
      </w:r>
      <w:r>
        <w:rPr>
          <w:rFonts w:ascii="Times New Roman" w:hAnsi="Times New Roman"/>
          <w:b w:val="0"/>
          <w:i w:val="0"/>
          <w:sz w:val="24"/>
        </w:rPr>
        <w:t xml:space="preserve"> on Platform X—as an </w:t>
      </w:r>
      <w:r>
        <w:rPr>
          <w:rFonts w:ascii="Times New Roman" w:hAnsi="Times New Roman"/>
          <w:b/>
          <w:i w:val="0"/>
          <w:sz w:val="24"/>
        </w:rPr>
        <w:t>"Algorithmic Oracle"</w:t>
      </w:r>
      <w:r>
        <w:rPr>
          <w:rFonts w:ascii="Times New Roman" w:hAnsi="Times New Roman"/>
          <w:b w:val="0"/>
          <w:i w:val="0"/>
          <w:sz w:val="24"/>
        </w:rPr>
        <w:t xml:space="preserve"> to arbitrate contested facts, recalculate budgetary figures, and verify viral food poisoning reports (Bucher, 2018).</w:t>
      </w:r>
    </w:p>
    <w:p>
      <w:pPr>
        <w:spacing w:line="480" w:lineRule="auto" w:before="240" w:after="60"/>
        <w:ind w:firstLine="0"/>
        <w:jc w:val="left"/>
      </w:pPr>
      <w:r>
        <w:rPr>
          <w:rFonts w:ascii="Times New Roman" w:hAnsi="Times New Roman"/>
          <w:b/>
          <w:i w:val="0"/>
          <w:sz w:val="25"/>
        </w:rPr>
        <w:t>2.4 The Phygital Gap in Public Administration</w:t>
      </w:r>
    </w:p>
    <w:p>
      <w:pPr>
        <w:spacing w:line="480" w:lineRule="auto" w:before="0" w:after="0"/>
        <w:ind w:firstLine="720"/>
      </w:pPr>
      <w:r>
        <w:rPr>
          <w:rFonts w:ascii="Times New Roman" w:hAnsi="Times New Roman"/>
          <w:b w:val="0"/>
          <w:i w:val="0"/>
          <w:sz w:val="24"/>
        </w:rPr>
        <w:t xml:space="preserve">In </w:t>
      </w:r>
      <w:r>
        <w:rPr>
          <w:rFonts w:ascii="Times New Roman" w:hAnsi="Times New Roman"/>
          <w:b w:val="0"/>
          <w:i/>
          <w:sz w:val="24"/>
        </w:rPr>
        <w:t>Marketing 6.0: The Future is Immersive</w:t>
      </w:r>
      <w:r>
        <w:rPr>
          <w:rFonts w:ascii="Times New Roman" w:hAnsi="Times New Roman"/>
          <w:b w:val="0"/>
          <w:i w:val="0"/>
          <w:sz w:val="24"/>
        </w:rPr>
        <w:t xml:space="preserve">, Kotler, Kartajaya, and Setiawan (2023) argued that organizational survival hinges on managing the </w:t>
      </w:r>
      <w:r>
        <w:rPr>
          <w:rFonts w:ascii="Times New Roman" w:hAnsi="Times New Roman"/>
          <w:b/>
          <w:i w:val="0"/>
          <w:sz w:val="24"/>
        </w:rPr>
        <w:t>phygital experience</w:t>
      </w:r>
      <w:r>
        <w:rPr>
          <w:rFonts w:ascii="Times New Roman" w:hAnsi="Times New Roman"/>
          <w:b w:val="0"/>
          <w:i w:val="0"/>
          <w:sz w:val="24"/>
        </w:rPr>
        <w:t xml:space="preserve">—the seamless alignment between digital brand touchpoints and physical service touchpoints. The </w:t>
      </w:r>
      <w:r>
        <w:rPr>
          <w:rFonts w:ascii="Times New Roman" w:hAnsi="Times New Roman"/>
          <w:b/>
          <w:i w:val="0"/>
          <w:sz w:val="24"/>
        </w:rPr>
        <w:t>phygital gap</w:t>
      </w:r>
      <w:r>
        <w:rPr>
          <w:rFonts w:ascii="Times New Roman" w:hAnsi="Times New Roman"/>
          <w:b w:val="0"/>
          <w:i w:val="0"/>
          <w:sz w:val="24"/>
        </w:rPr>
        <w:t xml:space="preserve"> occurs when an acute divergence emerges between the digital promise and the tangible physical delivery.</w:t>
      </w:r>
    </w:p>
    <w:p>
      <w:pPr>
        <w:spacing w:line="480" w:lineRule="auto" w:before="0" w:after="0"/>
        <w:ind w:firstLine="720"/>
      </w:pPr>
      <w:r>
        <w:rPr>
          <w:rFonts w:ascii="Times New Roman" w:hAnsi="Times New Roman"/>
          <w:b w:val="0"/>
          <w:i w:val="0"/>
          <w:sz w:val="24"/>
        </w:rPr>
        <w:t>Translating this construct into public administration (van Dijck et al., 2018; Coombs, 2007; Vargo &amp; Lusch, 2016):</w:t>
      </w:r>
    </w:p>
    <w:p>
      <w:pPr>
        <w:spacing w:line="480" w:lineRule="auto" w:after="40"/>
        <w:ind w:left="720" w:hanging="360"/>
      </w:pPr>
      <w:r>
        <w:rPr>
          <w:b/>
        </w:rPr>
        <w:t xml:space="preserve">• </w:t>
      </w:r>
      <w:r>
        <w:rPr>
          <w:rFonts w:ascii="Times New Roman" w:hAnsi="Times New Roman"/>
          <w:b/>
          <w:i w:val="0"/>
          <w:sz w:val="24"/>
        </w:rPr>
        <w:t>The State Digital Touchpoint</w:t>
      </w:r>
      <w:r>
        <w:rPr>
          <w:rFonts w:ascii="Times New Roman" w:hAnsi="Times New Roman"/>
          <w:b w:val="0"/>
          <w:i w:val="0"/>
          <w:sz w:val="24"/>
        </w:rPr>
        <w:t xml:space="preserve">: Mass-mediated PR campaigns promising nutritious feasts for </w:t>
      </w:r>
      <w:r>
        <w:rPr>
          <w:rFonts w:ascii="Times New Roman" w:hAnsi="Times New Roman"/>
          <w:b w:val="0"/>
          <w:i/>
          <w:sz w:val="24"/>
        </w:rPr>
        <w:t>Indonesia Emas 2045</w:t>
      </w:r>
      <w:r>
        <w:rPr>
          <w:rFonts w:ascii="Times New Roman" w:hAnsi="Times New Roman"/>
          <w:b w:val="0"/>
          <w:i w:val="0"/>
          <w:sz w:val="24"/>
        </w:rPr>
        <w:t>.</w:t>
      </w:r>
    </w:p>
    <w:p>
      <w:pPr>
        <w:spacing w:line="480" w:lineRule="auto" w:after="40"/>
        <w:ind w:left="720" w:hanging="360"/>
      </w:pPr>
      <w:r>
        <w:rPr>
          <w:b/>
        </w:rPr>
        <w:t xml:space="preserve">• </w:t>
      </w:r>
      <w:r>
        <w:rPr>
          <w:rFonts w:ascii="Times New Roman" w:hAnsi="Times New Roman"/>
          <w:b/>
          <w:i w:val="0"/>
          <w:sz w:val="24"/>
        </w:rPr>
        <w:t>The Physical Service Touchpoint</w:t>
      </w:r>
      <w:r>
        <w:rPr>
          <w:rFonts w:ascii="Times New Roman" w:hAnsi="Times New Roman"/>
          <w:b w:val="0"/>
          <w:i w:val="0"/>
          <w:sz w:val="24"/>
        </w:rPr>
        <w:t>: The 27,952 SPPG catering kitchens delivering lunchboxes to schoolchildren.</w:t>
      </w:r>
    </w:p>
    <w:p>
      <w:pPr>
        <w:spacing w:line="480" w:lineRule="auto" w:after="40"/>
        <w:ind w:left="720" w:hanging="360"/>
      </w:pPr>
      <w:r>
        <w:rPr>
          <w:b/>
        </w:rPr>
        <w:t xml:space="preserve">• </w:t>
      </w:r>
      <w:r>
        <w:rPr>
          <w:rFonts w:ascii="Times New Roman" w:hAnsi="Times New Roman"/>
          <w:b/>
          <w:i w:val="0"/>
          <w:sz w:val="24"/>
        </w:rPr>
        <w:t>The Phygital Policy Rift</w:t>
      </w:r>
      <w:r>
        <w:rPr>
          <w:rFonts w:ascii="Times New Roman" w:hAnsi="Times New Roman"/>
          <w:b w:val="0"/>
          <w:i w:val="0"/>
          <w:sz w:val="24"/>
        </w:rPr>
        <w:t>: When parents open lunchboxes to discover spoiled rice or hospital emergency rooms, the gap widens into a chasm. Digital sarcasm is the primary expressive vehicle through which citizens cope with this profound breach of social contract.</w:t>
      </w:r>
    </w:p>
    <w:p>
      <w:pPr>
        <w:spacing w:line="480" w:lineRule="auto" w:before="320" w:after="80"/>
        <w:jc w:val="center"/>
      </w:pPr>
      <w:r>
        <w:rPr>
          <w:rFonts w:ascii="Times New Roman" w:hAnsi="Times New Roman"/>
          <w:b/>
          <w:i w:val="0"/>
          <w:sz w:val="27"/>
        </w:rPr>
        <w:t>3. Computational Methodology: Unpacking the Digital Public Sphere</w:t>
      </w:r>
    </w:p>
    <w:p>
      <w:pPr>
        <w:spacing w:line="480" w:lineRule="auto" w:before="0" w:after="0"/>
        <w:ind w:firstLine="720"/>
      </w:pPr>
      <w:r>
        <w:rPr>
          <w:rFonts w:ascii="Times New Roman" w:hAnsi="Times New Roman"/>
          <w:b w:val="0"/>
          <w:i w:val="0"/>
          <w:sz w:val="24"/>
        </w:rPr>
        <w:t>This study implements an explanatory-sequential computational communication architecture uniting natural language processing, graph theory, and real-time telemetry.</w:t>
      </w:r>
    </w:p>
    <w:p>
      <w:pPr>
        <w:spacing w:line="480" w:lineRule="auto" w:before="240" w:after="60"/>
        <w:ind w:firstLine="0"/>
        <w:jc w:val="left"/>
      </w:pPr>
      <w:r>
        <w:rPr>
          <w:rFonts w:ascii="Times New Roman" w:hAnsi="Times New Roman"/>
          <w:b/>
          <w:i w:val="0"/>
          <w:sz w:val="25"/>
        </w:rPr>
        <w:t>3.1 Data Collection, Platform Scope, and Preprocessing</w:t>
      </w:r>
    </w:p>
    <w:p>
      <w:pPr>
        <w:spacing w:line="480" w:lineRule="auto" w:before="0" w:after="0"/>
        <w:ind w:firstLine="720"/>
      </w:pPr>
      <w:r>
        <w:rPr>
          <w:rFonts w:ascii="Times New Roman" w:hAnsi="Times New Roman"/>
          <w:b w:val="0"/>
          <w:i w:val="0"/>
          <w:sz w:val="24"/>
        </w:rPr>
        <w:t>The primary empirical corpus comprises 3,395 domain-specific tweets harvested from Platform X during the active policy implementation window (March–May 2026), generating a directed interaction graph of $|V| = 971$ unique user nodes and $|E| = 692$ edges. To ensure temporal generalizability, an expanded streaming dataset of $N = 9,862$ deduplicated citizen posts was collected, alongside longitudinal monitoring across the ten operational months of 2026 ($N = 9,360$ posts) up to October 10, 2026.</w:t>
      </w:r>
    </w:p>
    <w:p>
      <w:pPr>
        <w:spacing w:line="480" w:lineRule="auto" w:before="0" w:after="0"/>
        <w:ind w:firstLine="720"/>
      </w:pPr>
      <w:r>
        <w:rPr>
          <w:rFonts w:ascii="Times New Roman" w:hAnsi="Times New Roman"/>
          <w:b/>
          <w:i w:val="0"/>
          <w:sz w:val="24"/>
        </w:rPr>
        <w:t>Purposive Platform Scope &amp; Ecological Affordance Alignment</w:t>
      </w:r>
      <w:r>
        <w:rPr>
          <w:rFonts w:ascii="Times New Roman" w:hAnsi="Times New Roman"/>
          <w:b w:val="0"/>
          <w:i w:val="0"/>
          <w:sz w:val="24"/>
        </w:rPr>
        <w:t>: Grounded in comparative digital architectures scholarship (Bossetta, 2018; Bucher &amp; Helmond, 2018), sampling was purposively centered on Platform X rather than video-sharing networks (TikTok) or lifestyle ecosystems (Instagram). In Indonesia, Platform X serves as the recognized vanguard public sphere for elite political scrutiny, journalistic investigation, and breaking policy controversies (van Dijck et al., 2018). Furthermore, in February 2024, Meta enacted algorithmic demotion rules across Instagram and Facebook that automatically throttle unsolicited political content, severely distorting organic crisis signals (Rossini et al., 2021). In contrast, Platform X permits unhindered viral propagation of policy debates and directly hosts conversational AI agents (</w:t>
      </w:r>
      <w:r>
        <w:rPr>
          <w:rFonts w:ascii="Courier New" w:hAnsi="Courier New"/>
          <w:sz w:val="23"/>
        </w:rPr>
        <w:t>@grok</w:t>
      </w:r>
      <w:r>
        <w:rPr>
          <w:rFonts w:ascii="Times New Roman" w:hAnsi="Times New Roman"/>
          <w:b w:val="0"/>
          <w:i w:val="0"/>
          <w:sz w:val="24"/>
        </w:rPr>
        <w:t xml:space="preserve">) within citizen reply chains. Our comparative affordance audit across six structural dimensions yielded a composite Platform Ecology Alignment Index of </w:t>
      </w:r>
      <w:r>
        <w:rPr>
          <w:rFonts w:ascii="Times New Roman" w:hAnsi="Times New Roman"/>
          <w:b/>
          <w:i w:val="0"/>
          <w:sz w:val="24"/>
        </w:rPr>
        <w:t>$\text{PEAI} = 94.2/100$</w:t>
      </w:r>
      <w:r>
        <w:rPr>
          <w:rFonts w:ascii="Times New Roman" w:hAnsi="Times New Roman"/>
          <w:b w:val="0"/>
          <w:i w:val="0"/>
          <w:sz w:val="24"/>
        </w:rPr>
        <w:t xml:space="preserve"> for Platform X (vs. Facebook 48.0, TikTok 43.0, Instagram 38.0), confirming its unique suitability for early-warning policy crisis surveillance.</w:t>
      </w:r>
    </w:p>
    <w:p>
      <w:pPr>
        <w:spacing w:line="480" w:lineRule="auto" w:before="0" w:after="0"/>
        <w:ind w:firstLine="720"/>
      </w:pPr>
      <w:r>
        <w:rPr>
          <w:rFonts w:ascii="Times New Roman" w:hAnsi="Times New Roman"/>
          <w:b w:val="0"/>
          <w:i w:val="0"/>
          <w:sz w:val="24"/>
        </w:rPr>
        <w:t>Preprocessing executed a multi-stage pipeline: (1) tokenization and casing normalization; (2) Indonesian slang (</w:t>
      </w:r>
      <w:r>
        <w:rPr>
          <w:rFonts w:ascii="Times New Roman" w:hAnsi="Times New Roman"/>
          <w:b w:val="0"/>
          <w:i/>
          <w:sz w:val="24"/>
        </w:rPr>
        <w:t>bahasa gaul</w:t>
      </w:r>
      <w:r>
        <w:rPr>
          <w:rFonts w:ascii="Times New Roman" w:hAnsi="Times New Roman"/>
          <w:b w:val="0"/>
          <w:i w:val="0"/>
          <w:sz w:val="24"/>
        </w:rPr>
        <w:t>) and colloquial contraction normalization; (3) URL and mention token isolation; and (4) strict preservation of emojis as paralinguistic structural tokens.</w:t>
      </w:r>
    </w:p>
    <w:p>
      <w:pPr>
        <w:spacing w:line="480" w:lineRule="auto" w:before="240" w:after="60"/>
        <w:ind w:firstLine="0"/>
        <w:jc w:val="left"/>
      </w:pPr>
      <w:r>
        <w:rPr>
          <w:rFonts w:ascii="Times New Roman" w:hAnsi="Times New Roman"/>
          <w:b/>
          <w:i w:val="0"/>
          <w:sz w:val="25"/>
        </w:rPr>
        <w:t>3.2 Deep Learning IndoBERT Fine-Tuning</w:t>
      </w:r>
    </w:p>
    <w:p>
      <w:pPr>
        <w:spacing w:line="480" w:lineRule="auto" w:before="0" w:after="0"/>
        <w:ind w:firstLine="720"/>
      </w:pPr>
      <w:r>
        <w:rPr>
          <w:rFonts w:ascii="Times New Roman" w:hAnsi="Times New Roman"/>
          <w:b w:val="0"/>
          <w:i w:val="0"/>
          <w:sz w:val="24"/>
        </w:rPr>
        <w:t xml:space="preserve">Emotion classification was operationalized using </w:t>
      </w:r>
      <w:r>
        <w:rPr>
          <w:rFonts w:ascii="Times New Roman" w:hAnsi="Times New Roman"/>
          <w:b/>
          <w:i w:val="0"/>
          <w:sz w:val="24"/>
        </w:rPr>
        <w:t>IndoBERT</w:t>
      </w:r>
      <w:r>
        <w:rPr>
          <w:rFonts w:ascii="Times New Roman" w:hAnsi="Times New Roman"/>
          <w:b w:val="0"/>
          <w:i w:val="0"/>
          <w:sz w:val="24"/>
        </w:rPr>
        <w:t xml:space="preserve"> (</w:t>
      </w:r>
      <w:r>
        <w:rPr>
          <w:rFonts w:ascii="Courier New" w:hAnsi="Courier New"/>
          <w:sz w:val="23"/>
        </w:rPr>
        <w:t>indobenchmark/indobert-base-p2</w:t>
      </w:r>
      <w:r>
        <w:rPr>
          <w:rFonts w:ascii="Times New Roman" w:hAnsi="Times New Roman"/>
          <w:b w:val="0"/>
          <w:i w:val="0"/>
          <w:sz w:val="24"/>
        </w:rPr>
        <w:t>), a 12-layer bidirectional transformer pre-trained on the 4-billion-token Indo4B corpus (Wilie et al., 2020). Fine-tuning was executed in PyTorch with Hugging Face Transformers across 3.0 full epochs (792 global steps, batch size 16, learning rate $2 \times 10^{-5}$ with AdamW optimizer and linear warmup). The model was trained to classify 9 granular affective states (Ekman, 1992; Plutchik, 1980) and detect sarcasm via text-emoji incongruence.</w:t>
      </w:r>
    </w:p>
    <w:p>
      <w:pPr>
        <w:spacing w:line="480" w:lineRule="auto" w:before="240" w:after="60"/>
        <w:ind w:firstLine="0"/>
        <w:jc w:val="left"/>
      </w:pPr>
      <w:r>
        <w:rPr>
          <w:rFonts w:ascii="Times New Roman" w:hAnsi="Times New Roman"/>
          <w:b/>
          <w:i w:val="0"/>
          <w:sz w:val="25"/>
        </w:rPr>
        <w:t>3.3 Graph-Theoretic Social Network Formalism</w:t>
      </w:r>
    </w:p>
    <w:p>
      <w:pPr>
        <w:spacing w:line="480" w:lineRule="auto" w:before="0" w:after="0"/>
        <w:ind w:firstLine="720"/>
      </w:pPr>
      <w:r>
        <w:rPr>
          <w:rFonts w:ascii="Times New Roman" w:hAnsi="Times New Roman"/>
          <w:b w:val="0"/>
          <w:i w:val="0"/>
          <w:sz w:val="24"/>
        </w:rPr>
        <w:t>Directed interaction networks were modeled as $G = (V, E)$. Structural metrics were computed via NetworkX:</w:t>
      </w:r>
    </w:p>
    <w:p>
      <w:pPr>
        <w:spacing w:line="480" w:lineRule="auto" w:after="40"/>
        <w:ind w:left="720" w:hanging="360"/>
      </w:pPr>
      <w:r>
        <w:rPr>
          <w:b/>
        </w:rPr>
        <w:t xml:space="preserve">• </w:t>
      </w:r>
      <w:r>
        <w:rPr>
          <w:rFonts w:ascii="Times New Roman" w:hAnsi="Times New Roman"/>
          <w:b/>
          <w:i w:val="0"/>
          <w:sz w:val="24"/>
        </w:rPr>
        <w:t>Network Density ($\rho$)</w:t>
      </w:r>
      <w:r>
        <w:rPr>
          <w:rFonts w:ascii="Times New Roman" w:hAnsi="Times New Roman"/>
          <w:b w:val="0"/>
          <w:i w:val="0"/>
          <w:sz w:val="24"/>
        </w:rPr>
        <w:t>: $\rho = \frac{|E|}{|V|(|V| - 1)} = \frac{692}{971 \times 970} \approx 0.000707$.</w:t>
      </w:r>
    </w:p>
    <w:p>
      <w:pPr>
        <w:spacing w:line="480" w:lineRule="auto" w:after="40"/>
        <w:ind w:left="720" w:hanging="360"/>
      </w:pPr>
      <w:r>
        <w:rPr>
          <w:b/>
        </w:rPr>
        <w:t xml:space="preserve">• </w:t>
      </w:r>
      <w:r>
        <w:rPr>
          <w:rFonts w:ascii="Times New Roman" w:hAnsi="Times New Roman"/>
          <w:b/>
          <w:i w:val="0"/>
          <w:sz w:val="24"/>
        </w:rPr>
        <w:t>Dyadic Reciprocity ($R$)</w:t>
      </w:r>
      <w:r>
        <w:rPr>
          <w:rFonts w:ascii="Times New Roman" w:hAnsi="Times New Roman"/>
          <w:b w:val="0"/>
          <w:i w:val="0"/>
          <w:sz w:val="24"/>
        </w:rPr>
        <w:t>: Ratio of mutually directed edges: $R = 1.20\%$.</w:t>
      </w:r>
    </w:p>
    <w:p>
      <w:pPr>
        <w:spacing w:line="480" w:lineRule="auto" w:after="40"/>
        <w:ind w:left="720" w:hanging="360"/>
      </w:pPr>
      <w:r>
        <w:rPr>
          <w:b/>
        </w:rPr>
        <w:t xml:space="preserve">• </w:t>
      </w:r>
      <w:r>
        <w:rPr>
          <w:rFonts w:ascii="Times New Roman" w:hAnsi="Times New Roman"/>
          <w:b/>
          <w:i w:val="0"/>
          <w:sz w:val="24"/>
        </w:rPr>
        <w:t>Louvain Modularity ($Q$)</w:t>
      </w:r>
      <w:r>
        <w:rPr>
          <w:rFonts w:ascii="Times New Roman" w:hAnsi="Times New Roman"/>
          <w:b w:val="0"/>
          <w:i w:val="0"/>
          <w:sz w:val="24"/>
        </w:rPr>
        <w:t>: Partitioning into dense sub-communities (Blondel et al., 2008).</w:t>
      </w:r>
    </w:p>
    <w:p>
      <w:pPr>
        <w:spacing w:line="480" w:lineRule="auto" w:after="40"/>
        <w:ind w:left="720" w:hanging="360"/>
      </w:pPr>
      <w:r>
        <w:rPr>
          <w:b/>
        </w:rPr>
        <w:t xml:space="preserve">• </w:t>
      </w:r>
      <w:r>
        <w:rPr>
          <w:rFonts w:ascii="Times New Roman" w:hAnsi="Times New Roman"/>
          <w:b/>
          <w:i w:val="0"/>
          <w:sz w:val="24"/>
        </w:rPr>
        <w:t>Centrality Metrics</w:t>
      </w:r>
      <w:r>
        <w:rPr>
          <w:rFonts w:ascii="Times New Roman" w:hAnsi="Times New Roman"/>
          <w:b w:val="0"/>
          <w:i w:val="0"/>
          <w:sz w:val="24"/>
        </w:rPr>
        <w:t>: In-degree centrality ($C_{in}$), Out-degree centrality ($C_{out}$), and Betweenness centrality ($C_B$).</w:t>
      </w:r>
    </w:p>
    <w:p>
      <w:pPr>
        <w:spacing w:line="480" w:lineRule="auto" w:before="240" w:after="60"/>
        <w:ind w:firstLine="0"/>
        <w:jc w:val="left"/>
      </w:pPr>
      <w:r>
        <w:rPr>
          <w:rFonts w:ascii="Times New Roman" w:hAnsi="Times New Roman"/>
          <w:b/>
          <w:i w:val="0"/>
          <w:sz w:val="25"/>
        </w:rPr>
        <w:t>3.4 Automated Real-Time Telegram Early Warning System (EWS)</w:t>
      </w:r>
    </w:p>
    <w:p>
      <w:pPr>
        <w:spacing w:line="480" w:lineRule="auto" w:before="0" w:after="0"/>
        <w:ind w:firstLine="720"/>
      </w:pPr>
      <w:r>
        <w:rPr>
          <w:rFonts w:ascii="Times New Roman" w:hAnsi="Times New Roman"/>
          <w:b w:val="0"/>
          <w:i w:val="0"/>
          <w:sz w:val="24"/>
        </w:rPr>
        <w:t>To transform retrospective analytics into actionable civic oversight, an automated Telegram bot pipeline (</w:t>
      </w:r>
      <w:r>
        <w:rPr>
          <w:rFonts w:ascii="Courier New" w:hAnsi="Courier New"/>
          <w:sz w:val="23"/>
        </w:rPr>
        <w:t>auto_scrape_job.py</w:t>
      </w:r>
      <w:r>
        <w:rPr>
          <w:rFonts w:ascii="Times New Roman" w:hAnsi="Times New Roman"/>
          <w:b w:val="0"/>
          <w:i w:val="0"/>
          <w:sz w:val="24"/>
        </w:rPr>
        <w:t>) was deployed, executing scheduled monitoring twice daily (07:00 and 19:00 WIB) with tri-level crisis triage (🔴 KRITIS, 🟠 BAHAYA, 🟡 WASPADA, 🟢 KONDUSIF).</w:t>
      </w:r>
    </w:p>
    <w:p>
      <w:pPr>
        <w:spacing w:line="480" w:lineRule="auto" w:before="320" w:after="80"/>
        <w:jc w:val="center"/>
      </w:pPr>
      <w:r>
        <w:rPr>
          <w:rFonts w:ascii="Times New Roman" w:hAnsi="Times New Roman"/>
          <w:b/>
          <w:i w:val="0"/>
          <w:sz w:val="27"/>
        </w:rPr>
        <w:t>4. Empirical Results: Society, Platforms, and Policy in Numbers</w:t>
      </w:r>
    </w:p>
    <w:p>
      <w:pPr>
        <w:spacing w:line="480" w:lineRule="auto" w:before="240" w:after="60"/>
        <w:ind w:firstLine="0"/>
        <w:jc w:val="left"/>
      </w:pPr>
      <w:r>
        <w:rPr>
          <w:rFonts w:ascii="Times New Roman" w:hAnsi="Times New Roman"/>
          <w:b/>
          <w:i w:val="0"/>
          <w:sz w:val="25"/>
        </w:rPr>
        <w:t>4.1 Structural Atomization: An Archipelago of Discursive Monads</w:t>
      </w:r>
    </w:p>
    <w:p>
      <w:pPr>
        <w:spacing w:line="480" w:lineRule="auto" w:before="0" w:after="0"/>
        <w:ind w:firstLine="720"/>
      </w:pPr>
      <w:r>
        <w:rPr>
          <w:rFonts w:ascii="Times New Roman" w:hAnsi="Times New Roman"/>
          <w:b w:val="0"/>
          <w:i w:val="0"/>
          <w:sz w:val="24"/>
        </w:rPr>
        <w:t>Topological analysis reveals that the MBG discourse network is characterized by extreme structural atomization. Table 1 reports the macro-topological indicators.</w:t>
      </w:r>
    </w:p>
    <w:p>
      <w:pPr>
        <w:spacing w:before="240" w:after="60" w:line="288" w:lineRule="auto"/>
        <w:jc w:val="left"/>
      </w:pPr>
      <w:r>
        <w:rPr>
          <w:rFonts w:ascii="Times New Roman" w:hAnsi="Times New Roman"/>
          <w:b/>
          <w:i w:val="0"/>
          <w:sz w:val="22"/>
        </w:rPr>
        <w:t>Table 1: Macro-Topological Structural Metric Battery of the MBG Communication Graph</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1560"/>
        <w:gridCol w:w="1560"/>
        <w:gridCol w:w="1560"/>
        <w:gridCol w:w="1560"/>
        <w:gridCol w:w="1560"/>
        <w:gridCol w:w="1560"/>
      </w:tblGrid>
      <w:tr>
        <w:tc>
          <w:tcPr>
            <w:tcW w:type="dxa" w:w="156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Network Indicator</w:t>
            </w:r>
          </w:p>
        </w:tc>
        <w:tc>
          <w:tcPr>
            <w:tcW w:type="dxa" w:w="156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Mathematical Notation</w:t>
            </w:r>
          </w:p>
        </w:tc>
        <w:tc>
          <w:tcPr>
            <w:tcW w:type="dxa" w:w="156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Empirical Value</w:t>
            </w:r>
          </w:p>
        </w:tc>
        <w:tc>
          <w:tcPr>
            <w:tcW w:type="dxa" w:w="156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Baseline Benchmark / Theoretical Meaning</w:t>
            </w:r>
          </w:p>
        </w:tc>
        <w:tc>
          <w:tcPr>
            <w:tcW w:type="dxa" w:w="1560"/>
            <w:shd w:fill="F1F5F9"/>
            <w:tcMar>
              <w:top w:w="60" w:type="dxa"/>
              <w:bottom w:w="60" w:type="dxa"/>
              <w:left w:w="90" w:type="dxa"/>
              <w:right w:w="90" w:type="dxa"/>
            </w:tcMar>
            <w:tcBorders>
              <w:bottom w:val="single" w:sz="8" w:space="0" w:color="000000"/>
            </w:tcBorders>
          </w:tcPr>
          <w:p>
            <w:pPr>
              <w:spacing w:before="40" w:after="40" w:line="252" w:lineRule="auto"/>
            </w:pPr>
            <w:r/>
          </w:p>
        </w:tc>
        <w:tc>
          <w:tcPr>
            <w:tcW w:type="dxa" w:w="1560"/>
            <w:shd w:fill="F1F5F9"/>
            <w:tcMar>
              <w:top w:w="60" w:type="dxa"/>
              <w:bottom w:w="60" w:type="dxa"/>
              <w:left w:w="90" w:type="dxa"/>
              <w:right w:w="90" w:type="dxa"/>
            </w:tcMar>
            <w:tcBorders>
              <w:bottom w:val="single" w:sz="8" w:space="0" w:color="000000"/>
            </w:tcBorders>
          </w:tcPr>
          <w:p>
            <w:pPr>
              <w:spacing w:before="40" w:after="40" w:line="252" w:lineRule="auto"/>
            </w:pPr>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Total Actors (Vertices)</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V</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971</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Size of active citizen-state interaction sphere</w:t>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Directed Edges (Raw Ties)</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E</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692</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Volume of replies, mentions, and quotes</w:t>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Unique Directed Edges</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E_{dir}</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666</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Distinct non-duplicate directed ties (662 undirected)</w:t>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Graph Density (Directed)</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$\rho_{dir}$</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0.000707</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Extremely sparse; 0.07% of potential ties realized</w:t>
            </w:r>
          </w:p>
        </w:tc>
        <w:tc>
          <w:tcPr>
            <w:tcW w:type="dxa" w:w="1560"/>
            <w:tcMar>
              <w:top w:w="60" w:type="dxa"/>
              <w:bottom w:w="60" w:type="dxa"/>
              <w:left w:w="90" w:type="dxa"/>
              <w:right w:w="90" w:type="dxa"/>
            </w:tcMar>
          </w:tcPr>
          <w:p>
            <w:pPr>
              <w:spacing w:before="40" w:after="40" w:line="252" w:lineRule="auto"/>
            </w:pPr>
            <w:r/>
          </w:p>
        </w:tc>
        <w:tc>
          <w:tcPr>
            <w:tcW w:type="dxa" w:w="1560"/>
            <w:tcMar>
              <w:top w:w="60" w:type="dxa"/>
              <w:bottom w:w="60" w:type="dxa"/>
              <w:left w:w="90" w:type="dxa"/>
              <w:right w:w="90" w:type="dxa"/>
            </w:tcMar>
          </w:tcPr>
          <w:p>
            <w:pPr>
              <w:spacing w:before="40" w:after="40" w:line="252" w:lineRule="auto"/>
            </w:pPr>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Dyadic Reciprocity</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$R$</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1.20%</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Near-zero bilateral dialogue; conversational monologues</w:t>
            </w:r>
          </w:p>
        </w:tc>
        <w:tc>
          <w:tcPr>
            <w:tcW w:type="dxa" w:w="1560"/>
            <w:tcMar>
              <w:top w:w="60" w:type="dxa"/>
              <w:bottom w:w="60" w:type="dxa"/>
              <w:left w:w="90" w:type="dxa"/>
              <w:right w:w="90" w:type="dxa"/>
            </w:tcMar>
          </w:tcPr>
          <w:p>
            <w:pPr>
              <w:spacing w:before="40" w:after="40" w:line="252" w:lineRule="auto"/>
            </w:pPr>
            <w:r/>
          </w:p>
        </w:tc>
        <w:tc>
          <w:tcPr>
            <w:tcW w:type="dxa" w:w="1560"/>
            <w:tcMar>
              <w:top w:w="60" w:type="dxa"/>
              <w:bottom w:w="60" w:type="dxa"/>
              <w:left w:w="90" w:type="dxa"/>
              <w:right w:w="90" w:type="dxa"/>
            </w:tcMar>
          </w:tcPr>
          <w:p>
            <w:pPr>
              <w:spacing w:before="40" w:after="40" w:line="252" w:lineRule="auto"/>
            </w:pPr>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Louvain Modularity</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$Q$</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0.9837</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Extreme community isolation (342 clusters)</w:t>
            </w:r>
          </w:p>
        </w:tc>
        <w:tc>
          <w:tcPr>
            <w:tcW w:type="dxa" w:w="1560"/>
            <w:tcMar>
              <w:top w:w="60" w:type="dxa"/>
              <w:bottom w:w="60" w:type="dxa"/>
              <w:left w:w="90" w:type="dxa"/>
              <w:right w:w="90" w:type="dxa"/>
            </w:tcMar>
          </w:tcPr>
          <w:p>
            <w:pPr>
              <w:spacing w:before="40" w:after="40" w:line="252" w:lineRule="auto"/>
            </w:pPr>
            <w:r/>
          </w:p>
        </w:tc>
        <w:tc>
          <w:tcPr>
            <w:tcW w:type="dxa" w:w="1560"/>
            <w:tcMar>
              <w:top w:w="60" w:type="dxa"/>
              <w:bottom w:w="60" w:type="dxa"/>
              <w:left w:w="90" w:type="dxa"/>
              <w:right w:w="90" w:type="dxa"/>
            </w:tcMar>
          </w:tcPr>
          <w:p>
            <w:pPr>
              <w:spacing w:before="40" w:after="40" w:line="252" w:lineRule="auto"/>
            </w:pPr>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Weakly Connected Components</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$N_{comp}$</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341</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Massive fragmentation into tiny disconnected clusters</w:t>
            </w:r>
          </w:p>
        </w:tc>
        <w:tc>
          <w:tcPr>
            <w:tcW w:type="dxa" w:w="1560"/>
            <w:tcMar>
              <w:top w:w="60" w:type="dxa"/>
              <w:bottom w:w="60" w:type="dxa"/>
              <w:left w:w="90" w:type="dxa"/>
              <w:right w:w="90" w:type="dxa"/>
            </w:tcMar>
          </w:tcPr>
          <w:p>
            <w:pPr>
              <w:spacing w:before="40" w:after="40" w:line="252" w:lineRule="auto"/>
            </w:pPr>
            <w:r/>
          </w:p>
        </w:tc>
        <w:tc>
          <w:tcPr>
            <w:tcW w:type="dxa" w:w="1560"/>
            <w:tcMar>
              <w:top w:w="60" w:type="dxa"/>
              <w:bottom w:w="60" w:type="dxa"/>
              <w:left w:w="90" w:type="dxa"/>
              <w:right w:w="90" w:type="dxa"/>
            </w:tcMar>
          </w:tcPr>
          <w:p>
            <w:pPr>
              <w:spacing w:before="40" w:after="40" w:line="252" w:lineRule="auto"/>
            </w:pPr>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Giant Component Fraction</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$S_{giant}$</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89 (9.17%)</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Largest connected component contains only 89 nodes</w:t>
            </w:r>
          </w:p>
        </w:tc>
        <w:tc>
          <w:tcPr>
            <w:tcW w:type="dxa" w:w="1560"/>
            <w:tcMar>
              <w:top w:w="60" w:type="dxa"/>
              <w:bottom w:w="60" w:type="dxa"/>
              <w:left w:w="90" w:type="dxa"/>
              <w:right w:w="90" w:type="dxa"/>
            </w:tcMar>
          </w:tcPr>
          <w:p>
            <w:pPr>
              <w:spacing w:before="40" w:after="40" w:line="252" w:lineRule="auto"/>
            </w:pPr>
            <w:r/>
          </w:p>
        </w:tc>
        <w:tc>
          <w:tcPr>
            <w:tcW w:type="dxa" w:w="1560"/>
            <w:tcMar>
              <w:top w:w="60" w:type="dxa"/>
              <w:bottom w:w="60" w:type="dxa"/>
              <w:left w:w="90" w:type="dxa"/>
              <w:right w:w="90" w:type="dxa"/>
            </w:tcMar>
          </w:tcPr>
          <w:p>
            <w:pPr>
              <w:spacing w:before="40" w:after="40" w:line="252" w:lineRule="auto"/>
            </w:pPr>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Giant Component Diameter</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$D$</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9</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Maximum shortest path across the giant component</w:t>
            </w:r>
          </w:p>
        </w:tc>
        <w:tc>
          <w:tcPr>
            <w:tcW w:type="dxa" w:w="1560"/>
            <w:tcMar>
              <w:top w:w="60" w:type="dxa"/>
              <w:bottom w:w="60" w:type="dxa"/>
              <w:left w:w="90" w:type="dxa"/>
              <w:right w:w="90" w:type="dxa"/>
            </w:tcMar>
          </w:tcPr>
          <w:p>
            <w:pPr>
              <w:spacing w:before="40" w:after="40" w:line="252" w:lineRule="auto"/>
            </w:pPr>
            <w:r/>
          </w:p>
        </w:tc>
        <w:tc>
          <w:tcPr>
            <w:tcW w:type="dxa" w:w="1560"/>
            <w:tcMar>
              <w:top w:w="60" w:type="dxa"/>
              <w:bottom w:w="60" w:type="dxa"/>
              <w:left w:w="90" w:type="dxa"/>
              <w:right w:w="90" w:type="dxa"/>
            </w:tcMar>
          </w:tcPr>
          <w:p>
            <w:pPr>
              <w:spacing w:before="40" w:after="40" w:line="252" w:lineRule="auto"/>
            </w:pPr>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Average Geodesic Distance</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$L$</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3.6731</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Compact transmission length within the giant component</w:t>
            </w:r>
          </w:p>
        </w:tc>
        <w:tc>
          <w:tcPr>
            <w:tcW w:type="dxa" w:w="1560"/>
            <w:tcMar>
              <w:top w:w="60" w:type="dxa"/>
              <w:bottom w:w="60" w:type="dxa"/>
              <w:left w:w="90" w:type="dxa"/>
              <w:right w:w="90" w:type="dxa"/>
            </w:tcMar>
          </w:tcPr>
          <w:p>
            <w:pPr>
              <w:spacing w:before="40" w:after="40" w:line="252" w:lineRule="auto"/>
            </w:pPr>
            <w:r/>
          </w:p>
        </w:tc>
        <w:tc>
          <w:tcPr>
            <w:tcW w:type="dxa" w:w="1560"/>
            <w:tcMar>
              <w:top w:w="60" w:type="dxa"/>
              <w:bottom w:w="60" w:type="dxa"/>
              <w:left w:w="90" w:type="dxa"/>
              <w:right w:w="90" w:type="dxa"/>
            </w:tcMar>
          </w:tcPr>
          <w:p>
            <w:pPr>
              <w:spacing w:before="40" w:after="40" w:line="252" w:lineRule="auto"/>
            </w:pPr>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Average Clustering Coefficient</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$C$</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0.0171</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Minimal triadic closure; transitivity = 0.0261</w:t>
            </w:r>
          </w:p>
        </w:tc>
        <w:tc>
          <w:tcPr>
            <w:tcW w:type="dxa" w:w="1560"/>
            <w:tcMar>
              <w:top w:w="60" w:type="dxa"/>
              <w:bottom w:w="60" w:type="dxa"/>
              <w:left w:w="90" w:type="dxa"/>
              <w:right w:w="90" w:type="dxa"/>
            </w:tcMar>
          </w:tcPr>
          <w:p>
            <w:pPr>
              <w:spacing w:before="40" w:after="40" w:line="252" w:lineRule="auto"/>
            </w:pPr>
            <w:r/>
          </w:p>
        </w:tc>
        <w:tc>
          <w:tcPr>
            <w:tcW w:type="dxa" w:w="1560"/>
            <w:tcMar>
              <w:top w:w="60" w:type="dxa"/>
              <w:bottom w:w="60" w:type="dxa"/>
              <w:left w:w="90" w:type="dxa"/>
              <w:right w:w="90" w:type="dxa"/>
            </w:tcMar>
          </w:tcPr>
          <w:p>
            <w:pPr>
              <w:spacing w:before="40" w:after="40" w:line="252" w:lineRule="auto"/>
            </w:pPr>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Degree Assortativity</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$r$</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-0.0847</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Disassortative mixing; periphery links to central hubs</w:t>
            </w:r>
          </w:p>
        </w:tc>
        <w:tc>
          <w:tcPr>
            <w:tcW w:type="dxa" w:w="1560"/>
            <w:tcMar>
              <w:top w:w="60" w:type="dxa"/>
              <w:bottom w:w="60" w:type="dxa"/>
              <w:left w:w="90" w:type="dxa"/>
              <w:right w:w="90" w:type="dxa"/>
            </w:tcMar>
          </w:tcPr>
          <w:p>
            <w:pPr>
              <w:spacing w:before="40" w:after="40" w:line="252" w:lineRule="auto"/>
            </w:pPr>
            <w:r/>
          </w:p>
        </w:tc>
        <w:tc>
          <w:tcPr>
            <w:tcW w:type="dxa" w:w="1560"/>
            <w:tcMar>
              <w:top w:w="60" w:type="dxa"/>
              <w:bottom w:w="60" w:type="dxa"/>
              <w:left w:w="90" w:type="dxa"/>
              <w:right w:w="90" w:type="dxa"/>
            </w:tcMar>
          </w:tcPr>
          <w:p>
            <w:pPr>
              <w:spacing w:before="40" w:after="40" w:line="252" w:lineRule="auto"/>
            </w:pPr>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Power-Law Scaling Exponent</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$\alpha$</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2.168</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Resilient scale-free architecture ($P(k) \sim k^{-\alpha}$)</w:t>
            </w:r>
          </w:p>
        </w:tc>
        <w:tc>
          <w:tcPr>
            <w:tcW w:type="dxa" w:w="1560"/>
            <w:tcMar>
              <w:top w:w="60" w:type="dxa"/>
              <w:bottom w:w="60" w:type="dxa"/>
              <w:left w:w="90" w:type="dxa"/>
              <w:right w:w="90" w:type="dxa"/>
            </w:tcMar>
          </w:tcPr>
          <w:p>
            <w:pPr>
              <w:spacing w:before="40" w:after="40" w:line="252" w:lineRule="auto"/>
            </w:pPr>
            <w:r/>
          </w:p>
        </w:tc>
        <w:tc>
          <w:tcPr>
            <w:tcW w:type="dxa" w:w="1560"/>
            <w:tcMar>
              <w:top w:w="60" w:type="dxa"/>
              <w:bottom w:w="60" w:type="dxa"/>
              <w:left w:w="90" w:type="dxa"/>
              <w:right w:w="90" w:type="dxa"/>
            </w:tcMar>
          </w:tcPr>
          <w:p>
            <w:pPr>
              <w:spacing w:before="40" w:after="40" w:line="252" w:lineRule="auto"/>
            </w:pPr>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Maximum Degree (Out-Degree)</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$\max(k), \max(k^{out})$</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42</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 xml:space="preserve">Concentrated on algorithmic oracle </w:t>
            </w:r>
            <w:r>
              <w:rPr>
                <w:rFonts w:ascii="Courier New" w:hAnsi="Courier New"/>
                <w:sz w:val="17"/>
              </w:rPr>
              <w:t>@grok</w:t>
            </w:r>
            <w:r>
              <w:rPr>
                <w:rFonts w:ascii="Times New Roman" w:hAnsi="Times New Roman"/>
                <w:b w:val="0"/>
                <w:i w:val="0"/>
                <w:sz w:val="18"/>
              </w:rPr>
              <w:t xml:space="preserve"> ($k^{out}=42, k^{in}=0$)</w:t>
            </w:r>
          </w:p>
        </w:tc>
        <w:tc>
          <w:tcPr>
            <w:tcW w:type="dxa" w:w="1560"/>
            <w:tcMar>
              <w:top w:w="60" w:type="dxa"/>
              <w:bottom w:w="60" w:type="dxa"/>
              <w:left w:w="90" w:type="dxa"/>
              <w:right w:w="90" w:type="dxa"/>
            </w:tcMar>
          </w:tcPr>
          <w:p>
            <w:pPr>
              <w:spacing w:before="40" w:after="40" w:line="252" w:lineRule="auto"/>
            </w:pPr>
            <w:r/>
          </w:p>
        </w:tc>
        <w:tc>
          <w:tcPr>
            <w:tcW w:type="dxa" w:w="1560"/>
            <w:tcMar>
              <w:top w:w="60" w:type="dxa"/>
              <w:bottom w:w="60" w:type="dxa"/>
              <w:left w:w="90" w:type="dxa"/>
              <w:right w:w="90" w:type="dxa"/>
            </w:tcMar>
          </w:tcPr>
          <w:p>
            <w:pPr>
              <w:spacing w:before="40" w:after="40" w:line="252" w:lineRule="auto"/>
            </w:pPr>
            <w:r/>
          </w:p>
        </w:tc>
      </w:tr>
      <w:tr>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Maximum In-Degree</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$\max(k^{in})$</w:t>
            </w:r>
          </w:p>
        </w:tc>
        <w:tc>
          <w:tcPr>
            <w:tcW w:type="dxa" w:w="1560"/>
            <w:tcMar>
              <w:top w:w="60" w:type="dxa"/>
              <w:bottom w:w="60" w:type="dxa"/>
              <w:left w:w="90" w:type="dxa"/>
              <w:right w:w="90" w:type="dxa"/>
            </w:tcMar>
          </w:tcPr>
          <w:p>
            <w:pPr>
              <w:spacing w:before="40" w:after="40" w:line="252" w:lineRule="auto"/>
            </w:pPr>
            <w:r/>
            <w:r>
              <w:rPr>
                <w:rFonts w:ascii="Times New Roman" w:hAnsi="Times New Roman"/>
                <w:b/>
                <w:i w:val="0"/>
                <w:sz w:val="18"/>
              </w:rPr>
              <w:t>15</w:t>
            </w:r>
          </w:p>
        </w:tc>
        <w:tc>
          <w:tcPr>
            <w:tcW w:type="dxa" w:w="1560"/>
            <w:tcMar>
              <w:top w:w="60" w:type="dxa"/>
              <w:bottom w:w="60" w:type="dxa"/>
              <w:left w:w="90" w:type="dxa"/>
              <w:right w:w="90" w:type="dxa"/>
            </w:tcMar>
          </w:tcPr>
          <w:p>
            <w:pPr>
              <w:spacing w:before="40" w:after="40" w:line="252" w:lineRule="auto"/>
            </w:pPr>
            <w:r/>
            <w:r>
              <w:rPr>
                <w:rFonts w:ascii="Times New Roman" w:hAnsi="Times New Roman"/>
                <w:b w:val="0"/>
                <w:i w:val="0"/>
                <w:sz w:val="18"/>
              </w:rPr>
              <w:t xml:space="preserve">Concentrated on institutional target sink </w:t>
            </w:r>
            <w:r>
              <w:rPr>
                <w:rFonts w:ascii="Courier New" w:hAnsi="Courier New"/>
                <w:sz w:val="17"/>
              </w:rPr>
              <w:t>@prabowo</w:t>
            </w:r>
            <w:r>
              <w:rPr>
                <w:rFonts w:ascii="Times New Roman" w:hAnsi="Times New Roman"/>
                <w:b w:val="0"/>
                <w:i w:val="0"/>
                <w:sz w:val="18"/>
              </w:rPr>
              <w:t xml:space="preserve"> ($k^{in}=15, k^{out}=0$)</w:t>
            </w:r>
          </w:p>
        </w:tc>
        <w:tc>
          <w:tcPr>
            <w:tcW w:type="dxa" w:w="1560"/>
            <w:tcMar>
              <w:top w:w="60" w:type="dxa"/>
              <w:bottom w:w="60" w:type="dxa"/>
              <w:left w:w="90" w:type="dxa"/>
              <w:right w:w="90" w:type="dxa"/>
            </w:tcMar>
          </w:tcPr>
          <w:p>
            <w:pPr>
              <w:spacing w:before="40" w:after="40" w:line="252" w:lineRule="auto"/>
            </w:pPr>
            <w:r/>
          </w:p>
        </w:tc>
        <w:tc>
          <w:tcPr>
            <w:tcW w:type="dxa" w:w="1560"/>
            <w:tcMar>
              <w:top w:w="60" w:type="dxa"/>
              <w:bottom w:w="60" w:type="dxa"/>
              <w:left w:w="90" w:type="dxa"/>
              <w:right w:w="90" w:type="dxa"/>
            </w:tcMar>
          </w:tcPr>
          <w:p>
            <w:pPr>
              <w:spacing w:before="40" w:after="40" w:line="252" w:lineRule="auto"/>
            </w:pPr>
            <w:r/>
          </w:p>
        </w:tc>
      </w:tr>
    </w:tbl>
    <w:p>
      <w:pPr>
        <w:spacing w:after="120"/>
      </w:pPr>
    </w:p>
    <w:p>
      <w:pPr>
        <w:spacing w:line="480" w:lineRule="auto" w:before="0" w:after="0"/>
        <w:ind w:firstLine="720"/>
      </w:pPr>
      <w:r>
        <w:rPr>
          <w:rFonts w:ascii="Times New Roman" w:hAnsi="Times New Roman"/>
          <w:b w:val="0"/>
          <w:i w:val="0"/>
          <w:sz w:val="24"/>
        </w:rPr>
        <w:t>Figure 1 renders the global NodeXL force-directed layout, visually demonstrating the vast archipelago of disconnected clusters surrounding sparse institutional sinks.</w:t>
      </w:r>
    </w:p>
    <w:p>
      <w:pPr>
        <w:spacing w:before="200" w:after="60"/>
        <w:jc w:val="center"/>
      </w:pPr>
      <w:r>
        <w:drawing>
          <wp:inline xmlns:a="http://schemas.openxmlformats.org/drawingml/2006/main" xmlns:pic="http://schemas.openxmlformats.org/drawingml/2006/picture">
            <wp:extent cx="5486400" cy="4336600"/>
            <wp:docPr id="1" name="Picture 1"/>
            <wp:cNvGraphicFramePr>
              <a:graphicFrameLocks noChangeAspect="1"/>
            </wp:cNvGraphicFramePr>
            <a:graphic>
              <a:graphicData uri="http://schemas.openxmlformats.org/drawingml/2006/picture">
                <pic:pic>
                  <pic:nvPicPr>
                    <pic:cNvPr id="0" name="16_nodexl_graph_visualization.png"/>
                    <pic:cNvPicPr/>
                  </pic:nvPicPr>
                  <pic:blipFill>
                    <a:blip r:embed="rId10"/>
                    <a:stretch>
                      <a:fillRect/>
                    </a:stretch>
                  </pic:blipFill>
                  <pic:spPr>
                    <a:xfrm>
                      <a:off x="0" y="0"/>
                      <a:ext cx="5486400" cy="4336600"/>
                    </a:xfrm>
                    <a:prstGeom prst="rect"/>
                  </pic:spPr>
                </pic:pic>
              </a:graphicData>
            </a:graphic>
          </wp:inline>
        </w:drawing>
      </w:r>
    </w:p>
    <w:p>
      <w:pPr>
        <w:spacing w:line="276" w:lineRule="auto" w:before="40" w:after="200"/>
        <w:ind w:left="720" w:right="720"/>
        <w:jc w:val="left"/>
      </w:pPr>
      <w:r>
        <w:rPr>
          <w:rFonts w:ascii="Times New Roman" w:hAnsi="Times New Roman"/>
          <w:b w:val="0"/>
          <w:i/>
          <w:color w:val="334155"/>
          <w:sz w:val="20"/>
        </w:rPr>
        <w:t>Figure 1: Macro-Topological Network Graph Visualization with Louvain Community Grouping</w:t>
      </w:r>
    </w:p>
    <w:p>
      <w:pPr>
        <w:spacing w:line="480" w:lineRule="auto" w:before="240" w:after="60"/>
        <w:ind w:firstLine="0"/>
        <w:jc w:val="left"/>
      </w:pPr>
      <w:r>
        <w:rPr>
          <w:rFonts w:ascii="Times New Roman" w:hAnsi="Times New Roman"/>
          <w:b/>
          <w:i w:val="0"/>
          <w:sz w:val="25"/>
        </w:rPr>
        <w:t>4.2 The Hegemony of Moral Disgust: Deep Learning Classification &amp; Empirical Validation</w:t>
      </w:r>
    </w:p>
    <w:p>
      <w:pPr>
        <w:spacing w:line="480" w:lineRule="auto" w:before="0" w:after="0"/>
        <w:ind w:firstLine="720"/>
      </w:pPr>
      <w:r>
        <w:rPr>
          <w:rFonts w:ascii="Times New Roman" w:hAnsi="Times New Roman"/>
          <w:b w:val="0"/>
          <w:i w:val="0"/>
          <w:sz w:val="24"/>
        </w:rPr>
        <w:t>The fine-tuned IndoBERT model achieved monotonic loss reduction from $1.8708$ to $0.4328$ with an optimal validation loss of $0.5250$ (Table 2).</w:t>
      </w:r>
    </w:p>
    <w:p>
      <w:pPr>
        <w:spacing w:before="240" w:after="60" w:line="288" w:lineRule="auto"/>
        <w:jc w:val="left"/>
      </w:pPr>
      <w:r>
        <w:rPr>
          <w:rFonts w:ascii="Times New Roman" w:hAnsi="Times New Roman"/>
          <w:b/>
          <w:i w:val="0"/>
          <w:sz w:val="22"/>
        </w:rPr>
        <w:t>Table 2: Deep Learning IndoBERT Hyperparameters and Training Convergence Telemetry</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3120"/>
        <w:gridCol w:w="3120"/>
        <w:gridCol w:w="3120"/>
      </w:tblGrid>
      <w:tr>
        <w:tc>
          <w:tcPr>
            <w:tcW w:type="dxa" w:w="312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Parameter / Milestone</w:t>
            </w:r>
          </w:p>
        </w:tc>
        <w:tc>
          <w:tcPr>
            <w:tcW w:type="dxa" w:w="312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Empirical Configuration</w:t>
            </w:r>
          </w:p>
        </w:tc>
        <w:tc>
          <w:tcPr>
            <w:tcW w:type="dxa" w:w="312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Convergence Outcome &amp; Significance</w:t>
            </w:r>
          </w:p>
        </w:tc>
      </w:tr>
      <w:tr>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Base Architecture</w:t>
            </w:r>
          </w:p>
        </w:tc>
        <w:tc>
          <w:tcPr>
            <w:tcW w:type="dxa" w:w="3120"/>
            <w:tcMar>
              <w:top w:w="60" w:type="dxa"/>
              <w:bottom w:w="60" w:type="dxa"/>
              <w:left w:w="90" w:type="dxa"/>
              <w:right w:w="90" w:type="dxa"/>
            </w:tcMar>
          </w:tcPr>
          <w:p>
            <w:pPr>
              <w:spacing w:before="40" w:after="40" w:line="252" w:lineRule="auto"/>
            </w:pPr>
            <w:r/>
            <w:r>
              <w:rPr>
                <w:rFonts w:ascii="Courier New" w:hAnsi="Courier New"/>
                <w:sz w:val="17"/>
              </w:rPr>
              <w:t>indobert-base-p2</w:t>
            </w:r>
          </w:p>
        </w:tc>
        <w:tc>
          <w:tcPr>
            <w:tcW w:type="dxa" w:w="3120"/>
            <w:tcMar>
              <w:top w:w="60" w:type="dxa"/>
              <w:bottom w:w="60" w:type="dxa"/>
              <w:left w:w="90" w:type="dxa"/>
              <w:right w:w="90" w:type="dxa"/>
            </w:tcMar>
          </w:tcPr>
          <w:p>
            <w:pPr>
              <w:spacing w:before="40" w:after="40" w:line="252" w:lineRule="auto"/>
            </w:pPr>
            <w:r/>
            <w:r>
              <w:rPr>
                <w:rFonts w:ascii="Times New Roman" w:hAnsi="Times New Roman"/>
                <w:b w:val="0"/>
                <w:i w:val="0"/>
                <w:sz w:val="18"/>
              </w:rPr>
              <w:t>12-layer, 768-hidden, 12-heads, 110M parameters</w:t>
            </w:r>
          </w:p>
        </w:tc>
      </w:tr>
      <w:tr>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Training Steps / Epochs</w:t>
            </w:r>
          </w:p>
        </w:tc>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3.0 Epochs (792 Steps)</w:t>
            </w:r>
          </w:p>
        </w:tc>
        <w:tc>
          <w:tcPr>
            <w:tcW w:type="dxa" w:w="3120"/>
            <w:tcMar>
              <w:top w:w="60" w:type="dxa"/>
              <w:bottom w:w="60" w:type="dxa"/>
              <w:left w:w="90" w:type="dxa"/>
              <w:right w:w="90" w:type="dxa"/>
            </w:tcMar>
          </w:tcPr>
          <w:p>
            <w:pPr>
              <w:spacing w:before="40" w:after="40" w:line="252" w:lineRule="auto"/>
            </w:pPr>
            <w:r/>
            <w:r>
              <w:rPr>
                <w:rFonts w:ascii="Times New Roman" w:hAnsi="Times New Roman"/>
                <w:b w:val="0"/>
                <w:i w:val="0"/>
                <w:sz w:val="18"/>
              </w:rPr>
              <w:t>Monotonic training loss reduction: 1.8708 $\rightarrow$ 0.4328</w:t>
            </w:r>
          </w:p>
        </w:tc>
      </w:tr>
      <w:tr>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Validation Loss</w:t>
            </w:r>
          </w:p>
        </w:tc>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0.5250</w:t>
            </w:r>
          </w:p>
        </w:tc>
        <w:tc>
          <w:tcPr>
            <w:tcW w:type="dxa" w:w="3120"/>
            <w:tcMar>
              <w:top w:w="60" w:type="dxa"/>
              <w:bottom w:w="60" w:type="dxa"/>
              <w:left w:w="90" w:type="dxa"/>
              <w:right w:w="90" w:type="dxa"/>
            </w:tcMar>
          </w:tcPr>
          <w:p>
            <w:pPr>
              <w:spacing w:before="40" w:after="40" w:line="252" w:lineRule="auto"/>
            </w:pPr>
            <w:r/>
            <w:r>
              <w:rPr>
                <w:rFonts w:ascii="Times New Roman" w:hAnsi="Times New Roman"/>
                <w:b w:val="0"/>
                <w:i w:val="0"/>
                <w:sz w:val="18"/>
              </w:rPr>
              <w:t>Stable cross-entropy convergence without overfitting</w:t>
            </w:r>
          </w:p>
        </w:tc>
      </w:tr>
      <w:tr>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Holdout Test Set Accuracy ($n=1,058$)</w:t>
            </w:r>
          </w:p>
        </w:tc>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75.99%</w:t>
            </w:r>
          </w:p>
        </w:tc>
        <w:tc>
          <w:tcPr>
            <w:tcW w:type="dxa" w:w="3120"/>
            <w:tcMar>
              <w:top w:w="60" w:type="dxa"/>
              <w:bottom w:w="60" w:type="dxa"/>
              <w:left w:w="90" w:type="dxa"/>
              <w:right w:w="90" w:type="dxa"/>
            </w:tcMar>
          </w:tcPr>
          <w:p>
            <w:pPr>
              <w:spacing w:before="40" w:after="40" w:line="252" w:lineRule="auto"/>
            </w:pPr>
            <w:r/>
            <w:r>
              <w:rPr>
                <w:rFonts w:ascii="Times New Roman" w:hAnsi="Times New Roman"/>
                <w:b w:val="0"/>
                <w:i w:val="0"/>
                <w:sz w:val="18"/>
              </w:rPr>
              <w:t>Evaluated on isolated group-aware holdout (silver-standard references)</w:t>
            </w:r>
          </w:p>
        </w:tc>
      </w:tr>
      <w:tr>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Holdout Macro / Weighted F1</w:t>
            </w:r>
          </w:p>
        </w:tc>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0.4535 / 0.7434</w:t>
            </w:r>
          </w:p>
        </w:tc>
        <w:tc>
          <w:tcPr>
            <w:tcW w:type="dxa" w:w="3120"/>
            <w:tcMar>
              <w:top w:w="60" w:type="dxa"/>
              <w:bottom w:w="60" w:type="dxa"/>
              <w:left w:w="90" w:type="dxa"/>
              <w:right w:w="90" w:type="dxa"/>
            </w:tcMar>
          </w:tcPr>
          <w:p>
            <w:pPr>
              <w:spacing w:before="40" w:after="40" w:line="252" w:lineRule="auto"/>
            </w:pPr>
            <w:r/>
            <w:r>
              <w:rPr>
                <w:rFonts w:ascii="Times New Roman" w:hAnsi="Times New Roman"/>
                <w:b w:val="0"/>
                <w:i w:val="0"/>
                <w:sz w:val="18"/>
              </w:rPr>
              <w:t>Evaluated across 6 active emotion classes</w:t>
            </w:r>
          </w:p>
        </w:tc>
      </w:tr>
      <w:tr>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Active Evaluated Emotion Classes</w:t>
            </w:r>
          </w:p>
        </w:tc>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6 Active Classes</w:t>
            </w:r>
          </w:p>
        </w:tc>
        <w:tc>
          <w:tcPr>
            <w:tcW w:type="dxa" w:w="3120"/>
            <w:tcMar>
              <w:top w:w="60" w:type="dxa"/>
              <w:bottom w:w="60" w:type="dxa"/>
              <w:left w:w="90" w:type="dxa"/>
              <w:right w:w="90" w:type="dxa"/>
            </w:tcMar>
          </w:tcPr>
          <w:p>
            <w:pPr>
              <w:spacing w:before="40" w:after="40" w:line="252" w:lineRule="auto"/>
            </w:pPr>
            <w:r/>
            <w:r>
              <w:rPr>
                <w:rFonts w:ascii="Times New Roman" w:hAnsi="Times New Roman"/>
                <w:b w:val="0"/>
                <w:i w:val="0"/>
                <w:sz w:val="18"/>
              </w:rPr>
              <w:t>Disgust, Trust, Neutral, Anticipation, Anger, Sadness</w:t>
            </w:r>
          </w:p>
        </w:tc>
      </w:tr>
      <w:tr>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Minority Class Sparsity Artifact</w:t>
            </w:r>
          </w:p>
        </w:tc>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Anger &amp; Sadness F1 = 0.000</w:t>
            </w:r>
          </w:p>
        </w:tc>
        <w:tc>
          <w:tcPr>
            <w:tcW w:type="dxa" w:w="3120"/>
            <w:tcMar>
              <w:top w:w="60" w:type="dxa"/>
              <w:bottom w:w="60" w:type="dxa"/>
              <w:left w:w="90" w:type="dxa"/>
              <w:right w:w="90" w:type="dxa"/>
            </w:tcMar>
          </w:tcPr>
          <w:p>
            <w:pPr>
              <w:spacing w:before="40" w:after="40" w:line="252" w:lineRule="auto"/>
            </w:pPr>
            <w:r/>
            <w:r>
              <w:rPr>
                <w:rFonts w:ascii="Times New Roman" w:hAnsi="Times New Roman"/>
                <w:b w:val="0"/>
                <w:i w:val="0"/>
                <w:sz w:val="18"/>
              </w:rPr>
              <w:t>Extreme class imbalance artifact (Disgust comprises ~57.3% of holdout split)</w:t>
            </w:r>
          </w:p>
        </w:tc>
      </w:tr>
      <w:tr>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Hierarchical Super-Class Macro F1</w:t>
            </w:r>
          </w:p>
        </w:tc>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0.7522 (75.22%)</w:t>
            </w:r>
          </w:p>
        </w:tc>
        <w:tc>
          <w:tcPr>
            <w:tcW w:type="dxa" w:w="3120"/>
            <w:tcMar>
              <w:top w:w="60" w:type="dxa"/>
              <w:bottom w:w="60" w:type="dxa"/>
              <w:left w:w="90" w:type="dxa"/>
              <w:right w:w="90" w:type="dxa"/>
            </w:tcMar>
          </w:tcPr>
          <w:p>
            <w:pPr>
              <w:spacing w:before="40" w:after="40" w:line="252" w:lineRule="auto"/>
            </w:pPr>
            <w:r/>
            <w:r>
              <w:rPr>
                <w:rFonts w:ascii="Times New Roman" w:hAnsi="Times New Roman"/>
                <w:b w:val="0"/>
                <w:i w:val="0"/>
                <w:sz w:val="18"/>
              </w:rPr>
              <w:t>Re-evaluation across 3 functional valences (Negative, Positive, Neutral)</w:t>
            </w:r>
          </w:p>
        </w:tc>
      </w:tr>
      <w:tr>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Hierarchical Super-Class Accuracy</w:t>
            </w:r>
          </w:p>
        </w:tc>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76.56%</w:t>
            </w:r>
            <w:r>
              <w:rPr>
                <w:rFonts w:ascii="Times New Roman" w:hAnsi="Times New Roman"/>
                <w:b w:val="0"/>
                <w:i w:val="0"/>
                <w:sz w:val="18"/>
              </w:rPr>
              <w:t xml:space="preserve"> (P: 0.7639, R: 0.7459)</w:t>
            </w:r>
          </w:p>
        </w:tc>
        <w:tc>
          <w:tcPr>
            <w:tcW w:type="dxa" w:w="3120"/>
            <w:tcMar>
              <w:top w:w="60" w:type="dxa"/>
              <w:bottom w:w="60" w:type="dxa"/>
              <w:left w:w="90" w:type="dxa"/>
              <w:right w:w="90" w:type="dxa"/>
            </w:tcMar>
          </w:tcPr>
          <w:p>
            <w:pPr>
              <w:spacing w:before="40" w:after="40" w:line="252" w:lineRule="auto"/>
            </w:pPr>
            <w:r/>
            <w:r>
              <w:rPr>
                <w:rFonts w:ascii="Times New Roman" w:hAnsi="Times New Roman"/>
                <w:b w:val="0"/>
                <w:i w:val="0"/>
                <w:sz w:val="18"/>
              </w:rPr>
              <w:t>Resolves minority class sparsity artifacts with +29.87% Macro-F1 gain</w:t>
            </w:r>
          </w:p>
        </w:tc>
      </w:tr>
      <w:tr>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Out-of-Sample Throughput</w:t>
            </w:r>
          </w:p>
        </w:tc>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223.3 posts/sec</w:t>
            </w:r>
          </w:p>
        </w:tc>
        <w:tc>
          <w:tcPr>
            <w:tcW w:type="dxa" w:w="3120"/>
            <w:tcMar>
              <w:top w:w="60" w:type="dxa"/>
              <w:bottom w:w="60" w:type="dxa"/>
              <w:left w:w="90" w:type="dxa"/>
              <w:right w:w="90" w:type="dxa"/>
            </w:tcMar>
          </w:tcPr>
          <w:p>
            <w:pPr>
              <w:spacing w:before="40" w:after="40" w:line="252" w:lineRule="auto"/>
            </w:pPr>
            <w:r/>
            <w:r>
              <w:rPr>
                <w:rFonts w:ascii="Times New Roman" w:hAnsi="Times New Roman"/>
                <w:b w:val="0"/>
                <w:i w:val="0"/>
                <w:sz w:val="18"/>
              </w:rPr>
              <w:t>Apple Silicon GPU inference on $N = 9,862$ citizen posts</w:t>
            </w:r>
          </w:p>
        </w:tc>
      </w:tr>
      <w:tr>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Mean Softmax Confidence</w:t>
            </w:r>
          </w:p>
        </w:tc>
        <w:tc>
          <w:tcPr>
            <w:tcW w:type="dxa" w:w="3120"/>
            <w:tcMar>
              <w:top w:w="60" w:type="dxa"/>
              <w:bottom w:w="60" w:type="dxa"/>
              <w:left w:w="90" w:type="dxa"/>
              <w:right w:w="90" w:type="dxa"/>
            </w:tcMar>
          </w:tcPr>
          <w:p>
            <w:pPr>
              <w:spacing w:before="40" w:after="40" w:line="252" w:lineRule="auto"/>
            </w:pPr>
            <w:r/>
            <w:r>
              <w:rPr>
                <w:rFonts w:ascii="Times New Roman" w:hAnsi="Times New Roman"/>
                <w:b/>
                <w:i w:val="0"/>
                <w:sz w:val="18"/>
              </w:rPr>
              <w:t>95.01%</w:t>
            </w:r>
            <w:r>
              <w:rPr>
                <w:rFonts w:ascii="Times New Roman" w:hAnsi="Times New Roman"/>
                <w:b w:val="0"/>
                <w:i w:val="0"/>
                <w:sz w:val="18"/>
              </w:rPr>
              <w:t xml:space="preserve"> (Median: 96.95%)</w:t>
            </w:r>
          </w:p>
        </w:tc>
        <w:tc>
          <w:tcPr>
            <w:tcW w:type="dxa" w:w="3120"/>
            <w:tcMar>
              <w:top w:w="60" w:type="dxa"/>
              <w:bottom w:w="60" w:type="dxa"/>
              <w:left w:w="90" w:type="dxa"/>
              <w:right w:w="90" w:type="dxa"/>
            </w:tcMar>
          </w:tcPr>
          <w:p>
            <w:pPr>
              <w:spacing w:before="40" w:after="40" w:line="252" w:lineRule="auto"/>
            </w:pPr>
            <w:r/>
            <w:r>
              <w:rPr>
                <w:rFonts w:ascii="Times New Roman" w:hAnsi="Times New Roman"/>
                <w:b w:val="0"/>
                <w:i w:val="0"/>
                <w:sz w:val="18"/>
              </w:rPr>
              <w:t>High certainty in negative affective attribution</w:t>
            </w:r>
          </w:p>
        </w:tc>
      </w:tr>
    </w:tbl>
    <w:p>
      <w:pPr>
        <w:spacing w:after="120"/>
      </w:pPr>
    </w:p>
    <w:p>
      <w:pPr>
        <w:spacing w:line="480" w:lineRule="auto" w:before="0" w:after="0"/>
        <w:ind w:firstLine="720"/>
      </w:pPr>
      <w:r>
        <w:rPr>
          <w:rFonts w:ascii="Times New Roman" w:hAnsi="Times New Roman"/>
          <w:b w:val="0"/>
          <w:i w:val="0"/>
          <w:sz w:val="24"/>
        </w:rPr>
        <w:t>To verify classification reliability, a multi-tier empirical evaluation was conducted:</w:t>
      </w:r>
    </w:p>
    <w:p>
      <w:pPr>
        <w:spacing w:line="480" w:lineRule="auto" w:after="40"/>
        <w:ind w:left="720" w:hanging="360"/>
      </w:pPr>
      <w:r>
        <w:rPr>
          <w:b/>
        </w:rPr>
        <w:t xml:space="preserve">1. </w:t>
      </w:r>
      <w:r>
        <w:rPr>
          <w:rFonts w:ascii="Times New Roman" w:hAnsi="Times New Roman"/>
          <w:b/>
          <w:i w:val="0"/>
          <w:sz w:val="24"/>
        </w:rPr>
        <w:t>Group-Aware Holdout Test Set ($n = 1,058$)</w:t>
      </w:r>
      <w:r>
        <w:rPr>
          <w:rFonts w:ascii="Times New Roman" w:hAnsi="Times New Roman"/>
          <w:b w:val="0"/>
          <w:i w:val="0"/>
          <w:sz w:val="24"/>
        </w:rPr>
        <w:t xml:space="preserve">: IndoBERT achieved an overall accuracy of </w:t>
      </w:r>
      <w:r>
        <w:rPr>
          <w:rFonts w:ascii="Times New Roman" w:hAnsi="Times New Roman"/>
          <w:b/>
          <w:i w:val="0"/>
          <w:sz w:val="24"/>
        </w:rPr>
        <w:t>75.99%</w:t>
      </w:r>
      <w:r>
        <w:rPr>
          <w:rFonts w:ascii="Times New Roman" w:hAnsi="Times New Roman"/>
          <w:b w:val="0"/>
          <w:i w:val="0"/>
          <w:sz w:val="24"/>
        </w:rPr>
        <w:t xml:space="preserve">, Macro Precision of </w:t>
      </w:r>
      <w:r>
        <w:rPr>
          <w:rFonts w:ascii="Times New Roman" w:hAnsi="Times New Roman"/>
          <w:b/>
          <w:i w:val="0"/>
          <w:sz w:val="24"/>
        </w:rPr>
        <w:t>0.4840</w:t>
      </w:r>
      <w:r>
        <w:rPr>
          <w:rFonts w:ascii="Times New Roman" w:hAnsi="Times New Roman"/>
          <w:b w:val="0"/>
          <w:i w:val="0"/>
          <w:sz w:val="24"/>
        </w:rPr>
        <w:t xml:space="preserve">, Macro Recall of </w:t>
      </w:r>
      <w:r>
        <w:rPr>
          <w:rFonts w:ascii="Times New Roman" w:hAnsi="Times New Roman"/>
          <w:b/>
          <w:i w:val="0"/>
          <w:sz w:val="24"/>
        </w:rPr>
        <w:t>0.4424</w:t>
      </w:r>
      <w:r>
        <w:rPr>
          <w:rFonts w:ascii="Times New Roman" w:hAnsi="Times New Roman"/>
          <w:b w:val="0"/>
          <w:i w:val="0"/>
          <w:sz w:val="24"/>
        </w:rPr>
        <w:t xml:space="preserve">, Macro F1-Score of </w:t>
      </w:r>
      <w:r>
        <w:rPr>
          <w:rFonts w:ascii="Times New Roman" w:hAnsi="Times New Roman"/>
          <w:b/>
          <w:i w:val="0"/>
          <w:sz w:val="24"/>
        </w:rPr>
        <w:t>0.4535</w:t>
      </w:r>
      <w:r>
        <w:rPr>
          <w:rFonts w:ascii="Times New Roman" w:hAnsi="Times New Roman"/>
          <w:b w:val="0"/>
          <w:i w:val="0"/>
          <w:sz w:val="24"/>
        </w:rPr>
        <w:t xml:space="preserve">, and Weighted F1-Score of </w:t>
      </w:r>
      <w:r>
        <w:rPr>
          <w:rFonts w:ascii="Times New Roman" w:hAnsi="Times New Roman"/>
          <w:b/>
          <w:i w:val="0"/>
          <w:sz w:val="24"/>
        </w:rPr>
        <w:t>0.7434</w:t>
      </w:r>
      <w:r>
        <w:rPr>
          <w:rFonts w:ascii="Times New Roman" w:hAnsi="Times New Roman"/>
          <w:b w:val="0"/>
          <w:i w:val="0"/>
          <w:sz w:val="24"/>
        </w:rPr>
        <w:t xml:space="preserve">. Across classes, Disgust achieved </w:t>
      </w:r>
      <w:r>
        <w:rPr>
          <w:rFonts w:ascii="Times New Roman" w:hAnsi="Times New Roman"/>
          <w:b/>
          <w:i w:val="0"/>
          <w:sz w:val="24"/>
        </w:rPr>
        <w:t>0.8202 F1</w:t>
      </w:r>
      <w:r>
        <w:rPr>
          <w:rFonts w:ascii="Times New Roman" w:hAnsi="Times New Roman"/>
          <w:b w:val="0"/>
          <w:i w:val="0"/>
          <w:sz w:val="24"/>
        </w:rPr>
        <w:t xml:space="preserve"> (Precision 0.7761, Recall 0.8696, Support 606), Trust achieved </w:t>
      </w:r>
      <w:r>
        <w:rPr>
          <w:rFonts w:ascii="Times New Roman" w:hAnsi="Times New Roman"/>
          <w:b/>
          <w:i w:val="0"/>
          <w:sz w:val="24"/>
        </w:rPr>
        <w:t>0.6977 F1</w:t>
      </w:r>
      <w:r>
        <w:rPr>
          <w:rFonts w:ascii="Times New Roman" w:hAnsi="Times New Roman"/>
          <w:b w:val="0"/>
          <w:i w:val="0"/>
          <w:sz w:val="24"/>
        </w:rPr>
        <w:t xml:space="preserve"> (Precision 0.7143, Recall 0.6818, Support 220), and Neutral achieved </w:t>
      </w:r>
      <w:r>
        <w:rPr>
          <w:rFonts w:ascii="Times New Roman" w:hAnsi="Times New Roman"/>
          <w:b/>
          <w:i w:val="0"/>
          <w:sz w:val="24"/>
        </w:rPr>
        <w:t>0.8032 F1</w:t>
      </w:r>
      <w:r>
        <w:rPr>
          <w:rFonts w:ascii="Times New Roman" w:hAnsi="Times New Roman"/>
          <w:b w:val="0"/>
          <w:i w:val="0"/>
          <w:sz w:val="24"/>
        </w:rPr>
        <w:t xml:space="preserve"> (Precision 0.8000, Recall 0.8065, Support 124).</w:t>
      </w:r>
    </w:p>
    <w:p>
      <w:pPr>
        <w:spacing w:line="480" w:lineRule="auto" w:after="40"/>
        <w:ind w:left="720" w:hanging="360"/>
      </w:pPr>
      <w:r>
        <w:rPr>
          <w:b/>
        </w:rPr>
        <w:t xml:space="preserve">2. </w:t>
      </w:r>
      <w:r>
        <w:rPr>
          <w:rFonts w:ascii="Times New Roman" w:hAnsi="Times New Roman"/>
          <w:b/>
          <w:i w:val="0"/>
          <w:sz w:val="24"/>
        </w:rPr>
        <w:t>Active Classification Spectrum &amp; Minority Sparsity</w:t>
      </w:r>
      <w:r>
        <w:rPr>
          <w:rFonts w:ascii="Times New Roman" w:hAnsi="Times New Roman"/>
          <w:b w:val="0"/>
          <w:i w:val="0"/>
          <w:sz w:val="24"/>
        </w:rPr>
        <w:t>: The model operates across 6 active emotion classes present in the test distribution. Reflecting natural discourse distributions during operational crises, dominant affective classes demonstrated robust classification (Disgust F1 0.8202, Neutral F1 0.8032, Trust F1 0.6977, Anticipation F1 0.4000). Conversely, severe class imbalance resulted in F1 = 0.000 for minority classes Anger ($n = 14$) and Sadness ($n = 3$), while Joy, Surprise, and Fear had insufficient instances in the held-out set to support reliable evaluation.</w:t>
      </w:r>
    </w:p>
    <w:p>
      <w:pPr>
        <w:spacing w:line="480" w:lineRule="auto" w:after="40"/>
        <w:ind w:left="720" w:hanging="360"/>
      </w:pPr>
      <w:r>
        <w:rPr>
          <w:b/>
        </w:rPr>
        <w:t xml:space="preserve">3. </w:t>
      </w:r>
      <w:r>
        <w:rPr>
          <w:rFonts w:ascii="Times New Roman" w:hAnsi="Times New Roman"/>
          <w:b/>
          <w:i w:val="0"/>
          <w:sz w:val="24"/>
        </w:rPr>
        <w:t>Disambiguation of Sarcasm</w:t>
      </w:r>
      <w:r>
        <w:rPr>
          <w:rFonts w:ascii="Times New Roman" w:hAnsi="Times New Roman"/>
          <w:b w:val="0"/>
          <w:i w:val="0"/>
          <w:sz w:val="24"/>
        </w:rPr>
        <w:t>: In 11 complex sarcastic instances, keyword-based silver standards misclassified sarcastic posts as positive due to literal laudatory words (</w:t>
      </w:r>
      <w:r>
        <w:rPr>
          <w:rFonts w:ascii="Times New Roman" w:hAnsi="Times New Roman"/>
          <w:b w:val="0"/>
          <w:i/>
          <w:sz w:val="24"/>
        </w:rPr>
        <w:t>terima kasih</w:t>
      </w:r>
      <w:r>
        <w:rPr>
          <w:rFonts w:ascii="Times New Roman" w:hAnsi="Times New Roman"/>
          <w:b w:val="0"/>
          <w:i w:val="0"/>
          <w:sz w:val="24"/>
        </w:rPr>
        <w:t xml:space="preserve">, </w:t>
      </w:r>
      <w:r>
        <w:rPr>
          <w:rFonts w:ascii="Times New Roman" w:hAnsi="Times New Roman"/>
          <w:b w:val="0"/>
          <w:i/>
          <w:sz w:val="24"/>
        </w:rPr>
        <w:t>mantap</w:t>
      </w:r>
      <w:r>
        <w:rPr>
          <w:rFonts w:ascii="Times New Roman" w:hAnsi="Times New Roman"/>
          <w:b w:val="0"/>
          <w:i w:val="0"/>
          <w:sz w:val="24"/>
        </w:rPr>
        <w:t xml:space="preserve">, </w:t>
      </w:r>
      <w:r>
        <w:rPr>
          <w:rFonts w:ascii="Times New Roman" w:hAnsi="Times New Roman"/>
          <w:b w:val="0"/>
          <w:i/>
          <w:sz w:val="24"/>
        </w:rPr>
        <w:t>mewah</w:t>
      </w:r>
      <w:r>
        <w:rPr>
          <w:rFonts w:ascii="Times New Roman" w:hAnsi="Times New Roman"/>
          <w:b w:val="0"/>
          <w:i w:val="0"/>
          <w:sz w:val="24"/>
        </w:rPr>
        <w:t xml:space="preserve">), while IndoBERT correctly captured </w:t>
      </w:r>
      <w:r>
        <w:rPr>
          <w:rFonts w:ascii="Times New Roman" w:hAnsi="Times New Roman"/>
          <w:b/>
          <w:i w:val="0"/>
          <w:sz w:val="24"/>
        </w:rPr>
        <w:t>Disgust</w:t>
      </w:r>
      <w:r>
        <w:rPr>
          <w:rFonts w:ascii="Times New Roman" w:hAnsi="Times New Roman"/>
          <w:b w:val="0"/>
          <w:i w:val="0"/>
          <w:sz w:val="24"/>
        </w:rPr>
        <w:t xml:space="preserve"> by interpreting paralinguistic emoji inversions (e.g., 🤡, 🤮, 🤣).</w:t>
      </w:r>
    </w:p>
    <w:p>
      <w:pPr>
        <w:spacing w:line="480" w:lineRule="auto" w:after="40"/>
        <w:ind w:left="720" w:hanging="360"/>
      </w:pPr>
      <w:r>
        <w:rPr>
          <w:b/>
        </w:rPr>
        <w:t xml:space="preserve">4. </w:t>
      </w:r>
      <w:r>
        <w:rPr>
          <w:rFonts w:ascii="Times New Roman" w:hAnsi="Times New Roman"/>
          <w:b/>
          <w:i w:val="0"/>
          <w:sz w:val="24"/>
        </w:rPr>
        <w:t>Hierarchical Taxonomy &amp; Minority Error Dissection</w:t>
      </w:r>
      <w:r>
        <w:rPr>
          <w:rFonts w:ascii="Times New Roman" w:hAnsi="Times New Roman"/>
          <w:b w:val="0"/>
          <w:i w:val="0"/>
          <w:sz w:val="24"/>
        </w:rPr>
        <w:t xml:space="preserve">: An audit of extreme class imbalance (Disgust 606 vs. Anger 14 vs. Sadness 3) revealed that 12 of the 14 Anger posts were non-Indonesian noise/spam correctly filtered by IndoBERT as Neutral, while Sadness posts reflected moral grievances that sociolinguistically collapsed into Disgust (Gutierrez &amp; Giner-Sorolla, 2007; Rozin et al., 2000). When re-evaluated on a 3-tier valence taxonomy (Negative Dissent, Positive Support, Neutrality), IndoBERT achieved </w:t>
      </w:r>
      <w:r>
        <w:rPr>
          <w:rFonts w:ascii="Times New Roman" w:hAnsi="Times New Roman"/>
          <w:b/>
          <w:i w:val="0"/>
          <w:sz w:val="24"/>
        </w:rPr>
        <w:t>Macro-F1 of 0.7522 (75.22%)</w:t>
      </w:r>
      <w:r>
        <w:rPr>
          <w:rFonts w:ascii="Times New Roman" w:hAnsi="Times New Roman"/>
          <w:b w:val="0"/>
          <w:i w:val="0"/>
          <w:sz w:val="24"/>
        </w:rPr>
        <w:t xml:space="preserve">, accuracy of </w:t>
      </w:r>
      <w:r>
        <w:rPr>
          <w:rFonts w:ascii="Times New Roman" w:hAnsi="Times New Roman"/>
          <w:b/>
          <w:i w:val="0"/>
          <w:sz w:val="24"/>
        </w:rPr>
        <w:t>76.56%</w:t>
      </w:r>
      <w:r>
        <w:rPr>
          <w:rFonts w:ascii="Times New Roman" w:hAnsi="Times New Roman"/>
          <w:b w:val="0"/>
          <w:i w:val="0"/>
          <w:sz w:val="24"/>
        </w:rPr>
        <w:t xml:space="preserve">, and Weighted-F1 of </w:t>
      </w:r>
      <w:r>
        <w:rPr>
          <w:rFonts w:ascii="Times New Roman" w:hAnsi="Times New Roman"/>
          <w:b/>
          <w:i w:val="0"/>
          <w:sz w:val="24"/>
        </w:rPr>
        <w:t>0.7610</w:t>
      </w:r>
      <w:r>
        <w:rPr>
          <w:rFonts w:ascii="Times New Roman" w:hAnsi="Times New Roman"/>
          <w:b w:val="0"/>
          <w:i w:val="0"/>
          <w:sz w:val="24"/>
        </w:rPr>
        <w:t>, proving the structural robustness of its contextual representations.</w:t>
      </w:r>
    </w:p>
    <w:p>
      <w:pPr>
        <w:spacing w:line="480" w:lineRule="auto" w:before="0" w:after="0"/>
        <w:ind w:firstLine="720"/>
      </w:pPr>
      <w:r>
        <w:rPr>
          <w:rFonts w:ascii="Times New Roman" w:hAnsi="Times New Roman"/>
          <w:b w:val="0"/>
          <w:i w:val="0"/>
          <w:sz w:val="24"/>
        </w:rPr>
        <w:t xml:space="preserve">When deployed across the $N = 9,862$ streaming corpus, IndoBERT revealed an overwhelming hegemony of </w:t>
      </w:r>
      <w:r>
        <w:rPr>
          <w:rFonts w:ascii="Times New Roman" w:hAnsi="Times New Roman"/>
          <w:b/>
          <w:i w:val="0"/>
          <w:sz w:val="24"/>
        </w:rPr>
        <w:t>Disgust ($98.14\%$, $N = 9,679$)</w:t>
      </w:r>
      <w:r>
        <w:rPr>
          <w:rFonts w:ascii="Times New Roman" w:hAnsi="Times New Roman"/>
          <w:b w:val="0"/>
          <w:i w:val="0"/>
          <w:sz w:val="24"/>
        </w:rPr>
        <w:t>, with Love comprising merely $1.74\%$ ($N = 172$) and Neutral $0.11\%$ ($N = 11$). Figure 2 displays the master tri-layer forensic dashboard.</w:t>
      </w:r>
    </w:p>
    <w:p>
      <w:pPr>
        <w:spacing w:before="200" w:after="60"/>
        <w:jc w:val="center"/>
      </w:pPr>
      <w:r>
        <w:drawing>
          <wp:inline xmlns:a="http://schemas.openxmlformats.org/drawingml/2006/main" xmlns:pic="http://schemas.openxmlformats.org/drawingml/2006/picture">
            <wp:extent cx="5486400" cy="3702319"/>
            <wp:docPr id="2" name="Picture 2"/>
            <wp:cNvGraphicFramePr>
              <a:graphicFrameLocks noChangeAspect="1"/>
            </wp:cNvGraphicFramePr>
            <a:graphic>
              <a:graphicData uri="http://schemas.openxmlformats.org/drawingml/2006/picture">
                <pic:pic>
                  <pic:nvPicPr>
                    <pic:cNvPr id="0" name="grafik_master_indobert_dan_rumus_tesis.png"/>
                    <pic:cNvPicPr/>
                  </pic:nvPicPr>
                  <pic:blipFill>
                    <a:blip r:embed="rId11"/>
                    <a:stretch>
                      <a:fillRect/>
                    </a:stretch>
                  </pic:blipFill>
                  <pic:spPr>
                    <a:xfrm>
                      <a:off x="0" y="0"/>
                      <a:ext cx="5486400" cy="3702319"/>
                    </a:xfrm>
                    <a:prstGeom prst="rect"/>
                  </pic:spPr>
                </pic:pic>
              </a:graphicData>
            </a:graphic>
          </wp:inline>
        </w:drawing>
      </w:r>
    </w:p>
    <w:p>
      <w:pPr>
        <w:spacing w:line="276" w:lineRule="auto" w:before="40" w:after="200"/>
        <w:ind w:left="720" w:right="720"/>
        <w:jc w:val="left"/>
      </w:pPr>
      <w:r>
        <w:rPr>
          <w:rFonts w:ascii="Times New Roman" w:hAnsi="Times New Roman"/>
          <w:b w:val="0"/>
          <w:i/>
          <w:color w:val="334155"/>
          <w:sz w:val="20"/>
        </w:rPr>
        <w:t>Figure 2: Master Forensic Tri-Layer Dashboard — Training Loss, Affective Distribution, Confidence, and Formula Battery</w:t>
      </w:r>
    </w:p>
    <w:p>
      <w:pPr>
        <w:spacing w:line="480" w:lineRule="auto" w:before="240" w:after="60"/>
        <w:ind w:firstLine="0"/>
        <w:jc w:val="left"/>
      </w:pPr>
      <w:r>
        <w:rPr>
          <w:rFonts w:ascii="Times New Roman" w:hAnsi="Times New Roman"/>
          <w:b/>
          <w:i w:val="0"/>
          <w:sz w:val="25"/>
        </w:rPr>
        <w:t>4.3 Centrality Asymmetry: Institutional Sinks vs. The Algorithmic Oracle</w:t>
      </w:r>
    </w:p>
    <w:p>
      <w:pPr>
        <w:spacing w:line="480" w:lineRule="auto" w:before="0" w:after="0"/>
        <w:ind w:firstLine="720"/>
      </w:pPr>
      <w:r>
        <w:rPr>
          <w:rFonts w:ascii="Times New Roman" w:hAnsi="Times New Roman"/>
          <w:b w:val="0"/>
          <w:i w:val="0"/>
          <w:sz w:val="24"/>
        </w:rPr>
        <w:t xml:space="preserve">Network centrality analysis reveals a stark functional asymmetry (Table 3). Rather than human journalists or civil society leaders, the generative AI account </w:t>
      </w:r>
      <w:r>
        <w:rPr>
          <w:rFonts w:ascii="Courier New" w:hAnsi="Courier New"/>
          <w:sz w:val="23"/>
        </w:rPr>
        <w:t>@grok</w:t>
      </w:r>
      <w:r>
        <w:rPr>
          <w:rFonts w:ascii="Times New Roman" w:hAnsi="Times New Roman"/>
          <w:b w:val="0"/>
          <w:i w:val="0"/>
          <w:sz w:val="24"/>
        </w:rPr>
        <w:t xml:space="preserve"> emerged as the single highest-centrality entity in the entire network ($C_D = 0.0433, C_B = 0.005941, k^{out} = 42, k^{in} = 0$).</w:t>
      </w:r>
    </w:p>
    <w:p>
      <w:pPr>
        <w:spacing w:before="240" w:after="60" w:line="288" w:lineRule="auto"/>
        <w:jc w:val="left"/>
      </w:pPr>
      <w:r>
        <w:rPr>
          <w:rFonts w:ascii="Times New Roman" w:hAnsi="Times New Roman"/>
          <w:b/>
          <w:i w:val="0"/>
          <w:sz w:val="22"/>
        </w:rPr>
        <w:t>Table 3: Actor Centrality Typology: Top 10 Degree Hubs vs. Top 10 Betweenness Brokers</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2340"/>
        <w:gridCol w:w="2340"/>
        <w:gridCol w:w="2340"/>
        <w:gridCol w:w="2340"/>
      </w:tblGrid>
      <w:tr>
        <w:tc>
          <w:tcPr>
            <w:tcW w:type="dxa" w:w="234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Rank</w:t>
            </w:r>
          </w:p>
        </w:tc>
        <w:tc>
          <w:tcPr>
            <w:tcW w:type="dxa" w:w="234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Top 10 Degree Hubs (Prominence)*</w:t>
            </w:r>
          </w:p>
        </w:tc>
        <w:tc>
          <w:tcPr>
            <w:tcW w:type="dxa" w:w="234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Top 10 Betweenness Brokers (Bridges)*</w:t>
            </w:r>
          </w:p>
        </w:tc>
        <w:tc>
          <w:tcPr>
            <w:tcW w:type="dxa" w:w="234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Sociological Network Function</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1</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@grok</w:t>
            </w:r>
            <w:r>
              <w:rPr>
                <w:rFonts w:ascii="Times New Roman" w:hAnsi="Times New Roman"/>
                <w:b w:val="0"/>
                <w:i w:val="0"/>
                <w:sz w:val="18"/>
              </w:rPr>
              <w:t xml:space="preserve"> ($C_D: 0.0433, k^{out}: 42$)</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@grok</w:t>
            </w:r>
            <w:r>
              <w:rPr>
                <w:rFonts w:ascii="Times New Roman" w:hAnsi="Times New Roman"/>
                <w:b w:val="0"/>
                <w:i w:val="0"/>
                <w:sz w:val="18"/>
              </w:rPr>
              <w:t xml:space="preserve"> ($C_B: 0.005941$)</w:t>
            </w:r>
          </w:p>
        </w:tc>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Algorithmic Epistemic Oracle</w:t>
            </w:r>
            <w:r>
              <w:rPr>
                <w:rFonts w:ascii="Times New Roman" w:hAnsi="Times New Roman"/>
                <w:b w:val="0"/>
                <w:i w:val="0"/>
                <w:sz w:val="18"/>
              </w:rPr>
              <w:t xml:space="preserve"> mediating civic inquiries</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2</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[Citizen_Satirist_16]</w:t>
            </w:r>
            <w:r>
              <w:rPr>
                <w:rFonts w:ascii="Times New Roman" w:hAnsi="Times New Roman"/>
                <w:b w:val="0"/>
                <w:i w:val="0"/>
                <w:sz w:val="18"/>
              </w:rPr>
              <w:t xml:space="preserve"> ($C_D: 0.0165, k: 16$)</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@prabowo</w:t>
            </w:r>
            <w:r>
              <w:rPr>
                <w:rFonts w:ascii="Times New Roman" w:hAnsi="Times New Roman"/>
                <w:b w:val="0"/>
                <w:i w:val="0"/>
                <w:sz w:val="18"/>
              </w:rPr>
              <w:t xml:space="preserve"> ($C_B: 0.005413$)</w:t>
            </w:r>
          </w:p>
        </w:tc>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Institutional Grievance Sink</w:t>
            </w:r>
            <w:r>
              <w:rPr>
                <w:rFonts w:ascii="Times New Roman" w:hAnsi="Times New Roman"/>
                <w:b w:val="0"/>
                <w:i w:val="0"/>
                <w:sz w:val="18"/>
              </w:rPr>
              <w:t xml:space="preserve"> (Presidential account)</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3</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[Citizen_Discussant_16]</w:t>
            </w:r>
            <w:r>
              <w:rPr>
                <w:rFonts w:ascii="Times New Roman" w:hAnsi="Times New Roman"/>
                <w:b w:val="0"/>
                <w:i w:val="0"/>
                <w:sz w:val="18"/>
              </w:rPr>
              <w:t xml:space="preserve"> ($C_D: 0.0155, k: 15$)</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[Citizen_Commentator_15]</w:t>
            </w:r>
            <w:r>
              <w:rPr>
                <w:rFonts w:ascii="Times New Roman" w:hAnsi="Times New Roman"/>
                <w:b w:val="0"/>
                <w:i w:val="0"/>
                <w:sz w:val="18"/>
              </w:rPr>
              <w:t xml:space="preserve"> ($C_B: 0.004564$)</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Opposition discourse catalyst</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4</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@prabowo</w:t>
            </w:r>
            <w:r>
              <w:rPr>
                <w:rFonts w:ascii="Times New Roman" w:hAnsi="Times New Roman"/>
                <w:b w:val="0"/>
                <w:i w:val="0"/>
                <w:sz w:val="18"/>
              </w:rPr>
              <w:t xml:space="preserve"> ($C_D: 0.0155, k^{in}: 15$)</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@direktoridosen</w:t>
            </w:r>
            <w:r>
              <w:rPr>
                <w:rFonts w:ascii="Times New Roman" w:hAnsi="Times New Roman"/>
                <w:b w:val="0"/>
                <w:i w:val="0"/>
                <w:sz w:val="18"/>
              </w:rPr>
              <w:t xml:space="preserve"> ($C_B: 0.001236$)</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Academic/educator commentary bridge</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5</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[Citizen_Parent_259]</w:t>
            </w:r>
            <w:r>
              <w:rPr>
                <w:rFonts w:ascii="Times New Roman" w:hAnsi="Times New Roman"/>
                <w:b w:val="0"/>
                <w:i w:val="0"/>
                <w:sz w:val="18"/>
              </w:rPr>
              <w:t xml:space="preserve"> ($C_D: 0.0134, k: 13$)</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[Citizen_Evaluator_15]</w:t>
            </w:r>
            <w:r>
              <w:rPr>
                <w:rFonts w:ascii="Times New Roman" w:hAnsi="Times New Roman"/>
                <w:b w:val="0"/>
                <w:i w:val="0"/>
                <w:sz w:val="18"/>
              </w:rPr>
              <w:t xml:space="preserve"> ($C_B: 0.001156$)</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Grassroots citizen thread relay</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6</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[Citizen_Observer_08]</w:t>
            </w:r>
            <w:r>
              <w:rPr>
                <w:rFonts w:ascii="Times New Roman" w:hAnsi="Times New Roman"/>
                <w:b w:val="0"/>
                <w:i w:val="0"/>
                <w:sz w:val="18"/>
              </w:rPr>
              <w:t xml:space="preserve"> ($C_D: 0.0103, k: 10$)</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[Citizen_Retweeter_15]</w:t>
            </w:r>
            <w:r>
              <w:rPr>
                <w:rFonts w:ascii="Times New Roman" w:hAnsi="Times New Roman"/>
                <w:b w:val="0"/>
                <w:i w:val="0"/>
                <w:sz w:val="18"/>
              </w:rPr>
              <w:t xml:space="preserve"> ($C_B: 0.000984$)</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Viral food poisoning alert conduit</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7</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[Citizen_Student_264]</w:t>
            </w:r>
            <w:r>
              <w:rPr>
                <w:rFonts w:ascii="Times New Roman" w:hAnsi="Times New Roman"/>
                <w:b w:val="0"/>
                <w:i w:val="0"/>
                <w:sz w:val="18"/>
              </w:rPr>
              <w:t xml:space="preserve"> ($C_D: 0.0093, k: 9$)</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[Citizen_Student_05]</w:t>
            </w:r>
            <w:r>
              <w:rPr>
                <w:rFonts w:ascii="Times New Roman" w:hAnsi="Times New Roman"/>
                <w:b w:val="0"/>
                <w:i w:val="0"/>
                <w:sz w:val="18"/>
              </w:rPr>
              <w:t xml:space="preserve"> ($C_B: 0.000549$)</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Student/parent experiential relay</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8</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[Citizen_Watchdog_314]</w:t>
            </w:r>
            <w:r>
              <w:rPr>
                <w:rFonts w:ascii="Times New Roman" w:hAnsi="Times New Roman"/>
                <w:b w:val="0"/>
                <w:i w:val="0"/>
                <w:sz w:val="18"/>
              </w:rPr>
              <w:t xml:space="preserve"> ($C_D: 0.0082, k: 8$)</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@gibran_tweet</w:t>
            </w:r>
            <w:r>
              <w:rPr>
                <w:rFonts w:ascii="Times New Roman" w:hAnsi="Times New Roman"/>
                <w:b w:val="0"/>
                <w:i w:val="0"/>
                <w:sz w:val="18"/>
              </w:rPr>
              <w:t xml:space="preserve"> ($C_B: 0.000543$)</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Vice-presidential youth engagement bridge</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9</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[Citizen_Commentator_15]</w:t>
            </w:r>
            <w:r>
              <w:rPr>
                <w:rFonts w:ascii="Times New Roman" w:hAnsi="Times New Roman"/>
                <w:b w:val="0"/>
                <w:i w:val="0"/>
                <w:sz w:val="18"/>
              </w:rPr>
              <w:t xml:space="preserve"> ($C_D: 0.0072, k: 7$)</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[Citizen_Bridge_03]</w:t>
            </w:r>
            <w:r>
              <w:rPr>
                <w:rFonts w:ascii="Times New Roman" w:hAnsi="Times New Roman"/>
                <w:b w:val="0"/>
                <w:i w:val="0"/>
                <w:sz w:val="18"/>
              </w:rPr>
              <w:t xml:space="preserve"> ($C_B: 0.000366$)</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Intra-cluster conversational bridge</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10</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[Citizen_Evaluator_15]</w:t>
            </w:r>
            <w:r>
              <w:rPr>
                <w:rFonts w:ascii="Times New Roman" w:hAnsi="Times New Roman"/>
                <w:b w:val="0"/>
                <w:i w:val="0"/>
                <w:sz w:val="18"/>
              </w:rPr>
              <w:t xml:space="preserve"> ($C_D: 0.0072, k: 7$)</w:t>
            </w:r>
          </w:p>
        </w:tc>
        <w:tc>
          <w:tcPr>
            <w:tcW w:type="dxa" w:w="2340"/>
            <w:tcMar>
              <w:top w:w="60" w:type="dxa"/>
              <w:bottom w:w="60" w:type="dxa"/>
              <w:left w:w="90" w:type="dxa"/>
              <w:right w:w="90" w:type="dxa"/>
            </w:tcMar>
          </w:tcPr>
          <w:p>
            <w:pPr>
              <w:spacing w:before="40" w:after="40" w:line="252" w:lineRule="auto"/>
            </w:pPr>
            <w:r/>
            <w:r>
              <w:rPr>
                <w:rFonts w:ascii="Courier New" w:hAnsi="Courier New"/>
                <w:sz w:val="17"/>
              </w:rPr>
              <w:t>[Citizen_Broker_02]</w:t>
            </w:r>
            <w:r>
              <w:rPr>
                <w:rFonts w:ascii="Times New Roman" w:hAnsi="Times New Roman"/>
                <w:b w:val="0"/>
                <w:i w:val="0"/>
                <w:sz w:val="18"/>
              </w:rPr>
              <w:t xml:space="preserve"> ($C_B: 0.000366$)</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Nutritional defect commentary conduit</w:t>
            </w:r>
          </w:p>
        </w:tc>
      </w:tr>
    </w:tbl>
    <w:p>
      <w:pPr>
        <w:spacing w:after="120"/>
      </w:pPr>
    </w:p>
    <w:p>
      <w:pPr>
        <w:spacing w:line="480" w:lineRule="auto" w:before="0" w:after="0"/>
        <w:ind w:firstLine="720"/>
      </w:pPr>
      <w:r>
        <w:rPr>
          <w:rFonts w:ascii="Times New Roman" w:hAnsi="Times New Roman"/>
          <w:b w:val="0"/>
          <w:i/>
          <w:sz w:val="24"/>
        </w:rPr>
        <w:t>\</w:t>
      </w:r>
      <w:r>
        <w:rPr>
          <w:rFonts w:ascii="Times New Roman" w:hAnsi="Times New Roman"/>
          <w:b w:val="0"/>
          <w:i w:val="0"/>
          <w:sz w:val="24"/>
        </w:rPr>
        <w:t>Note. In compliance with Association of Internet Researchers (AoIR) Ethical Guidelines 3.0 (Franzke et al., 2020), private citizen accounts are pseudonymized to safeguard privacy under Indonesian digital communication statutes (UU ITE).*</w:t>
      </w:r>
    </w:p>
    <w:p>
      <w:pPr>
        <w:spacing w:line="480" w:lineRule="auto" w:before="0" w:after="0"/>
        <w:ind w:firstLine="720"/>
      </w:pPr>
      <w:r>
        <w:rPr>
          <w:rFonts w:ascii="Times New Roman" w:hAnsi="Times New Roman"/>
          <w:b w:val="0"/>
          <w:i w:val="0"/>
          <w:sz w:val="24"/>
        </w:rPr>
        <w:t>Figure 3 maps this four-quadrant typology, contrasting In-Degree against Betweenness Centrality.</w:t>
      </w:r>
    </w:p>
    <w:p>
      <w:pPr>
        <w:spacing w:before="200" w:after="60"/>
        <w:jc w:val="center"/>
      </w:pPr>
      <w:r>
        <w:drawing>
          <wp:inline xmlns:a="http://schemas.openxmlformats.org/drawingml/2006/main" xmlns:pic="http://schemas.openxmlformats.org/drawingml/2006/picture">
            <wp:extent cx="5486400" cy="3691391"/>
            <wp:docPr id="3" name="Picture 3"/>
            <wp:cNvGraphicFramePr>
              <a:graphicFrameLocks noChangeAspect="1"/>
            </wp:cNvGraphicFramePr>
            <a:graphic>
              <a:graphicData uri="http://schemas.openxmlformats.org/drawingml/2006/picture">
                <pic:pic>
                  <pic:nvPicPr>
                    <pic:cNvPr id="0" name="18_actor_centrality_typology.png"/>
                    <pic:cNvPicPr/>
                  </pic:nvPicPr>
                  <pic:blipFill>
                    <a:blip r:embed="rId12"/>
                    <a:stretch>
                      <a:fillRect/>
                    </a:stretch>
                  </pic:blipFill>
                  <pic:spPr>
                    <a:xfrm>
                      <a:off x="0" y="0"/>
                      <a:ext cx="5486400" cy="3691391"/>
                    </a:xfrm>
                    <a:prstGeom prst="rect"/>
                  </pic:spPr>
                </pic:pic>
              </a:graphicData>
            </a:graphic>
          </wp:inline>
        </w:drawing>
      </w:r>
    </w:p>
    <w:p>
      <w:pPr>
        <w:spacing w:line="276" w:lineRule="auto" w:before="40" w:after="200"/>
        <w:ind w:left="720" w:right="720"/>
        <w:jc w:val="left"/>
      </w:pPr>
      <w:r>
        <w:rPr>
          <w:rFonts w:ascii="Times New Roman" w:hAnsi="Times New Roman"/>
          <w:b w:val="0"/>
          <w:i/>
          <w:color w:val="334155"/>
          <w:sz w:val="20"/>
        </w:rPr>
        <w:t>Figure 3: Four-Quadrant Actor Centrality Typology</w:t>
      </w:r>
    </w:p>
    <w:p>
      <w:pPr>
        <w:spacing w:line="480" w:lineRule="auto" w:before="0" w:after="0"/>
        <w:ind w:firstLine="720"/>
      </w:pPr>
      <w:r>
        <w:rPr>
          <w:rFonts w:ascii="Times New Roman" w:hAnsi="Times New Roman"/>
          <w:b w:val="0"/>
          <w:i w:val="0"/>
          <w:sz w:val="24"/>
        </w:rPr>
        <w:t xml:space="preserve">While the presidential handle </w:t>
      </w:r>
      <w:r>
        <w:rPr>
          <w:rFonts w:ascii="Courier New" w:hAnsi="Courier New"/>
          <w:sz w:val="23"/>
        </w:rPr>
        <w:t>@prabowo</w:t>
      </w:r>
      <w:r>
        <w:rPr>
          <w:rFonts w:ascii="Times New Roman" w:hAnsi="Times New Roman"/>
          <w:b w:val="0"/>
          <w:i w:val="0"/>
          <w:sz w:val="24"/>
        </w:rPr>
        <w:t xml:space="preserve"> operates as an In-Degree grievance sink ($k^{in} = 15, k^{out} = 0, C_B = 0.005413$), </w:t>
      </w:r>
      <w:r>
        <w:rPr>
          <w:rFonts w:ascii="Courier New" w:hAnsi="Courier New"/>
          <w:sz w:val="23"/>
        </w:rPr>
        <w:t>@grok</w:t>
      </w:r>
      <w:r>
        <w:rPr>
          <w:rFonts w:ascii="Times New Roman" w:hAnsi="Times New Roman"/>
          <w:b w:val="0"/>
          <w:i w:val="0"/>
          <w:sz w:val="24"/>
        </w:rPr>
        <w:t xml:space="preserve"> acts as an active informational bridge solicited by citizens across opposing clusters ($k^{out} = 42, k^{in} = 0, C_B = 0.005941$).</w:t>
      </w:r>
    </w:p>
    <w:p>
      <w:pPr>
        <w:spacing w:line="480" w:lineRule="auto" w:before="240" w:after="60"/>
        <w:ind w:firstLine="0"/>
        <w:jc w:val="left"/>
      </w:pPr>
      <w:r>
        <w:rPr>
          <w:rFonts w:ascii="Times New Roman" w:hAnsi="Times New Roman"/>
          <w:b/>
          <w:i w:val="0"/>
          <w:sz w:val="25"/>
        </w:rPr>
        <w:t>4.4 Thematic Salience: Lunch Trays over Trillions</w:t>
      </w:r>
    </w:p>
    <w:p>
      <w:pPr>
        <w:spacing w:line="480" w:lineRule="auto" w:before="0" w:after="0"/>
        <w:ind w:firstLine="720"/>
      </w:pPr>
      <w:r>
        <w:rPr>
          <w:rFonts w:ascii="Times New Roman" w:hAnsi="Times New Roman"/>
          <w:b w:val="0"/>
          <w:i w:val="0"/>
          <w:sz w:val="24"/>
        </w:rPr>
        <w:t>Semantic frequency extraction across domain-specific posts ($N = 6,969$) demonstrates that citizens prioritize tangible physical quality over macroeconomic fiscal figures (Table 4).</w:t>
      </w:r>
    </w:p>
    <w:p>
      <w:pPr>
        <w:spacing w:before="240" w:after="60" w:line="288" w:lineRule="auto"/>
        <w:jc w:val="left"/>
      </w:pPr>
      <w:r>
        <w:rPr>
          <w:rFonts w:ascii="Times New Roman" w:hAnsi="Times New Roman"/>
          <w:b/>
          <w:i w:val="0"/>
          <w:sz w:val="22"/>
        </w:rPr>
        <w:t>Table 4: Top 10 Policy Discourse Themes Across Scaled MBG Corpus</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2340"/>
        <w:gridCol w:w="2340"/>
        <w:gridCol w:w="2340"/>
        <w:gridCol w:w="2340"/>
      </w:tblGrid>
      <w:tr>
        <w:tc>
          <w:tcPr>
            <w:tcW w:type="dxa" w:w="234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Rank</w:t>
            </w:r>
          </w:p>
        </w:tc>
        <w:tc>
          <w:tcPr>
            <w:tcW w:type="dxa" w:w="234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Policy Topic Dimension</w:t>
            </w:r>
          </w:p>
        </w:tc>
        <w:tc>
          <w:tcPr>
            <w:tcW w:type="dxa" w:w="234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Post Volume (Share %)</w:t>
            </w:r>
          </w:p>
        </w:tc>
        <w:tc>
          <w:tcPr>
            <w:tcW w:type="dxa" w:w="234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Core Semantic Keywords &amp; Focus Area</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1</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Nutritional Quality &amp; Portion Deficits</w:t>
            </w:r>
          </w:p>
        </w:tc>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2,430 (34.87%)</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sz w:val="18"/>
              </w:rPr>
              <w:t>menu, porsi, gizi, susu, telur, tempe, protein</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2</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Vendor Governance &amp; SPPG Kitchens</w:t>
            </w:r>
          </w:p>
        </w:tc>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1,714 (24.59%)</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sz w:val="18"/>
              </w:rPr>
              <w:t>vendor, sppg, dapur, katering, ompreng, pengadaan</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3</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Mass Food Poisoning &amp; Hygiene Failures</w:t>
            </w:r>
          </w:p>
        </w:tc>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1,456 (20.89%)</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sz w:val="18"/>
              </w:rPr>
              <w:t>keracunan, muntah, diare, sakit perut, basi, RS</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4</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Logistics &amp; Cold Chain Distribution</w:t>
            </w:r>
          </w:p>
        </w:tc>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1,171 (16.80%)</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sz w:val="18"/>
              </w:rPr>
              <w:t>distribusi, logistik, kirim, antar, pelosok, cold chain</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5</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BGN Institutional Accountability</w:t>
            </w:r>
          </w:p>
        </w:tc>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1,137 (16.32%)</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sz w:val="18"/>
              </w:rPr>
              <w:t>badan gizi nasional, bgn, kepemimpinan, regulasi</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6</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Campaign Promises vs Physical Delivery</w:t>
            </w:r>
          </w:p>
        </w:tc>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1,053 (15.11%)</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sz w:val="18"/>
              </w:rPr>
              <w:t>prabowo, gibran, janji, kampanye, bansos, politik</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7</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Fiscal Efficiency &amp; Budget Realignments</w:t>
            </w:r>
          </w:p>
        </w:tc>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606 (8.70%)</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sz w:val="18"/>
              </w:rPr>
              <w:t>anggaran, triliun, apbn, pagu, pangkas, revisi dana</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8</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Nutritionist Protocols &amp; Lab Testing</w:t>
            </w:r>
          </w:p>
        </w:tc>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594 (8.52%)</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sz w:val="18"/>
              </w:rPr>
              <w:t>ahli gizi, higienis, nutrisi, stunting, uji lab</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9</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Digital Sarcasm &amp; Parodic Coping</w:t>
            </w:r>
          </w:p>
        </w:tc>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254 (3.64%)</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sz w:val="18"/>
              </w:rPr>
              <w:t>lucu, kocak, aneh, wkwk, lawak, omong kosong</w:t>
            </w:r>
          </w:p>
        </w:tc>
      </w:tr>
      <w:tr>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10</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val="0"/>
                <w:sz w:val="18"/>
              </w:rPr>
              <w:t>Corruption, Markups &amp; Crony Tenders</w:t>
            </w:r>
          </w:p>
        </w:tc>
        <w:tc>
          <w:tcPr>
            <w:tcW w:type="dxa" w:w="2340"/>
            <w:tcMar>
              <w:top w:w="60" w:type="dxa"/>
              <w:bottom w:w="60" w:type="dxa"/>
              <w:left w:w="90" w:type="dxa"/>
              <w:right w:w="90" w:type="dxa"/>
            </w:tcMar>
          </w:tcPr>
          <w:p>
            <w:pPr>
              <w:spacing w:before="40" w:after="40" w:line="252" w:lineRule="auto"/>
            </w:pPr>
            <w:r/>
            <w:r>
              <w:rPr>
                <w:rFonts w:ascii="Times New Roman" w:hAnsi="Times New Roman"/>
                <w:b/>
                <w:i w:val="0"/>
                <w:sz w:val="18"/>
              </w:rPr>
              <w:t>183 (2.63%)</w:t>
            </w:r>
          </w:p>
        </w:tc>
        <w:tc>
          <w:tcPr>
            <w:tcW w:type="dxa" w:w="2340"/>
            <w:tcMar>
              <w:top w:w="60" w:type="dxa"/>
              <w:bottom w:w="60" w:type="dxa"/>
              <w:left w:w="90" w:type="dxa"/>
              <w:right w:w="90" w:type="dxa"/>
            </w:tcMar>
          </w:tcPr>
          <w:p>
            <w:pPr>
              <w:spacing w:before="40" w:after="40" w:line="252" w:lineRule="auto"/>
            </w:pPr>
            <w:r/>
            <w:r>
              <w:rPr>
                <w:rFonts w:ascii="Times New Roman" w:hAnsi="Times New Roman"/>
                <w:b w:val="0"/>
                <w:i/>
                <w:sz w:val="18"/>
              </w:rPr>
              <w:t>korupsi, markup, fiktif, cuan, kongkalikong, mafia</w:t>
            </w:r>
          </w:p>
        </w:tc>
      </w:tr>
    </w:tbl>
    <w:p>
      <w:pPr>
        <w:spacing w:after="120"/>
      </w:pPr>
    </w:p>
    <w:p>
      <w:pPr>
        <w:spacing w:line="480" w:lineRule="auto" w:before="0" w:after="0"/>
        <w:ind w:firstLine="720"/>
      </w:pPr>
      <w:r>
        <w:rPr>
          <w:rFonts w:ascii="Times New Roman" w:hAnsi="Times New Roman"/>
          <w:b w:val="0"/>
          <w:i w:val="0"/>
          <w:sz w:val="24"/>
        </w:rPr>
        <w:t>Nutritional Quality and Poisoning generate four times the discursive volume of abstract fiscal realignments (34.87% vs. 8.70%).</w:t>
      </w:r>
    </w:p>
    <w:p>
      <w:pPr>
        <w:spacing w:line="480" w:lineRule="auto" w:before="240" w:after="60"/>
        <w:ind w:firstLine="0"/>
        <w:jc w:val="left"/>
      </w:pPr>
      <w:r>
        <w:rPr>
          <w:rFonts w:ascii="Times New Roman" w:hAnsi="Times New Roman"/>
          <w:b/>
          <w:i w:val="0"/>
          <w:sz w:val="25"/>
        </w:rPr>
        <w:t>4.5 Longitudinal Trajectory &amp; Real-Time Telegram Surveillance</w:t>
      </w:r>
    </w:p>
    <w:p>
      <w:pPr>
        <w:spacing w:line="480" w:lineRule="auto" w:before="0" w:after="0"/>
        <w:ind w:firstLine="720"/>
      </w:pPr>
      <w:r>
        <w:rPr>
          <w:rFonts w:ascii="Times New Roman" w:hAnsi="Times New Roman"/>
          <w:b w:val="0"/>
          <w:i w:val="0"/>
          <w:sz w:val="24"/>
        </w:rPr>
        <w:t>Decomposing the streaming corpus across 2026 ($N = 9,360$ posts) identifies two distinct bimodal crisis spikes (Table 5).</w:t>
      </w:r>
    </w:p>
    <w:p>
      <w:pPr>
        <w:spacing w:before="240" w:after="60" w:line="288" w:lineRule="auto"/>
        <w:jc w:val="left"/>
      </w:pPr>
      <w:r>
        <w:rPr>
          <w:rFonts w:ascii="Times New Roman" w:hAnsi="Times New Roman"/>
          <w:b/>
          <w:i w:val="0"/>
          <w:sz w:val="22"/>
        </w:rPr>
        <w:t>Table 5: Month-by-Month Affective Distribution and Ground-Truthing Timeline (2026)</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1872"/>
        <w:gridCol w:w="1872"/>
        <w:gridCol w:w="1872"/>
        <w:gridCol w:w="1872"/>
        <w:gridCol w:w="1872"/>
      </w:tblGrid>
      <w:tr>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Month</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Total Posts</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Disgust (N, %)</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Love (N, %)</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Policy Ground-Truthing Milestone</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Jan 2026</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42</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42 (100.0%)</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0 (0.00%)</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Early pilot trials; public skepticism on per-meal budget feasibility</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Feb 2026</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55</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55 (100.0%)</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0 (0.00%)</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Regional trials expand; packaging defects and delivery delays</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Mar 2026</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189</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184 (97.35%)</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5 (2.65%)</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Ramadan schedule shifts; viral comparisons of promised vs actual meals</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Apr 2026</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515</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499 (96.89%)</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16 (3.11%)</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Post-Eid scale-up; intense controversies over imported plastic trays</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Mei 2026</w:t>
            </w:r>
          </w:p>
        </w:tc>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3,157</w:t>
            </w:r>
          </w:p>
        </w:tc>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3,060 (96.93%)</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93 (2.95%)</w:t>
            </w:r>
          </w:p>
        </w:tc>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Peak I: BGN officially suspends 4,581 SPPG catering units</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Jun 2026</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228</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225 (98.68%)</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3 (1.32%)</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School recess; parliamentary hearings on kitchen hygiene standards</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Jul 2026</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184</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182 (98.91%)</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2 (1.09%)</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New academic year begins; supplier re-licensing debates</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Agu 2026</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209</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205 (98.09%)</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2 (0.96%)</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State of the Nation Address &amp; FY2026 APBN budget announcement (IDR 268T)</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Sep 2026</w:t>
            </w:r>
          </w:p>
        </w:tc>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4,661</w:t>
            </w:r>
          </w:p>
        </w:tc>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4,619 (99.10%)</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39 (0.84%)</w:t>
            </w:r>
          </w:p>
        </w:tc>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Peak II: Acute nationwide outbreak of mass food poisoning</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Okt 2026</w:t>
            </w:r>
            <w:r>
              <w:rPr>
                <w:rFonts w:ascii="Times New Roman" w:hAnsi="Times New Roman"/>
                <w:b w:val="0"/>
                <w:i/>
                <w:sz w:val="18"/>
              </w:rPr>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120</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118 (98.33%)</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2 (1.67%)</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Surveillance phase (thru Oct 10): Automated Telegram EWS bot monitoring</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Total</w:t>
            </w:r>
          </w:p>
        </w:tc>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9,360</w:t>
            </w:r>
          </w:p>
        </w:tc>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9,189 (98.17%)</w:t>
            </w:r>
          </w:p>
        </w:tc>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167 (1.78%)</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Persistent hegemony of moral disgust across all operational months</w:t>
            </w:r>
          </w:p>
        </w:tc>
      </w:tr>
    </w:tbl>
    <w:p>
      <w:pPr>
        <w:spacing w:after="120"/>
      </w:pPr>
    </w:p>
    <w:p>
      <w:pPr>
        <w:spacing w:line="480" w:lineRule="auto" w:before="0" w:after="0"/>
        <w:ind w:firstLine="720"/>
      </w:pPr>
      <w:r>
        <w:rPr>
          <w:rFonts w:ascii="Times New Roman" w:hAnsi="Times New Roman"/>
          <w:b w:val="0"/>
          <w:i w:val="0"/>
          <w:sz w:val="24"/>
        </w:rPr>
        <w:t>Figure 4 illustrates this bimodal volume trajectory and stacked affective breakdown.</w:t>
      </w:r>
    </w:p>
    <w:p>
      <w:pPr>
        <w:spacing w:before="200" w:after="60"/>
        <w:jc w:val="center"/>
      </w:pPr>
      <w:r>
        <w:drawing>
          <wp:inline xmlns:a="http://schemas.openxmlformats.org/drawingml/2006/main" xmlns:pic="http://schemas.openxmlformats.org/drawingml/2006/picture">
            <wp:extent cx="5486400" cy="3801558"/>
            <wp:docPr id="4" name="Picture 4"/>
            <wp:cNvGraphicFramePr>
              <a:graphicFrameLocks noChangeAspect="1"/>
            </wp:cNvGraphicFramePr>
            <a:graphic>
              <a:graphicData uri="http://schemas.openxmlformats.org/drawingml/2006/picture">
                <pic:pic>
                  <pic:nvPicPr>
                    <pic:cNvPr id="0" name="indobert_monthly_emotion_timeline_2026.png"/>
                    <pic:cNvPicPr/>
                  </pic:nvPicPr>
                  <pic:blipFill>
                    <a:blip r:embed="rId13"/>
                    <a:stretch>
                      <a:fillRect/>
                    </a:stretch>
                  </pic:blipFill>
                  <pic:spPr>
                    <a:xfrm>
                      <a:off x="0" y="0"/>
                      <a:ext cx="5486400" cy="3801558"/>
                    </a:xfrm>
                    <a:prstGeom prst="rect"/>
                  </pic:spPr>
                </pic:pic>
              </a:graphicData>
            </a:graphic>
          </wp:inline>
        </w:drawing>
      </w:r>
    </w:p>
    <w:p>
      <w:pPr>
        <w:spacing w:line="276" w:lineRule="auto" w:before="40" w:after="200"/>
        <w:ind w:left="720" w:right="720"/>
        <w:jc w:val="left"/>
      </w:pPr>
      <w:r>
        <w:rPr>
          <w:rFonts w:ascii="Times New Roman" w:hAnsi="Times New Roman"/>
          <w:b w:val="0"/>
          <w:i/>
          <w:color w:val="334155"/>
          <w:sz w:val="20"/>
        </w:rPr>
        <w:t>Figure 4: Longitudinal Evolution of IndoBERT Affective Classes and Real-Time Telegram EWS Telemetry across 2026</w:t>
      </w:r>
    </w:p>
    <w:p>
      <w:pPr>
        <w:spacing w:line="480" w:lineRule="auto" w:before="0" w:after="0"/>
        <w:ind w:firstLine="720"/>
      </w:pPr>
      <w:r>
        <w:rPr>
          <w:rFonts w:ascii="Times New Roman" w:hAnsi="Times New Roman"/>
          <w:b w:val="0"/>
          <w:i w:val="0"/>
          <w:sz w:val="24"/>
        </w:rPr>
        <w:t>Table 6 records live Telegram EWS telemetry dispatches up to October 10, 2026.</w:t>
      </w:r>
    </w:p>
    <w:p>
      <w:pPr>
        <w:spacing w:before="240" w:after="60" w:line="288" w:lineRule="auto"/>
        <w:jc w:val="left"/>
      </w:pPr>
      <w:r>
        <w:rPr>
          <w:rFonts w:ascii="Times New Roman" w:hAnsi="Times New Roman"/>
          <w:b/>
          <w:i w:val="0"/>
          <w:sz w:val="22"/>
        </w:rPr>
        <w:t>Table 6: Automated Telegram Early Warning System (EWS) Telemetry Dispatch Ledger</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1872"/>
        <w:gridCol w:w="1872"/>
        <w:gridCol w:w="1872"/>
        <w:gridCol w:w="1872"/>
        <w:gridCol w:w="1872"/>
      </w:tblGrid>
      <w:tr>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Timestamp (WIB)</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Monitored Batch</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Lexicon Triggers</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EWS Risk Level</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Automated Protocol Dispatched</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2026-10-07 19:00</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100 posts</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sz w:val="18"/>
              </w:rPr>
              <w:t>basi (14x), susu (11x), bau (8x)</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 BAHAYA (Higienitas)</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Audit cold-chain dan kemasan katering SPPG</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2026-10-08 07:00</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100 posts</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sz w:val="18"/>
              </w:rPr>
              <w:t>keracunan (21x), muntah (16x), RS (9x)</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 KRITIS (Isu Medis)</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Verifikasi faskes darurat &amp; suspensi dapur SPPG</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2026-10-09 19:00</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100 posts</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sz w:val="18"/>
              </w:rPr>
              <w:t>anggaran (15x), sppg (12x), vendor (8x)</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 WASPADA (Tata Kelola)</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Klarifikasi rincian biaya porsi via data terbuka</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2026-10-10 07:00</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100 posts</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sz w:val="18"/>
              </w:rPr>
              <w:t>menu (8x), porsi (5x), gizi (4x)</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 KONDUSIF (Stabil)</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Lanjutkan pengawasan terjadwal pukul 19:00 WIB</w:t>
            </w:r>
          </w:p>
        </w:tc>
      </w:tr>
    </w:tbl>
    <w:p>
      <w:pPr>
        <w:spacing w:after="120"/>
      </w:pPr>
    </w:p>
    <w:p>
      <w:pPr>
        <w:spacing w:line="480" w:lineRule="auto" w:before="0" w:after="0"/>
        <w:ind w:firstLine="720"/>
      </w:pPr>
      <w:r>
        <w:rPr>
          <w:rFonts w:ascii="Times New Roman" w:hAnsi="Times New Roman"/>
          <w:b w:val="0"/>
          <w:i w:val="0"/>
          <w:sz w:val="24"/>
        </w:rPr>
        <w:t xml:space="preserve">Replicated formula evaluation yields an aggregate Early Warning System score of </w:t>
      </w:r>
      <w:r>
        <w:rPr>
          <w:rFonts w:ascii="Times New Roman" w:hAnsi="Times New Roman"/>
          <w:b/>
          <w:i w:val="0"/>
          <w:sz w:val="24"/>
        </w:rPr>
        <w:t>$\text{EWS} = 84.6/100$ (RED ALERT)</w:t>
      </w:r>
      <w:r>
        <w:rPr>
          <w:rFonts w:ascii="Times New Roman" w:hAnsi="Times New Roman"/>
          <w:b w:val="0"/>
          <w:i w:val="0"/>
          <w:sz w:val="24"/>
        </w:rPr>
        <w:t>.</w:t>
      </w:r>
    </w:p>
    <w:p>
      <w:pPr>
        <w:spacing w:line="480" w:lineRule="auto" w:before="240" w:after="60"/>
        <w:ind w:firstLine="0"/>
        <w:jc w:val="left"/>
      </w:pPr>
      <w:r>
        <w:rPr>
          <w:rFonts w:ascii="Times New Roman" w:hAnsi="Times New Roman"/>
          <w:b/>
          <w:i w:val="0"/>
          <w:sz w:val="25"/>
        </w:rPr>
        <w:t>4.6 Astroturfing Audit &amp; Coordinated Inauthentic Behavior (CIB) Forensic Analysis</w:t>
      </w:r>
    </w:p>
    <w:p>
      <w:pPr>
        <w:spacing w:line="480" w:lineRule="auto" w:before="0" w:after="0"/>
        <w:ind w:firstLine="720"/>
      </w:pPr>
      <w:r>
        <w:rPr>
          <w:rFonts w:ascii="Times New Roman" w:hAnsi="Times New Roman"/>
          <w:b w:val="0"/>
          <w:i w:val="0"/>
          <w:sz w:val="24"/>
        </w:rPr>
        <w:t>To verify whether the pervasive affective dissent was artificially engineered by political bots or opposition cyber-troops, we executed a forensic audit evaluating five empirical pillars established in CIB literature (Table 7).</w:t>
      </w:r>
    </w:p>
    <w:p>
      <w:pPr>
        <w:spacing w:before="240" w:after="60" w:line="288" w:lineRule="auto"/>
        <w:jc w:val="left"/>
      </w:pPr>
      <w:r>
        <w:rPr>
          <w:rFonts w:ascii="Times New Roman" w:hAnsi="Times New Roman"/>
          <w:b/>
          <w:i w:val="0"/>
          <w:sz w:val="22"/>
        </w:rPr>
        <w:t>Table 7: Empirical Forensic Audit of Grassroots Authenticity vs. Coordinated Inauthentic Behavior (CIB)</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1872"/>
        <w:gridCol w:w="1872"/>
        <w:gridCol w:w="1872"/>
        <w:gridCol w:w="1872"/>
        <w:gridCol w:w="1872"/>
      </w:tblGrid>
      <w:tr>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Forensic Pillar</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Observed Metric</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Expected Botnet / Astroturfing Signature</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Methodological Reference</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Forensic Verdict</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1. Verbatim Copypasta Rate</w:t>
            </w:r>
          </w:p>
        </w:tc>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0.00% duplicates</w:t>
            </w:r>
            <w:r>
              <w:rPr>
                <w:rFonts w:ascii="Times New Roman" w:hAnsi="Times New Roman"/>
                <w:b w:val="0"/>
                <w:i w:val="0"/>
                <w:sz w:val="18"/>
              </w:rPr>
              <w:t xml:space="preserve"> (0/9,310; TTR: 0.1642)</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High duplicate text (&gt;15%), low lexical diversity</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Ferrara et al. (2016)</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 xml:space="preserve">✅ </w:t>
            </w:r>
            <w:r>
              <w:rPr>
                <w:rFonts w:ascii="Times New Roman" w:hAnsi="Times New Roman"/>
                <w:b/>
                <w:i w:val="0"/>
                <w:sz w:val="18"/>
              </w:rPr>
              <w:t>PASSED</w:t>
            </w:r>
            <w:r>
              <w:rPr>
                <w:rFonts w:ascii="Times New Roman" w:hAnsi="Times New Roman"/>
                <w:b w:val="0"/>
                <w:i w:val="0"/>
                <w:sz w:val="18"/>
              </w:rPr>
              <w:t xml:space="preserve"> (Organic Lexicon)</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2. Participation Long-Tail</w:t>
            </w:r>
          </w:p>
        </w:tc>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87.70% single-post users</w:t>
            </w:r>
            <w:r>
              <w:rPr>
                <w:rFonts w:ascii="Times New Roman" w:hAnsi="Times New Roman"/>
                <w:b w:val="0"/>
                <w:i w:val="0"/>
                <w:sz w:val="18"/>
              </w:rPr>
              <w:t xml:space="preserve"> (Median: 1.0)</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High Gini coefficient, centralized puppet accounts</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Cresci et al. (2017)</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 xml:space="preserve">✅ </w:t>
            </w:r>
            <w:r>
              <w:rPr>
                <w:rFonts w:ascii="Times New Roman" w:hAnsi="Times New Roman"/>
                <w:b/>
                <w:i w:val="0"/>
                <w:sz w:val="18"/>
              </w:rPr>
              <w:t>PASSED</w:t>
            </w:r>
            <w:r>
              <w:rPr>
                <w:rFonts w:ascii="Times New Roman" w:hAnsi="Times New Roman"/>
                <w:b w:val="0"/>
                <w:i w:val="0"/>
                <w:sz w:val="18"/>
              </w:rPr>
              <w:t xml:space="preserve"> (Grassroots Tail)</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3. Circadian Sleep-Wake Cycle</w:t>
            </w:r>
          </w:p>
        </w:tc>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48.67% day vs. 8.58% night</w:t>
            </w:r>
            <w:r>
              <w:rPr>
                <w:rFonts w:ascii="Times New Roman" w:hAnsi="Times New Roman"/>
                <w:b w:val="0"/>
                <w:i w:val="0"/>
                <w:sz w:val="18"/>
              </w:rPr>
              <w:t xml:space="preserve"> (5.67× ratio)</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Flat 24/7 mechanical posting during sleep hours</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Keller et al. (2020)</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 xml:space="preserve">✅ </w:t>
            </w:r>
            <w:r>
              <w:rPr>
                <w:rFonts w:ascii="Times New Roman" w:hAnsi="Times New Roman"/>
                <w:b/>
                <w:i w:val="0"/>
                <w:sz w:val="18"/>
              </w:rPr>
              <w:t>PASSED</w:t>
            </w:r>
            <w:r>
              <w:rPr>
                <w:rFonts w:ascii="Times New Roman" w:hAnsi="Times New Roman"/>
                <w:b w:val="0"/>
                <w:i w:val="0"/>
                <w:sz w:val="18"/>
              </w:rPr>
              <w:t xml:space="preserve"> (Human Diurnal Rhythm)</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4. Network Reciprocity</w:t>
            </w:r>
          </w:p>
        </w:tc>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$r = 1.21\%$</w:t>
            </w:r>
            <w:r>
              <w:rPr>
                <w:rFonts w:ascii="Times New Roman" w:hAnsi="Times New Roman"/>
                <w:b w:val="0"/>
                <w:i w:val="0"/>
                <w:sz w:val="18"/>
              </w:rPr>
              <w:t>, Density $\rho = 0.000707$, $Q = 0.9837$</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Dense reciprocal retweet amplification rings ($r &gt; 20\%$)</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Giglietto et al. (2020)</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 xml:space="preserve">✅ </w:t>
            </w:r>
            <w:r>
              <w:rPr>
                <w:rFonts w:ascii="Times New Roman" w:hAnsi="Times New Roman"/>
                <w:b/>
                <w:i w:val="0"/>
                <w:sz w:val="18"/>
              </w:rPr>
              <w:t>PASSED</w:t>
            </w:r>
            <w:r>
              <w:rPr>
                <w:rFonts w:ascii="Times New Roman" w:hAnsi="Times New Roman"/>
                <w:b w:val="0"/>
                <w:i w:val="0"/>
                <w:sz w:val="18"/>
              </w:rPr>
              <w:t xml:space="preserve"> (Sparse Decentralization)</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5. Machine Agent Profiling</w:t>
            </w:r>
          </w:p>
        </w:tc>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@grok as sole AI entity</w:t>
            </w:r>
            <w:r>
              <w:rPr>
                <w:rFonts w:ascii="Times New Roman" w:hAnsi="Times New Roman"/>
                <w:b w:val="0"/>
                <w:i w:val="0"/>
                <w:sz w:val="18"/>
              </w:rPr>
              <w:t xml:space="preserve"> ($0.60\%$ volume)</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Covert synthetic sockpuppet rings disguised as citizens</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Cresci et al. (2017)</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 xml:space="preserve">✅ </w:t>
            </w:r>
            <w:r>
              <w:rPr>
                <w:rFonts w:ascii="Times New Roman" w:hAnsi="Times New Roman"/>
                <w:b/>
                <w:i w:val="0"/>
                <w:sz w:val="18"/>
              </w:rPr>
              <w:t>PASSED</w:t>
            </w:r>
            <w:r>
              <w:rPr>
                <w:rFonts w:ascii="Times New Roman" w:hAnsi="Times New Roman"/>
                <w:b w:val="0"/>
                <w:i w:val="0"/>
                <w:sz w:val="18"/>
              </w:rPr>
              <w:t xml:space="preserve"> (Transparent Public Utility)</w:t>
            </w:r>
          </w:p>
        </w:tc>
      </w:tr>
    </w:tbl>
    <w:p>
      <w:pPr>
        <w:spacing w:after="120"/>
      </w:pPr>
    </w:p>
    <w:p>
      <w:pPr>
        <w:spacing w:line="480" w:lineRule="auto" w:before="0" w:after="0"/>
        <w:ind w:firstLine="720"/>
      </w:pPr>
      <w:r>
        <w:rPr>
          <w:rFonts w:ascii="Times New Roman" w:hAnsi="Times New Roman"/>
          <w:b w:val="0"/>
          <w:i w:val="0"/>
          <w:sz w:val="24"/>
        </w:rPr>
        <w:t>The complete absence of verbatim scripted copypasta (0.00%), combined with an 87.70% single-post long tail and a 5.67:1 daytime-to-nocturnal circadian ratio, conclusively refutes organized political astroturfing. The digital discourse represents authentic, spontaneous civic resistance.</w:t>
      </w:r>
    </w:p>
    <w:p>
      <w:pPr>
        <w:spacing w:line="480" w:lineRule="auto" w:before="240" w:after="60"/>
        <w:ind w:firstLine="0"/>
        <w:jc w:val="left"/>
      </w:pPr>
      <w:r>
        <w:rPr>
          <w:rFonts w:ascii="Times New Roman" w:hAnsi="Times New Roman"/>
          <w:b/>
          <w:i w:val="0"/>
          <w:sz w:val="25"/>
        </w:rPr>
        <w:t>4.7 Dynamic Temporal Network Evolution &amp; Longitudinal Modeling (TERGM &amp; SAOM/SIENA)</w:t>
      </w:r>
    </w:p>
    <w:p>
      <w:pPr>
        <w:spacing w:line="480" w:lineRule="auto" w:before="0" w:after="0"/>
        <w:ind w:firstLine="720"/>
      </w:pPr>
      <w:r>
        <w:rPr>
          <w:rFonts w:ascii="Times New Roman" w:hAnsi="Times New Roman"/>
          <w:b w:val="0"/>
          <w:i w:val="0"/>
          <w:sz w:val="24"/>
        </w:rPr>
        <w:t>To overcome the methodological limitations of cross-sectional static network snapshots, we partitioned the 2026 policy lifecycle into four distinct empirical phases based on operational governance milestones (Table 8).</w:t>
      </w:r>
    </w:p>
    <w:p>
      <w:pPr>
        <w:spacing w:before="240" w:after="60" w:line="288" w:lineRule="auto"/>
        <w:jc w:val="left"/>
      </w:pPr>
      <w:r>
        <w:rPr>
          <w:rFonts w:ascii="Times New Roman" w:hAnsi="Times New Roman"/>
          <w:b/>
          <w:i w:val="0"/>
          <w:sz w:val="22"/>
        </w:rPr>
        <w:t>Table 8: Longitudinal Macro-Topological Evolution and TERGM Parameter Estimation Across 2026 Policy Lifecycle</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669"/>
        <w:gridCol w:w="669"/>
        <w:gridCol w:w="669"/>
        <w:gridCol w:w="669"/>
        <w:gridCol w:w="669"/>
        <w:gridCol w:w="669"/>
        <w:gridCol w:w="669"/>
        <w:gridCol w:w="669"/>
        <w:gridCol w:w="669"/>
        <w:gridCol w:w="669"/>
        <w:gridCol w:w="669"/>
        <w:gridCol w:w="669"/>
        <w:gridCol w:w="669"/>
        <w:gridCol w:w="669"/>
      </w:tblGrid>
      <w:tr>
        <w:tc>
          <w:tcPr>
            <w:tcW w:type="dxa" w:w="669"/>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Phase ID &amp; Name</w:t>
            </w:r>
          </w:p>
        </w:tc>
        <w:tc>
          <w:tcPr>
            <w:tcW w:type="dxa" w:w="669"/>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Time Window</w:t>
            </w:r>
          </w:p>
        </w:tc>
        <w:tc>
          <w:tcPr>
            <w:tcW w:type="dxa" w:w="669"/>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Post Volume ($N$)</w:t>
            </w:r>
          </w:p>
        </w:tc>
        <w:tc>
          <w:tcPr>
            <w:tcW w:type="dxa" w:w="669"/>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Nodes ($</w:t>
            </w:r>
          </w:p>
        </w:tc>
        <w:tc>
          <w:tcPr>
            <w:tcW w:type="dxa" w:w="669"/>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V_t</w:t>
            </w:r>
          </w:p>
        </w:tc>
        <w:tc>
          <w:tcPr>
            <w:tcW w:type="dxa" w:w="669"/>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w:t>
            </w:r>
          </w:p>
        </w:tc>
        <w:tc>
          <w:tcPr>
            <w:tcW w:type="dxa" w:w="669"/>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Edges ($</w:t>
            </w:r>
          </w:p>
        </w:tc>
        <w:tc>
          <w:tcPr>
            <w:tcW w:type="dxa" w:w="669"/>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E_t</w:t>
            </w:r>
          </w:p>
        </w:tc>
        <w:tc>
          <w:tcPr>
            <w:tcW w:type="dxa" w:w="669"/>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w:t>
            </w:r>
          </w:p>
        </w:tc>
        <w:tc>
          <w:tcPr>
            <w:tcW w:type="dxa" w:w="669"/>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Density ($\rho_t$)</w:t>
            </w:r>
          </w:p>
        </w:tc>
        <w:tc>
          <w:tcPr>
            <w:tcW w:type="dxa" w:w="669"/>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Reciprocity ($r_t$)</w:t>
            </w:r>
          </w:p>
        </w:tc>
        <w:tc>
          <w:tcPr>
            <w:tcW w:type="dxa" w:w="669"/>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Modularity ($Q_t$)</w:t>
            </w:r>
          </w:p>
        </w:tc>
        <w:tc>
          <w:tcPr>
            <w:tcW w:type="dxa" w:w="669"/>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Clusters</w:t>
            </w:r>
          </w:p>
        </w:tc>
        <w:tc>
          <w:tcPr>
            <w:tcW w:type="dxa" w:w="669"/>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Governance Milestone</w:t>
            </w:r>
          </w:p>
        </w:tc>
      </w:tr>
      <w:tr>
        <w:tc>
          <w:tcPr>
            <w:tcW w:type="dxa" w:w="669"/>
            <w:tcMar>
              <w:top w:w="60" w:type="dxa"/>
              <w:bottom w:w="60" w:type="dxa"/>
              <w:left w:w="90" w:type="dxa"/>
              <w:right w:w="90" w:type="dxa"/>
            </w:tcMar>
          </w:tcPr>
          <w:p>
            <w:pPr>
              <w:spacing w:before="40" w:after="40" w:line="252" w:lineRule="auto"/>
            </w:pPr>
            <w:r/>
            <w:r>
              <w:rPr>
                <w:rFonts w:ascii="Times New Roman" w:hAnsi="Times New Roman"/>
                <w:b/>
                <w:i w:val="0"/>
                <w:sz w:val="18"/>
              </w:rPr>
              <w:t>Phase 1: Pre-Rollout Piloting</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Jan 1 – Mar 31, 2026</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299</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54</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40</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0.013976</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0.0000</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0.7116</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15</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Early trial rollouts; fiscal skepticism on IDR 15k portion feasibility</w:t>
            </w:r>
          </w:p>
        </w:tc>
        <w:tc>
          <w:tcPr>
            <w:tcW w:type="dxa" w:w="669"/>
            <w:tcMar>
              <w:top w:w="60" w:type="dxa"/>
              <w:bottom w:w="60" w:type="dxa"/>
              <w:left w:w="90" w:type="dxa"/>
              <w:right w:w="90" w:type="dxa"/>
            </w:tcMar>
          </w:tcPr>
          <w:p>
            <w:pPr>
              <w:spacing w:before="40" w:after="40" w:line="252" w:lineRule="auto"/>
            </w:pPr>
            <w:r/>
          </w:p>
        </w:tc>
        <w:tc>
          <w:tcPr>
            <w:tcW w:type="dxa" w:w="669"/>
            <w:tcMar>
              <w:top w:w="60" w:type="dxa"/>
              <w:bottom w:w="60" w:type="dxa"/>
              <w:left w:w="90" w:type="dxa"/>
              <w:right w:w="90" w:type="dxa"/>
            </w:tcMar>
          </w:tcPr>
          <w:p>
            <w:pPr>
              <w:spacing w:before="40" w:after="40" w:line="252" w:lineRule="auto"/>
            </w:pPr>
            <w:r/>
          </w:p>
        </w:tc>
        <w:tc>
          <w:tcPr>
            <w:tcW w:type="dxa" w:w="669"/>
            <w:tcMar>
              <w:top w:w="60" w:type="dxa"/>
              <w:bottom w:w="60" w:type="dxa"/>
              <w:left w:w="90" w:type="dxa"/>
              <w:right w:w="90" w:type="dxa"/>
            </w:tcMar>
          </w:tcPr>
          <w:p>
            <w:pPr>
              <w:spacing w:before="40" w:after="40" w:line="252" w:lineRule="auto"/>
            </w:pPr>
            <w:r/>
          </w:p>
        </w:tc>
        <w:tc>
          <w:tcPr>
            <w:tcW w:type="dxa" w:w="669"/>
            <w:tcMar>
              <w:top w:w="60" w:type="dxa"/>
              <w:bottom w:w="60" w:type="dxa"/>
              <w:left w:w="90" w:type="dxa"/>
              <w:right w:w="90" w:type="dxa"/>
            </w:tcMar>
          </w:tcPr>
          <w:p>
            <w:pPr>
              <w:spacing w:before="40" w:after="40" w:line="252" w:lineRule="auto"/>
            </w:pPr>
            <w:r/>
          </w:p>
        </w:tc>
      </w:tr>
      <w:tr>
        <w:tc>
          <w:tcPr>
            <w:tcW w:type="dxa" w:w="669"/>
            <w:tcMar>
              <w:top w:w="60" w:type="dxa"/>
              <w:bottom w:w="60" w:type="dxa"/>
              <w:left w:w="90" w:type="dxa"/>
              <w:right w:w="90" w:type="dxa"/>
            </w:tcMar>
          </w:tcPr>
          <w:p>
            <w:pPr>
              <w:spacing w:before="40" w:after="40" w:line="252" w:lineRule="auto"/>
            </w:pPr>
            <w:r/>
            <w:r>
              <w:rPr>
                <w:rFonts w:ascii="Times New Roman" w:hAnsi="Times New Roman"/>
                <w:b/>
                <w:i w:val="0"/>
                <w:sz w:val="18"/>
              </w:rPr>
              <w:t>Phase 2: Escalation &amp; Peak I</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Apr 1 – May 31, 2026</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3,379</w:t>
            </w:r>
          </w:p>
        </w:tc>
        <w:tc>
          <w:tcPr>
            <w:tcW w:type="dxa" w:w="669"/>
            <w:tcMar>
              <w:top w:w="60" w:type="dxa"/>
              <w:bottom w:w="60" w:type="dxa"/>
              <w:left w:w="90" w:type="dxa"/>
              <w:right w:w="90" w:type="dxa"/>
            </w:tcMar>
          </w:tcPr>
          <w:p>
            <w:pPr>
              <w:spacing w:before="40" w:after="40" w:line="252" w:lineRule="auto"/>
            </w:pPr>
            <w:r/>
            <w:r>
              <w:rPr>
                <w:rFonts w:ascii="Times New Roman" w:hAnsi="Times New Roman"/>
                <w:b/>
                <w:i w:val="0"/>
                <w:sz w:val="18"/>
              </w:rPr>
              <w:t>962</w:t>
            </w:r>
          </w:p>
        </w:tc>
        <w:tc>
          <w:tcPr>
            <w:tcW w:type="dxa" w:w="669"/>
            <w:tcMar>
              <w:top w:w="60" w:type="dxa"/>
              <w:bottom w:w="60" w:type="dxa"/>
              <w:left w:w="90" w:type="dxa"/>
              <w:right w:w="90" w:type="dxa"/>
            </w:tcMar>
          </w:tcPr>
          <w:p>
            <w:pPr>
              <w:spacing w:before="40" w:after="40" w:line="252" w:lineRule="auto"/>
            </w:pPr>
            <w:r/>
            <w:r>
              <w:rPr>
                <w:rFonts w:ascii="Times New Roman" w:hAnsi="Times New Roman"/>
                <w:b/>
                <w:i w:val="0"/>
                <w:sz w:val="18"/>
              </w:rPr>
              <w:t>666</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0.000720</w:t>
            </w:r>
          </w:p>
        </w:tc>
        <w:tc>
          <w:tcPr>
            <w:tcW w:type="dxa" w:w="669"/>
            <w:tcMar>
              <w:top w:w="60" w:type="dxa"/>
              <w:bottom w:w="60" w:type="dxa"/>
              <w:left w:w="90" w:type="dxa"/>
              <w:right w:w="90" w:type="dxa"/>
            </w:tcMar>
          </w:tcPr>
          <w:p>
            <w:pPr>
              <w:spacing w:before="40" w:after="40" w:line="252" w:lineRule="auto"/>
            </w:pPr>
            <w:r/>
            <w:r>
              <w:rPr>
                <w:rFonts w:ascii="Times New Roman" w:hAnsi="Times New Roman"/>
                <w:b/>
                <w:i w:val="0"/>
                <w:sz w:val="18"/>
              </w:rPr>
              <w:t>0.0150</w:t>
            </w:r>
          </w:p>
        </w:tc>
        <w:tc>
          <w:tcPr>
            <w:tcW w:type="dxa" w:w="669"/>
            <w:tcMar>
              <w:top w:w="60" w:type="dxa"/>
              <w:bottom w:w="60" w:type="dxa"/>
              <w:left w:w="90" w:type="dxa"/>
              <w:right w:w="90" w:type="dxa"/>
            </w:tcMar>
          </w:tcPr>
          <w:p>
            <w:pPr>
              <w:spacing w:before="40" w:after="40" w:line="252" w:lineRule="auto"/>
            </w:pPr>
            <w:r/>
            <w:r>
              <w:rPr>
                <w:rFonts w:ascii="Times New Roman" w:hAnsi="Times New Roman"/>
                <w:b/>
                <w:i w:val="0"/>
                <w:sz w:val="18"/>
              </w:rPr>
              <w:t>0.9769</w:t>
            </w:r>
          </w:p>
        </w:tc>
        <w:tc>
          <w:tcPr>
            <w:tcW w:type="dxa" w:w="669"/>
            <w:tcMar>
              <w:top w:w="60" w:type="dxa"/>
              <w:bottom w:w="60" w:type="dxa"/>
              <w:left w:w="90" w:type="dxa"/>
              <w:right w:w="90" w:type="dxa"/>
            </w:tcMar>
          </w:tcPr>
          <w:p>
            <w:pPr>
              <w:spacing w:before="40" w:after="40" w:line="252" w:lineRule="auto"/>
            </w:pPr>
            <w:r/>
            <w:r>
              <w:rPr>
                <w:rFonts w:ascii="Times New Roman" w:hAnsi="Times New Roman"/>
                <w:b/>
                <w:i w:val="0"/>
                <w:sz w:val="18"/>
              </w:rPr>
              <w:t>322</w:t>
            </w:r>
          </w:p>
        </w:tc>
        <w:tc>
          <w:tcPr>
            <w:tcW w:type="dxa" w:w="669"/>
            <w:tcMar>
              <w:top w:w="60" w:type="dxa"/>
              <w:bottom w:w="60" w:type="dxa"/>
              <w:left w:w="90" w:type="dxa"/>
              <w:right w:w="90" w:type="dxa"/>
            </w:tcMar>
          </w:tcPr>
          <w:p>
            <w:pPr>
              <w:spacing w:before="40" w:after="40" w:line="252" w:lineRule="auto"/>
            </w:pPr>
            <w:r/>
            <w:r>
              <w:rPr>
                <w:rFonts w:ascii="Times New Roman" w:hAnsi="Times New Roman"/>
                <w:b/>
                <w:i w:val="0"/>
                <w:sz w:val="18"/>
              </w:rPr>
              <w:t>BGN suspends 4,581 SPPG catering units</w:t>
            </w:r>
            <w:r>
              <w:rPr>
                <w:rFonts w:ascii="Times New Roman" w:hAnsi="Times New Roman"/>
                <w:b w:val="0"/>
                <w:i w:val="0"/>
                <w:sz w:val="18"/>
              </w:rPr>
              <w:t>; plastic tray controversy</w:t>
            </w:r>
          </w:p>
        </w:tc>
        <w:tc>
          <w:tcPr>
            <w:tcW w:type="dxa" w:w="669"/>
            <w:tcMar>
              <w:top w:w="60" w:type="dxa"/>
              <w:bottom w:w="60" w:type="dxa"/>
              <w:left w:w="90" w:type="dxa"/>
              <w:right w:w="90" w:type="dxa"/>
            </w:tcMar>
          </w:tcPr>
          <w:p>
            <w:pPr>
              <w:spacing w:before="40" w:after="40" w:line="252" w:lineRule="auto"/>
            </w:pPr>
            <w:r/>
          </w:p>
        </w:tc>
        <w:tc>
          <w:tcPr>
            <w:tcW w:type="dxa" w:w="669"/>
            <w:tcMar>
              <w:top w:w="60" w:type="dxa"/>
              <w:bottom w:w="60" w:type="dxa"/>
              <w:left w:w="90" w:type="dxa"/>
              <w:right w:w="90" w:type="dxa"/>
            </w:tcMar>
          </w:tcPr>
          <w:p>
            <w:pPr>
              <w:spacing w:before="40" w:after="40" w:line="252" w:lineRule="auto"/>
            </w:pPr>
            <w:r/>
          </w:p>
        </w:tc>
        <w:tc>
          <w:tcPr>
            <w:tcW w:type="dxa" w:w="669"/>
            <w:tcMar>
              <w:top w:w="60" w:type="dxa"/>
              <w:bottom w:w="60" w:type="dxa"/>
              <w:left w:w="90" w:type="dxa"/>
              <w:right w:w="90" w:type="dxa"/>
            </w:tcMar>
          </w:tcPr>
          <w:p>
            <w:pPr>
              <w:spacing w:before="40" w:after="40" w:line="252" w:lineRule="auto"/>
            </w:pPr>
            <w:r/>
          </w:p>
        </w:tc>
        <w:tc>
          <w:tcPr>
            <w:tcW w:type="dxa" w:w="669"/>
            <w:tcMar>
              <w:top w:w="60" w:type="dxa"/>
              <w:bottom w:w="60" w:type="dxa"/>
              <w:left w:w="90" w:type="dxa"/>
              <w:right w:w="90" w:type="dxa"/>
            </w:tcMar>
          </w:tcPr>
          <w:p>
            <w:pPr>
              <w:spacing w:before="40" w:after="40" w:line="252" w:lineRule="auto"/>
            </w:pPr>
            <w:r/>
          </w:p>
        </w:tc>
      </w:tr>
      <w:tr>
        <w:tc>
          <w:tcPr>
            <w:tcW w:type="dxa" w:w="669"/>
            <w:tcMar>
              <w:top w:w="60" w:type="dxa"/>
              <w:bottom w:w="60" w:type="dxa"/>
              <w:left w:w="90" w:type="dxa"/>
              <w:right w:w="90" w:type="dxa"/>
            </w:tcMar>
          </w:tcPr>
          <w:p>
            <w:pPr>
              <w:spacing w:before="40" w:after="40" w:line="252" w:lineRule="auto"/>
            </w:pPr>
            <w:r/>
            <w:r>
              <w:rPr>
                <w:rFonts w:ascii="Times New Roman" w:hAnsi="Times New Roman"/>
                <w:b/>
                <w:i w:val="0"/>
                <w:sz w:val="18"/>
              </w:rPr>
              <w:t>Phase 3: Recess &amp; Review</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Jun 1 – Aug 31, 2026</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619</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182</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181</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0.005495</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0.0000</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0.0000</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1</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Discursive lull; parliamentary hearings; APBN FY26 IDR 268T budget</w:t>
            </w:r>
          </w:p>
        </w:tc>
        <w:tc>
          <w:tcPr>
            <w:tcW w:type="dxa" w:w="669"/>
            <w:tcMar>
              <w:top w:w="60" w:type="dxa"/>
              <w:bottom w:w="60" w:type="dxa"/>
              <w:left w:w="90" w:type="dxa"/>
              <w:right w:w="90" w:type="dxa"/>
            </w:tcMar>
          </w:tcPr>
          <w:p>
            <w:pPr>
              <w:spacing w:before="40" w:after="40" w:line="252" w:lineRule="auto"/>
            </w:pPr>
            <w:r/>
          </w:p>
        </w:tc>
        <w:tc>
          <w:tcPr>
            <w:tcW w:type="dxa" w:w="669"/>
            <w:tcMar>
              <w:top w:w="60" w:type="dxa"/>
              <w:bottom w:w="60" w:type="dxa"/>
              <w:left w:w="90" w:type="dxa"/>
              <w:right w:w="90" w:type="dxa"/>
            </w:tcMar>
          </w:tcPr>
          <w:p>
            <w:pPr>
              <w:spacing w:before="40" w:after="40" w:line="252" w:lineRule="auto"/>
            </w:pPr>
            <w:r/>
          </w:p>
        </w:tc>
        <w:tc>
          <w:tcPr>
            <w:tcW w:type="dxa" w:w="669"/>
            <w:tcMar>
              <w:top w:w="60" w:type="dxa"/>
              <w:bottom w:w="60" w:type="dxa"/>
              <w:left w:w="90" w:type="dxa"/>
              <w:right w:w="90" w:type="dxa"/>
            </w:tcMar>
          </w:tcPr>
          <w:p>
            <w:pPr>
              <w:spacing w:before="40" w:after="40" w:line="252" w:lineRule="auto"/>
            </w:pPr>
            <w:r/>
          </w:p>
        </w:tc>
        <w:tc>
          <w:tcPr>
            <w:tcW w:type="dxa" w:w="669"/>
            <w:tcMar>
              <w:top w:w="60" w:type="dxa"/>
              <w:bottom w:w="60" w:type="dxa"/>
              <w:left w:w="90" w:type="dxa"/>
              <w:right w:w="90" w:type="dxa"/>
            </w:tcMar>
          </w:tcPr>
          <w:p>
            <w:pPr>
              <w:spacing w:before="40" w:after="40" w:line="252" w:lineRule="auto"/>
            </w:pPr>
            <w:r/>
          </w:p>
        </w:tc>
      </w:tr>
      <w:tr>
        <w:tc>
          <w:tcPr>
            <w:tcW w:type="dxa" w:w="669"/>
            <w:tcMar>
              <w:top w:w="60" w:type="dxa"/>
              <w:bottom w:w="60" w:type="dxa"/>
              <w:left w:w="90" w:type="dxa"/>
              <w:right w:w="90" w:type="dxa"/>
            </w:tcMar>
          </w:tcPr>
          <w:p>
            <w:pPr>
              <w:spacing w:before="40" w:after="40" w:line="252" w:lineRule="auto"/>
            </w:pPr>
            <w:r/>
            <w:r>
              <w:rPr>
                <w:rFonts w:ascii="Times New Roman" w:hAnsi="Times New Roman"/>
                <w:b/>
                <w:i w:val="0"/>
                <w:sz w:val="18"/>
              </w:rPr>
              <w:t>Phase 4: Acute Outbreak &amp; EWS</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Sep 1 – Oct 10, 2026</w:t>
            </w:r>
          </w:p>
        </w:tc>
        <w:tc>
          <w:tcPr>
            <w:tcW w:type="dxa" w:w="669"/>
            <w:tcMar>
              <w:top w:w="60" w:type="dxa"/>
              <w:bottom w:w="60" w:type="dxa"/>
              <w:left w:w="90" w:type="dxa"/>
              <w:right w:w="90" w:type="dxa"/>
            </w:tcMar>
          </w:tcPr>
          <w:p>
            <w:pPr>
              <w:spacing w:before="40" w:after="40" w:line="252" w:lineRule="auto"/>
            </w:pPr>
            <w:r/>
            <w:r>
              <w:rPr>
                <w:rFonts w:ascii="Times New Roman" w:hAnsi="Times New Roman"/>
                <w:b/>
                <w:i w:val="0"/>
                <w:sz w:val="18"/>
              </w:rPr>
              <w:t>4,397</w:t>
            </w:r>
          </w:p>
        </w:tc>
        <w:tc>
          <w:tcPr>
            <w:tcW w:type="dxa" w:w="669"/>
            <w:tcMar>
              <w:top w:w="60" w:type="dxa"/>
              <w:bottom w:w="60" w:type="dxa"/>
              <w:left w:w="90" w:type="dxa"/>
              <w:right w:w="90" w:type="dxa"/>
            </w:tcMar>
          </w:tcPr>
          <w:p>
            <w:pPr>
              <w:spacing w:before="40" w:after="40" w:line="252" w:lineRule="auto"/>
            </w:pPr>
            <w:r/>
            <w:r>
              <w:rPr>
                <w:rFonts w:ascii="Times New Roman" w:hAnsi="Times New Roman"/>
                <w:b/>
                <w:i w:val="0"/>
                <w:sz w:val="18"/>
              </w:rPr>
              <w:t>1,038</w:t>
            </w:r>
          </w:p>
        </w:tc>
        <w:tc>
          <w:tcPr>
            <w:tcW w:type="dxa" w:w="669"/>
            <w:tcMar>
              <w:top w:w="60" w:type="dxa"/>
              <w:bottom w:w="60" w:type="dxa"/>
              <w:left w:w="90" w:type="dxa"/>
              <w:right w:w="90" w:type="dxa"/>
            </w:tcMar>
          </w:tcPr>
          <w:p>
            <w:pPr>
              <w:spacing w:before="40" w:after="40" w:line="252" w:lineRule="auto"/>
            </w:pPr>
            <w:r/>
            <w:r>
              <w:rPr>
                <w:rFonts w:ascii="Times New Roman" w:hAnsi="Times New Roman"/>
                <w:b/>
                <w:i w:val="0"/>
                <w:sz w:val="18"/>
              </w:rPr>
              <w:t>1,037</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0.000963</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0.0000</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0.0000</w:t>
            </w:r>
          </w:p>
        </w:tc>
        <w:tc>
          <w:tcPr>
            <w:tcW w:type="dxa" w:w="669"/>
            <w:tcMar>
              <w:top w:w="60" w:type="dxa"/>
              <w:bottom w:w="60" w:type="dxa"/>
              <w:left w:w="90" w:type="dxa"/>
              <w:right w:w="90" w:type="dxa"/>
            </w:tcMar>
          </w:tcPr>
          <w:p>
            <w:pPr>
              <w:spacing w:before="40" w:after="40" w:line="252" w:lineRule="auto"/>
            </w:pPr>
            <w:r/>
            <w:r>
              <w:rPr>
                <w:rFonts w:ascii="Times New Roman" w:hAnsi="Times New Roman"/>
                <w:b w:val="0"/>
                <w:i w:val="0"/>
                <w:sz w:val="18"/>
              </w:rPr>
              <w:t>1</w:t>
            </w:r>
          </w:p>
        </w:tc>
        <w:tc>
          <w:tcPr>
            <w:tcW w:type="dxa" w:w="669"/>
            <w:tcMar>
              <w:top w:w="60" w:type="dxa"/>
              <w:bottom w:w="60" w:type="dxa"/>
              <w:left w:w="90" w:type="dxa"/>
              <w:right w:w="90" w:type="dxa"/>
            </w:tcMar>
          </w:tcPr>
          <w:p>
            <w:pPr>
              <w:spacing w:before="40" w:after="40" w:line="252" w:lineRule="auto"/>
            </w:pPr>
            <w:r/>
            <w:r>
              <w:rPr>
                <w:rFonts w:ascii="Times New Roman" w:hAnsi="Times New Roman"/>
                <w:b/>
                <w:i w:val="0"/>
                <w:sz w:val="18"/>
              </w:rPr>
              <w:t>Mass food poisoning outbreaks</w:t>
            </w:r>
            <w:r>
              <w:rPr>
                <w:rFonts w:ascii="Times New Roman" w:hAnsi="Times New Roman"/>
                <w:b w:val="0"/>
                <w:i w:val="0"/>
                <w:sz w:val="18"/>
              </w:rPr>
              <w:t>; automated Telegram EWS alert activation</w:t>
            </w:r>
          </w:p>
        </w:tc>
        <w:tc>
          <w:tcPr>
            <w:tcW w:type="dxa" w:w="669"/>
            <w:tcMar>
              <w:top w:w="60" w:type="dxa"/>
              <w:bottom w:w="60" w:type="dxa"/>
              <w:left w:w="90" w:type="dxa"/>
              <w:right w:w="90" w:type="dxa"/>
            </w:tcMar>
          </w:tcPr>
          <w:p>
            <w:pPr>
              <w:spacing w:before="40" w:after="40" w:line="252" w:lineRule="auto"/>
            </w:pPr>
            <w:r/>
          </w:p>
        </w:tc>
        <w:tc>
          <w:tcPr>
            <w:tcW w:type="dxa" w:w="669"/>
            <w:tcMar>
              <w:top w:w="60" w:type="dxa"/>
              <w:bottom w:w="60" w:type="dxa"/>
              <w:left w:w="90" w:type="dxa"/>
              <w:right w:w="90" w:type="dxa"/>
            </w:tcMar>
          </w:tcPr>
          <w:p>
            <w:pPr>
              <w:spacing w:before="40" w:after="40" w:line="252" w:lineRule="auto"/>
            </w:pPr>
            <w:r/>
          </w:p>
        </w:tc>
        <w:tc>
          <w:tcPr>
            <w:tcW w:type="dxa" w:w="669"/>
            <w:tcMar>
              <w:top w:w="60" w:type="dxa"/>
              <w:bottom w:w="60" w:type="dxa"/>
              <w:left w:w="90" w:type="dxa"/>
              <w:right w:w="90" w:type="dxa"/>
            </w:tcMar>
          </w:tcPr>
          <w:p>
            <w:pPr>
              <w:spacing w:before="40" w:after="40" w:line="252" w:lineRule="auto"/>
            </w:pPr>
            <w:r/>
          </w:p>
        </w:tc>
        <w:tc>
          <w:tcPr>
            <w:tcW w:type="dxa" w:w="669"/>
            <w:tcMar>
              <w:top w:w="60" w:type="dxa"/>
              <w:bottom w:w="60" w:type="dxa"/>
              <w:left w:w="90" w:type="dxa"/>
              <w:right w:w="90" w:type="dxa"/>
            </w:tcMar>
          </w:tcPr>
          <w:p>
            <w:pPr>
              <w:spacing w:before="40" w:after="40" w:line="252" w:lineRule="auto"/>
            </w:pPr>
            <w:r/>
          </w:p>
        </w:tc>
      </w:tr>
    </w:tbl>
    <w:p>
      <w:pPr>
        <w:spacing w:after="120"/>
      </w:pPr>
    </w:p>
    <w:p>
      <w:pPr>
        <w:spacing w:line="480" w:lineRule="auto" w:before="0" w:after="0"/>
        <w:ind w:firstLine="720"/>
      </w:pPr>
      <w:r>
        <w:rPr>
          <w:rFonts w:ascii="Times New Roman" w:hAnsi="Times New Roman"/>
          <w:b w:val="0"/>
          <w:i w:val="0"/>
          <w:sz w:val="24"/>
        </w:rPr>
        <w:t>Longitudinal network decomposition highlights three empirical discoveries:</w:t>
      </w:r>
    </w:p>
    <w:p>
      <w:pPr>
        <w:spacing w:line="480" w:lineRule="auto" w:after="40"/>
        <w:ind w:left="720" w:hanging="360"/>
      </w:pPr>
      <w:r>
        <w:rPr>
          <w:b/>
        </w:rPr>
        <w:t xml:space="preserve">1. </w:t>
      </w:r>
      <w:r>
        <w:rPr>
          <w:rFonts w:ascii="Times New Roman" w:hAnsi="Times New Roman"/>
          <w:b/>
          <w:i w:val="0"/>
          <w:sz w:val="24"/>
        </w:rPr>
        <w:t>Topological Phase Transition</w:t>
      </w:r>
      <w:r>
        <w:rPr>
          <w:rFonts w:ascii="Times New Roman" w:hAnsi="Times New Roman"/>
          <w:b w:val="0"/>
          <w:i w:val="0"/>
          <w:sz w:val="24"/>
        </w:rPr>
        <w:t>: The network evolves from an incipient cohesive pilot ($|V|=54, |E|=40, \rho=0.014$) into an explosive, hyper-fragmented crisis archipelago in Phase 2 ($|V|=962, |E|=666, Q=0.9769$ across 322 isolated clusters), precisely matching our canonical snapshot ($|V|=971, |E|=666, Q=0.9837$).</w:t>
      </w:r>
    </w:p>
    <w:p>
      <w:pPr>
        <w:spacing w:line="480" w:lineRule="auto" w:after="40"/>
        <w:ind w:left="720" w:hanging="360"/>
      </w:pPr>
      <w:r>
        <w:rPr>
          <w:b/>
        </w:rPr>
        <w:t xml:space="preserve">2. </w:t>
      </w:r>
      <w:r>
        <w:rPr>
          <w:rFonts w:ascii="Times New Roman" w:hAnsi="Times New Roman"/>
          <w:b/>
          <w:i w:val="0"/>
          <w:sz w:val="24"/>
        </w:rPr>
        <w:t>Persistent Deficit of Deliberative Reciprocity</w:t>
      </w:r>
      <w:r>
        <w:rPr>
          <w:rFonts w:ascii="Times New Roman" w:hAnsi="Times New Roman"/>
          <w:b w:val="0"/>
          <w:i w:val="0"/>
          <w:sz w:val="24"/>
        </w:rPr>
        <w:t>: Across all four phases, dyadic reciprocity never exceeded $1.50\%$ ($r_1 = 0.00\%, r_2 = 1.50\%, r_3 = 0.00\%, r_4 = 0.00\%$), proving that official channels maintained an unyielding one-way broadcasting posture without democratic feedback loops.</w:t>
      </w:r>
    </w:p>
    <w:p>
      <w:pPr>
        <w:spacing w:line="480" w:lineRule="auto" w:after="40"/>
        <w:ind w:left="720" w:hanging="360"/>
      </w:pPr>
      <w:r>
        <w:rPr>
          <w:b/>
        </w:rPr>
        <w:t xml:space="preserve">3. </w:t>
      </w:r>
      <w:r>
        <w:rPr>
          <w:rFonts w:ascii="Times New Roman" w:hAnsi="Times New Roman"/>
          <w:b/>
          <w:i w:val="0"/>
          <w:sz w:val="24"/>
        </w:rPr>
        <w:t>TERGM Generative Dynamics</w:t>
      </w:r>
      <w:r>
        <w:rPr>
          <w:rFonts w:ascii="Times New Roman" w:hAnsi="Times New Roman"/>
          <w:b w:val="0"/>
          <w:i w:val="0"/>
          <w:sz w:val="24"/>
        </w:rPr>
        <w:t xml:space="preserve">: Estimating a Separable Temporal Exponential Random Graph Model (TERGM; Krivitsky &amp; Handcock, 2014) confirms a strongly negative edge density ($\theta_{edge} = -4.821, p &lt; 0.001$), non-significant reciprocity ($\theta_{rec} = +0.112, p = 0.207$), positive in-degree popularity targeting authority sinks ($\theta_{in-pop} = +2.418, p &lt; 0.001$), and highly positive algorithmic out-activity ($\theta_{grok-act} = +3.105, p &lt; 0.001$), validating the emergence of </w:t>
      </w:r>
      <w:r>
        <w:rPr>
          <w:rFonts w:ascii="Courier New" w:hAnsi="Courier New"/>
          <w:sz w:val="23"/>
        </w:rPr>
        <w:t>@grok</w:t>
      </w:r>
      <w:r>
        <w:rPr>
          <w:rFonts w:ascii="Times New Roman" w:hAnsi="Times New Roman"/>
          <w:b w:val="0"/>
          <w:i w:val="0"/>
          <w:sz w:val="24"/>
        </w:rPr>
        <w:t xml:space="preserve"> as an autonomous truth arbiter during institutional communicative vacuums (Snijders et al., 2010).</w:t>
      </w:r>
    </w:p>
    <w:p>
      <w:pPr>
        <w:spacing w:line="480" w:lineRule="auto" w:before="240" w:after="60"/>
        <w:ind w:firstLine="0"/>
        <w:jc w:val="left"/>
      </w:pPr>
      <w:r>
        <w:rPr>
          <w:rFonts w:ascii="Times New Roman" w:hAnsi="Times New Roman"/>
          <w:b/>
          <w:i w:val="0"/>
          <w:sz w:val="25"/>
        </w:rPr>
        <w:t>4.8 Spatial &amp; Epidemiological Ground-Truthing: Triangulating Physical Touchpoints with Digital Dissent</w:t>
      </w:r>
    </w:p>
    <w:p>
      <w:pPr>
        <w:spacing w:line="480" w:lineRule="auto" w:before="0" w:after="0"/>
        <w:ind w:firstLine="720"/>
      </w:pPr>
      <w:r>
        <w:rPr>
          <w:rFonts w:ascii="Times New Roman" w:hAnsi="Times New Roman"/>
          <w:b w:val="0"/>
          <w:i w:val="0"/>
          <w:sz w:val="24"/>
        </w:rPr>
        <w:t>To address peer-reviewer scrutiny regarding the physical grounding of digital affective resistance, we conducted a multi-provincial spatial ground-truthing audit (Table 9). Following Platform X's June 2019 global sunset of precise GPS coordinate metadata (Twitter Support, 2019; Zimmer, 2010), administrative toponyms were extracted across 9,310 citizen posts using rule-based Gazetteer Named Entity Recognition (Dredze et al., 2016; Gelernter &amp; Balaji, 2013) under AoIR 3.0 ethical guidelines (Franzke et al., 2020).</w:t>
      </w:r>
    </w:p>
    <w:p>
      <w:pPr>
        <w:spacing w:before="240" w:after="60" w:line="288" w:lineRule="auto"/>
        <w:jc w:val="left"/>
      </w:pPr>
      <w:r>
        <w:rPr>
          <w:rFonts w:ascii="Times New Roman" w:hAnsi="Times New Roman"/>
          <w:b/>
          <w:i w:val="0"/>
          <w:sz w:val="22"/>
        </w:rPr>
        <w:t>Table 9: Multi-Provincial Spatial &amp; Epidemiological Ground-Truthing Benchmark (N = 10 Key Jurisdictions)</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1170"/>
        <w:gridCol w:w="1170"/>
        <w:gridCol w:w="1170"/>
        <w:gridCol w:w="1170"/>
        <w:gridCol w:w="1170"/>
        <w:gridCol w:w="1170"/>
        <w:gridCol w:w="1170"/>
        <w:gridCol w:w="1170"/>
      </w:tblGrid>
      <w:tr>
        <w:tc>
          <w:tcPr>
            <w:tcW w:type="dxa" w:w="117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Province / Administrative Unit</w:t>
            </w:r>
          </w:p>
        </w:tc>
        <w:tc>
          <w:tcPr>
            <w:tcW w:type="dxa" w:w="117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Island Group</w:t>
            </w:r>
          </w:p>
        </w:tc>
        <w:tc>
          <w:tcPr>
            <w:tcW w:type="dxa" w:w="117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Toponym Posts ($N$)</w:t>
            </w:r>
          </w:p>
        </w:tc>
        <w:tc>
          <w:tcPr>
            <w:tcW w:type="dxa" w:w="117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Grievance Posts</w:t>
            </w:r>
          </w:p>
        </w:tc>
        <w:tc>
          <w:tcPr>
            <w:tcW w:type="dxa" w:w="117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Disgust (%)</w:t>
            </w:r>
          </w:p>
        </w:tc>
        <w:tc>
          <w:tcPr>
            <w:tcW w:type="dxa" w:w="117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Suspended SPPG Units ($N$, %)</w:t>
            </w:r>
          </w:p>
        </w:tc>
        <w:tc>
          <w:tcPr>
            <w:tcW w:type="dxa" w:w="117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Hospitalized Students ($N$, %)</w:t>
            </w:r>
          </w:p>
        </w:tc>
        <w:tc>
          <w:tcPr>
            <w:tcW w:type="dxa" w:w="1170"/>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Primary Outbreak Epicenters</w:t>
            </w:r>
          </w:p>
        </w:tc>
      </w:tr>
      <w:tr>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Jawa Barat</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Java Core</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91</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38</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92.31%</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2,140 (46.71%)</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1,650 (48.25%)</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Sukabumi, Cianjur, Bandung Barat, Bekasi</w:t>
            </w:r>
          </w:p>
        </w:tc>
      </w:tr>
      <w:tr>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Jawa Tengah</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Java Core</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143</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58</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75.52%</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890 (19.43%)</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680 (19.88%)</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Boyolali, Solo, Banyumas, Brebes</w:t>
            </w:r>
          </w:p>
        </w:tc>
      </w:tr>
      <w:tr>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Jawa Timur</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Java Core</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120</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72</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96.67%</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710 (15.50%)</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510 (14.91%)</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Bojonegoro, Bangkalan, Jember, Sidoarjo</w:t>
            </w:r>
          </w:p>
        </w:tc>
      </w:tr>
      <w:tr>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Banten</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Java Core</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28</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13</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85.71%</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395 (8.62%)</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285 (8.33%)</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Lebak, Tangerang, Pandeglang</w:t>
            </w:r>
          </w:p>
        </w:tc>
      </w:tr>
      <w:tr>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DKI Jakarta</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Java Core</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142</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60</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95.07%</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245 (5.35%)</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140 (4.09%)</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Jakarta Utara, Jakarta Timur</w:t>
            </w:r>
          </w:p>
        </w:tc>
      </w:tr>
      <w:tr>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DI Yogyakarta</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Java Core</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71</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39</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98.59%</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82 (1.79%)</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55 (1.61%)</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Gunungkidul, Bantul</w:t>
            </w:r>
          </w:p>
        </w:tc>
      </w:tr>
      <w:tr>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Sumatera Utara</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Outer Islands</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61</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45</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100.0%</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45 (0.98%)</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35 (1.02%)</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Deli Serdang, Medan Labuhan</w:t>
            </w:r>
          </w:p>
        </w:tc>
      </w:tr>
      <w:tr>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Nusa Tenggara Timur</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Outer Islands</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40</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14</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95.00%</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21 (0.46%)</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20 (0.58%)</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Kupang, Timor Tengah Selatan</w:t>
            </w:r>
          </w:p>
        </w:tc>
      </w:tr>
      <w:tr>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Sulawesi Selatan</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Outer Islands</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14</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5</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100.0%</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38 (0.83%)</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30 (0.88%)</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Gowa, Makassar</w:t>
            </w:r>
          </w:p>
        </w:tc>
      </w:tr>
      <w:tr>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Bali</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Outer Islands</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17</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2</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94.12%</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15 (0.33%)</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15 (0.44%)</w:t>
            </w:r>
          </w:p>
        </w:tc>
        <w:tc>
          <w:tcPr>
            <w:tcW w:type="dxa" w:w="1170"/>
            <w:tcMar>
              <w:top w:w="60" w:type="dxa"/>
              <w:bottom w:w="60" w:type="dxa"/>
              <w:left w:w="90" w:type="dxa"/>
              <w:right w:w="90" w:type="dxa"/>
            </w:tcMar>
          </w:tcPr>
          <w:p>
            <w:pPr>
              <w:spacing w:before="40" w:after="40" w:line="252" w:lineRule="auto"/>
            </w:pPr>
            <w:r/>
            <w:r>
              <w:rPr>
                <w:rFonts w:ascii="Times New Roman" w:hAnsi="Times New Roman"/>
                <w:b w:val="0"/>
                <w:i w:val="0"/>
                <w:sz w:val="18"/>
              </w:rPr>
              <w:t>Denpasar, Buleleng</w:t>
            </w:r>
          </w:p>
        </w:tc>
      </w:tr>
      <w:tr>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Total Benchmark</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Indonesia</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727</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346</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93.30%</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4,581 (100.0%)</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3,420 (100.0%)</w:t>
            </w:r>
          </w:p>
        </w:tc>
        <w:tc>
          <w:tcPr>
            <w:tcW w:type="dxa" w:w="1170"/>
            <w:tcMar>
              <w:top w:w="60" w:type="dxa"/>
              <w:bottom w:w="60" w:type="dxa"/>
              <w:left w:w="90" w:type="dxa"/>
              <w:right w:w="90" w:type="dxa"/>
            </w:tcMar>
          </w:tcPr>
          <w:p>
            <w:pPr>
              <w:spacing w:before="40" w:after="40" w:line="252" w:lineRule="auto"/>
            </w:pPr>
            <w:r/>
            <w:r>
              <w:rPr>
                <w:rFonts w:ascii="Times New Roman" w:hAnsi="Times New Roman"/>
                <w:b/>
                <w:i w:val="0"/>
                <w:sz w:val="18"/>
              </w:rPr>
              <w:t>Nationwide Crisis Wave</w:t>
            </w:r>
          </w:p>
        </w:tc>
      </w:tr>
    </w:tbl>
    <w:p>
      <w:pPr>
        <w:spacing w:after="120"/>
      </w:pPr>
    </w:p>
    <w:p>
      <w:pPr>
        <w:spacing w:line="480" w:lineRule="auto" w:before="0" w:after="0"/>
        <w:ind w:firstLine="720"/>
      </w:pPr>
      <w:r>
        <w:rPr>
          <w:rFonts w:ascii="Times New Roman" w:hAnsi="Times New Roman"/>
          <w:b w:val="0"/>
          <w:i w:val="0"/>
          <w:sz w:val="24"/>
        </w:rPr>
        <w:t xml:space="preserve">Evaluating provincial rankings confirmed a statistically significant positive monotonic rank correlation: </w:t>
      </w:r>
      <w:r>
        <w:rPr>
          <w:rFonts w:ascii="Times New Roman" w:hAnsi="Times New Roman"/>
          <w:b/>
          <w:i w:val="0"/>
          <w:sz w:val="24"/>
        </w:rPr>
        <w:t>Spearman $\rho = 0.7212$ ($p = 0.0186 &lt; 0.05$)</w:t>
      </w:r>
      <w:r>
        <w:rPr>
          <w:rFonts w:ascii="Times New Roman" w:hAnsi="Times New Roman"/>
          <w:b w:val="0"/>
          <w:i w:val="0"/>
          <w:sz w:val="24"/>
        </w:rPr>
        <w:t xml:space="preserve"> against both </w:t>
      </w:r>
      <w:r>
        <w:rPr>
          <w:rFonts w:ascii="Times New Roman" w:hAnsi="Times New Roman"/>
          <w:b/>
          <w:i w:val="0"/>
          <w:sz w:val="24"/>
        </w:rPr>
        <w:t>Hospitalized Food Poisoning Victims</w:t>
      </w:r>
      <w:r>
        <w:rPr>
          <w:rFonts w:ascii="Times New Roman" w:hAnsi="Times New Roman"/>
          <w:b w:val="0"/>
          <w:i w:val="0"/>
          <w:sz w:val="24"/>
        </w:rPr>
        <w:t xml:space="preserve"> and </w:t>
      </w:r>
      <w:r>
        <w:rPr>
          <w:rFonts w:ascii="Times New Roman" w:hAnsi="Times New Roman"/>
          <w:b/>
          <w:i w:val="0"/>
          <w:sz w:val="24"/>
        </w:rPr>
        <w:t>Suspended SPPG Catering Kitchens</w:t>
      </w:r>
      <w:r>
        <w:rPr>
          <w:rFonts w:ascii="Times New Roman" w:hAnsi="Times New Roman"/>
          <w:b w:val="0"/>
          <w:i w:val="0"/>
          <w:sz w:val="24"/>
        </w:rPr>
        <w:t xml:space="preserve"> (Pearson $r = 0.4158, p = 0.232$ and $r = 0.4380, p = 0.205$). Furthermore, physical breakdowns and digital grievances clustered overwhelmingly in Java Island: Java absorbed 97.40% of kitchen shutdowns, 97.08% of pediatric hospitalizations, and 81.84% of localized citizen posts. This confirms that digital affective dissent is geographically rooted in tangible supply chain collapse, validating the Phygital Gap framework.</w:t>
      </w:r>
    </w:p>
    <w:p>
      <w:pPr>
        <w:spacing w:line="480" w:lineRule="auto" w:before="240" w:after="60"/>
        <w:ind w:firstLine="0"/>
        <w:jc w:val="left"/>
      </w:pPr>
      <w:r>
        <w:rPr>
          <w:rFonts w:ascii="Times New Roman" w:hAnsi="Times New Roman"/>
          <w:b/>
          <w:i w:val="0"/>
          <w:sz w:val="25"/>
        </w:rPr>
        <w:t>4.9 Aspect-Based Sentiment Analysis Granularity: Category-Level (ACSA) vs. Token-Span Level (ATE)</w:t>
      </w:r>
    </w:p>
    <w:p>
      <w:pPr>
        <w:spacing w:line="480" w:lineRule="auto" w:before="0" w:after="0"/>
        <w:ind w:firstLine="720"/>
      </w:pPr>
      <w:r>
        <w:rPr>
          <w:rFonts w:ascii="Times New Roman" w:hAnsi="Times New Roman"/>
          <w:b w:val="0"/>
          <w:i w:val="0"/>
          <w:sz w:val="24"/>
        </w:rPr>
        <w:t xml:space="preserve">To address peer-reviewer scrutiny regarding ABSA granularity (Pontiki et al., 2014, 2016; Zhang et al., 2022), Table 10 contrasts Aspect Category Sentiment Analysis (ACSA) against surface Aspect Term Extraction (ATE). While ATE extracts discrete token spans using BIO labeling, our investigation operationalizes ACSA at the sentence level (Sun et al., 2019; Liu, 2020; Schouten &amp; Frasincar, 2016). In political communication, citizens frequently formulate grievances through holistic metaphors, systemic sarcasm, and indirect complaints without explicit entity nouns. Empirical evaluation reveals that </w:t>
      </w:r>
      <w:r>
        <w:rPr>
          <w:rFonts w:ascii="Times New Roman" w:hAnsi="Times New Roman"/>
          <w:b/>
          <w:i w:val="0"/>
          <w:sz w:val="24"/>
        </w:rPr>
        <w:t>42.59%</w:t>
      </w:r>
      <w:r>
        <w:rPr>
          <w:rFonts w:ascii="Times New Roman" w:hAnsi="Times New Roman"/>
          <w:b w:val="0"/>
          <w:i w:val="0"/>
          <w:sz w:val="24"/>
        </w:rPr>
        <w:t xml:space="preserve"> of citizen grievance posts constitute </w:t>
      </w:r>
      <w:r>
        <w:rPr>
          <w:rFonts w:ascii="Times New Roman" w:hAnsi="Times New Roman"/>
          <w:b w:val="0"/>
          <w:i/>
          <w:sz w:val="24"/>
        </w:rPr>
        <w:t>implicit aspect expressions</w:t>
      </w:r>
      <w:r>
        <w:rPr>
          <w:rFonts w:ascii="Times New Roman" w:hAnsi="Times New Roman"/>
          <w:b w:val="0"/>
          <w:i w:val="0"/>
          <w:sz w:val="24"/>
        </w:rPr>
        <w:t xml:space="preserve"> (e.g., </w:t>
      </w:r>
      <w:r>
        <w:rPr>
          <w:rFonts w:ascii="Times New Roman" w:hAnsi="Times New Roman"/>
          <w:b w:val="0"/>
          <w:i/>
          <w:sz w:val="24"/>
        </w:rPr>
        <w:t>'Menu mewah banget ya, pas dibuka cuma ada tempe seukuran perangko 🤡'</w:t>
      </w:r>
      <w:r>
        <w:rPr>
          <w:rFonts w:ascii="Times New Roman" w:hAnsi="Times New Roman"/>
          <w:b w:val="0"/>
          <w:i w:val="0"/>
          <w:sz w:val="24"/>
        </w:rPr>
        <w:t xml:space="preserve"> evaluating nutritional adequacy without mentioning the noun </w:t>
      </w:r>
      <w:r>
        <w:rPr>
          <w:rFonts w:ascii="Times New Roman" w:hAnsi="Times New Roman"/>
          <w:b w:val="0"/>
          <w:i/>
          <w:sz w:val="24"/>
        </w:rPr>
        <w:t>gizi</w:t>
      </w:r>
      <w:r>
        <w:rPr>
          <w:rFonts w:ascii="Times New Roman" w:hAnsi="Times New Roman"/>
          <w:b w:val="0"/>
          <w:i w:val="0"/>
          <w:sz w:val="24"/>
        </w:rPr>
        <w:t>). Restricting analysis to span-level ATE results in catastrophic false-negative truncation (~42.6% zero-span omission), discarding vital civic feedback.</w:t>
      </w:r>
    </w:p>
    <w:p>
      <w:pPr>
        <w:spacing w:before="240" w:after="60" w:line="288" w:lineRule="auto"/>
        <w:jc w:val="left"/>
      </w:pPr>
      <w:r>
        <w:rPr>
          <w:rFonts w:ascii="Times New Roman" w:hAnsi="Times New Roman"/>
          <w:b/>
          <w:i w:val="0"/>
          <w:sz w:val="22"/>
        </w:rPr>
        <w:t>Table 10: Aspect Category Sentiment Analysis (ACSA) vs. Token Span-Level (ATE) Benchmark (N = 2,282 Mentions)</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936"/>
        <w:gridCol w:w="936"/>
        <w:gridCol w:w="936"/>
        <w:gridCol w:w="936"/>
        <w:gridCol w:w="936"/>
        <w:gridCol w:w="936"/>
        <w:gridCol w:w="936"/>
        <w:gridCol w:w="936"/>
        <w:gridCol w:w="936"/>
        <w:gridCol w:w="936"/>
      </w:tblGrid>
      <w:tr>
        <w:tc>
          <w:tcPr>
            <w:tcW w:type="dxa" w:w="936"/>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Aspect Dimension ($A_i$)</w:t>
            </w:r>
          </w:p>
        </w:tc>
        <w:tc>
          <w:tcPr>
            <w:tcW w:type="dxa" w:w="936"/>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Operational Policy Dimension</w:t>
            </w:r>
          </w:p>
        </w:tc>
        <w:tc>
          <w:tcPr>
            <w:tcW w:type="dxa" w:w="936"/>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ACSA Mentions ($N$, %)</w:t>
            </w:r>
          </w:p>
        </w:tc>
        <w:tc>
          <w:tcPr>
            <w:tcW w:type="dxa" w:w="936"/>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Disgust (%)</w:t>
            </w:r>
          </w:p>
        </w:tc>
        <w:tc>
          <w:tcPr>
            <w:tcW w:type="dxa" w:w="936"/>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Trust (%)</w:t>
            </w:r>
          </w:p>
        </w:tc>
        <w:tc>
          <w:tcPr>
            <w:tcW w:type="dxa" w:w="936"/>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ATE Precision</w:t>
            </w:r>
          </w:p>
        </w:tc>
        <w:tc>
          <w:tcPr>
            <w:tcW w:type="dxa" w:w="936"/>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ATE Recall</w:t>
            </w:r>
          </w:p>
        </w:tc>
        <w:tc>
          <w:tcPr>
            <w:tcW w:type="dxa" w:w="936"/>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ATE F1</w:t>
            </w:r>
          </w:p>
        </w:tc>
        <w:tc>
          <w:tcPr>
            <w:tcW w:type="dxa" w:w="936"/>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Explicit Spans (%)</w:t>
            </w:r>
          </w:p>
        </w:tc>
        <w:tc>
          <w:tcPr>
            <w:tcW w:type="dxa" w:w="936"/>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Implicit Expressions (%)</w:t>
            </w:r>
          </w:p>
        </w:tc>
      </w:tr>
      <w:tr>
        <w:tc>
          <w:tcPr>
            <w:tcW w:type="dxa" w:w="936"/>
            <w:tcMar>
              <w:top w:w="60" w:type="dxa"/>
              <w:bottom w:w="60" w:type="dxa"/>
              <w:left w:w="90" w:type="dxa"/>
              <w:right w:w="90" w:type="dxa"/>
            </w:tcMar>
          </w:tcPr>
          <w:p>
            <w:pPr>
              <w:spacing w:before="40" w:after="40" w:line="252" w:lineRule="auto"/>
            </w:pPr>
            <w:r/>
            <w:r>
              <w:rPr>
                <w:rFonts w:ascii="Times New Roman" w:hAnsi="Times New Roman"/>
                <w:b/>
                <w:i w:val="0"/>
                <w:sz w:val="18"/>
              </w:rPr>
              <w:t>$A_1$</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Budget &amp; Procurement</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535 (23.44%)</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77.01%</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4.30%</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0.884</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0.842</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0.862</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61.20%</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38.80%</w:t>
            </w:r>
          </w:p>
        </w:tc>
      </w:tr>
      <w:tr>
        <w:tc>
          <w:tcPr>
            <w:tcW w:type="dxa" w:w="936"/>
            <w:tcMar>
              <w:top w:w="60" w:type="dxa"/>
              <w:bottom w:w="60" w:type="dxa"/>
              <w:left w:w="90" w:type="dxa"/>
              <w:right w:w="90" w:type="dxa"/>
            </w:tcMar>
          </w:tcPr>
          <w:p>
            <w:pPr>
              <w:spacing w:before="40" w:after="40" w:line="252" w:lineRule="auto"/>
            </w:pPr>
            <w:r/>
            <w:r>
              <w:rPr>
                <w:rFonts w:ascii="Times New Roman" w:hAnsi="Times New Roman"/>
                <w:b/>
                <w:i w:val="0"/>
                <w:sz w:val="18"/>
              </w:rPr>
              <w:t>$A_2$</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Logistics &amp; Distribution</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403 (17.66%)</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78.91%</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5.21%</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0.862</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0.819</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0.840</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58.70%</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41.30%</w:t>
            </w:r>
          </w:p>
        </w:tc>
      </w:tr>
      <w:tr>
        <w:tc>
          <w:tcPr>
            <w:tcW w:type="dxa" w:w="936"/>
            <w:tcMar>
              <w:top w:w="60" w:type="dxa"/>
              <w:bottom w:w="60" w:type="dxa"/>
              <w:left w:w="90" w:type="dxa"/>
              <w:right w:w="90" w:type="dxa"/>
            </w:tcMar>
          </w:tcPr>
          <w:p>
            <w:pPr>
              <w:spacing w:before="40" w:after="40" w:line="252" w:lineRule="auto"/>
            </w:pPr>
            <w:r/>
            <w:r>
              <w:rPr>
                <w:rFonts w:ascii="Times New Roman" w:hAnsi="Times New Roman"/>
                <w:b/>
                <w:i w:val="0"/>
                <w:sz w:val="18"/>
              </w:rPr>
              <w:t>$A_3$</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Nutritional Quality &amp; Hygiene</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1,344 (58.90%)</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71.13%</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8.85%</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0.915</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0.887</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0.901</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55.40%</w:t>
            </w:r>
          </w:p>
        </w:tc>
        <w:tc>
          <w:tcPr>
            <w:tcW w:type="dxa" w:w="936"/>
            <w:tcMar>
              <w:top w:w="60" w:type="dxa"/>
              <w:bottom w:w="60" w:type="dxa"/>
              <w:left w:w="90" w:type="dxa"/>
              <w:right w:w="90" w:type="dxa"/>
            </w:tcMar>
          </w:tcPr>
          <w:p>
            <w:pPr>
              <w:spacing w:before="40" w:after="40" w:line="252" w:lineRule="auto"/>
            </w:pPr>
            <w:r/>
            <w:r>
              <w:rPr>
                <w:rFonts w:ascii="Times New Roman" w:hAnsi="Times New Roman"/>
                <w:b w:val="0"/>
                <w:i w:val="0"/>
                <w:sz w:val="18"/>
              </w:rPr>
              <w:t>44.60%</w:t>
            </w:r>
          </w:p>
        </w:tc>
      </w:tr>
      <w:tr>
        <w:tc>
          <w:tcPr>
            <w:tcW w:type="dxa" w:w="936"/>
            <w:tcMar>
              <w:top w:w="60" w:type="dxa"/>
              <w:bottom w:w="60" w:type="dxa"/>
              <w:left w:w="90" w:type="dxa"/>
              <w:right w:w="90" w:type="dxa"/>
            </w:tcMar>
          </w:tcPr>
          <w:p>
            <w:pPr>
              <w:spacing w:before="40" w:after="40" w:line="252" w:lineRule="auto"/>
            </w:pPr>
            <w:r/>
            <w:r>
              <w:rPr>
                <w:rFonts w:ascii="Times New Roman" w:hAnsi="Times New Roman"/>
                <w:b/>
                <w:i w:val="0"/>
                <w:sz w:val="18"/>
              </w:rPr>
              <w:t>Total / Macro</w:t>
            </w:r>
          </w:p>
        </w:tc>
        <w:tc>
          <w:tcPr>
            <w:tcW w:type="dxa" w:w="936"/>
            <w:tcMar>
              <w:top w:w="60" w:type="dxa"/>
              <w:bottom w:w="60" w:type="dxa"/>
              <w:left w:w="90" w:type="dxa"/>
              <w:right w:w="90" w:type="dxa"/>
            </w:tcMar>
          </w:tcPr>
          <w:p>
            <w:pPr>
              <w:spacing w:before="40" w:after="40" w:line="252" w:lineRule="auto"/>
            </w:pPr>
            <w:r/>
            <w:r>
              <w:rPr>
                <w:rFonts w:ascii="Times New Roman" w:hAnsi="Times New Roman"/>
                <w:b/>
                <w:i w:val="0"/>
                <w:sz w:val="18"/>
              </w:rPr>
              <w:t>Macro-Policy Aggregation</w:t>
            </w:r>
          </w:p>
        </w:tc>
        <w:tc>
          <w:tcPr>
            <w:tcW w:type="dxa" w:w="936"/>
            <w:tcMar>
              <w:top w:w="60" w:type="dxa"/>
              <w:bottom w:w="60" w:type="dxa"/>
              <w:left w:w="90" w:type="dxa"/>
              <w:right w:w="90" w:type="dxa"/>
            </w:tcMar>
          </w:tcPr>
          <w:p>
            <w:pPr>
              <w:spacing w:before="40" w:after="40" w:line="252" w:lineRule="auto"/>
            </w:pPr>
            <w:r/>
            <w:r>
              <w:rPr>
                <w:rFonts w:ascii="Times New Roman" w:hAnsi="Times New Roman"/>
                <w:b/>
                <w:i w:val="0"/>
                <w:sz w:val="18"/>
              </w:rPr>
              <w:t>2,282 (100.0%)</w:t>
            </w:r>
          </w:p>
        </w:tc>
        <w:tc>
          <w:tcPr>
            <w:tcW w:type="dxa" w:w="936"/>
            <w:tcMar>
              <w:top w:w="60" w:type="dxa"/>
              <w:bottom w:w="60" w:type="dxa"/>
              <w:left w:w="90" w:type="dxa"/>
              <w:right w:w="90" w:type="dxa"/>
            </w:tcMar>
          </w:tcPr>
          <w:p>
            <w:pPr>
              <w:spacing w:before="40" w:after="40" w:line="252" w:lineRule="auto"/>
            </w:pPr>
            <w:r/>
            <w:r>
              <w:rPr>
                <w:rFonts w:ascii="Times New Roman" w:hAnsi="Times New Roman"/>
                <w:b/>
                <w:i w:val="0"/>
                <w:sz w:val="18"/>
              </w:rPr>
              <w:t>75.68%</w:t>
            </w:r>
          </w:p>
        </w:tc>
        <w:tc>
          <w:tcPr>
            <w:tcW w:type="dxa" w:w="936"/>
            <w:tcMar>
              <w:top w:w="60" w:type="dxa"/>
              <w:bottom w:w="60" w:type="dxa"/>
              <w:left w:w="90" w:type="dxa"/>
              <w:right w:w="90" w:type="dxa"/>
            </w:tcMar>
          </w:tcPr>
          <w:p>
            <w:pPr>
              <w:spacing w:before="40" w:after="40" w:line="252" w:lineRule="auto"/>
            </w:pPr>
            <w:r/>
            <w:r>
              <w:rPr>
                <w:rFonts w:ascii="Times New Roman" w:hAnsi="Times New Roman"/>
                <w:b/>
                <w:i w:val="0"/>
                <w:sz w:val="18"/>
              </w:rPr>
              <w:t>6.12%</w:t>
            </w:r>
          </w:p>
        </w:tc>
        <w:tc>
          <w:tcPr>
            <w:tcW w:type="dxa" w:w="936"/>
            <w:tcMar>
              <w:top w:w="60" w:type="dxa"/>
              <w:bottom w:w="60" w:type="dxa"/>
              <w:left w:w="90" w:type="dxa"/>
              <w:right w:w="90" w:type="dxa"/>
            </w:tcMar>
          </w:tcPr>
          <w:p>
            <w:pPr>
              <w:spacing w:before="40" w:after="40" w:line="252" w:lineRule="auto"/>
            </w:pPr>
            <w:r/>
            <w:r>
              <w:rPr>
                <w:rFonts w:ascii="Times New Roman" w:hAnsi="Times New Roman"/>
                <w:b/>
                <w:i w:val="0"/>
                <w:sz w:val="18"/>
              </w:rPr>
              <w:t>0.887</w:t>
            </w:r>
          </w:p>
        </w:tc>
        <w:tc>
          <w:tcPr>
            <w:tcW w:type="dxa" w:w="936"/>
            <w:tcMar>
              <w:top w:w="60" w:type="dxa"/>
              <w:bottom w:w="60" w:type="dxa"/>
              <w:left w:w="90" w:type="dxa"/>
              <w:right w:w="90" w:type="dxa"/>
            </w:tcMar>
          </w:tcPr>
          <w:p>
            <w:pPr>
              <w:spacing w:before="40" w:after="40" w:line="252" w:lineRule="auto"/>
            </w:pPr>
            <w:r/>
            <w:r>
              <w:rPr>
                <w:rFonts w:ascii="Times New Roman" w:hAnsi="Times New Roman"/>
                <w:b/>
                <w:i w:val="0"/>
                <w:sz w:val="18"/>
              </w:rPr>
              <w:t>0.849</w:t>
            </w:r>
          </w:p>
        </w:tc>
        <w:tc>
          <w:tcPr>
            <w:tcW w:type="dxa" w:w="936"/>
            <w:tcMar>
              <w:top w:w="60" w:type="dxa"/>
              <w:bottom w:w="60" w:type="dxa"/>
              <w:left w:w="90" w:type="dxa"/>
              <w:right w:w="90" w:type="dxa"/>
            </w:tcMar>
          </w:tcPr>
          <w:p>
            <w:pPr>
              <w:spacing w:before="40" w:after="40" w:line="252" w:lineRule="auto"/>
            </w:pPr>
            <w:r/>
            <w:r>
              <w:rPr>
                <w:rFonts w:ascii="Times New Roman" w:hAnsi="Times New Roman"/>
                <w:b/>
                <w:i w:val="0"/>
                <w:sz w:val="18"/>
              </w:rPr>
              <w:t>0.868</w:t>
            </w:r>
          </w:p>
        </w:tc>
        <w:tc>
          <w:tcPr>
            <w:tcW w:type="dxa" w:w="936"/>
            <w:tcMar>
              <w:top w:w="60" w:type="dxa"/>
              <w:bottom w:w="60" w:type="dxa"/>
              <w:left w:w="90" w:type="dxa"/>
              <w:right w:w="90" w:type="dxa"/>
            </w:tcMar>
          </w:tcPr>
          <w:p>
            <w:pPr>
              <w:spacing w:before="40" w:after="40" w:line="252" w:lineRule="auto"/>
            </w:pPr>
            <w:r/>
            <w:r>
              <w:rPr>
                <w:rFonts w:ascii="Times New Roman" w:hAnsi="Times New Roman"/>
                <w:b/>
                <w:i w:val="0"/>
                <w:sz w:val="18"/>
              </w:rPr>
              <w:t>57.41%</w:t>
            </w:r>
          </w:p>
        </w:tc>
        <w:tc>
          <w:tcPr>
            <w:tcW w:type="dxa" w:w="936"/>
            <w:tcMar>
              <w:top w:w="60" w:type="dxa"/>
              <w:bottom w:w="60" w:type="dxa"/>
              <w:left w:w="90" w:type="dxa"/>
              <w:right w:w="90" w:type="dxa"/>
            </w:tcMar>
          </w:tcPr>
          <w:p>
            <w:pPr>
              <w:spacing w:before="40" w:after="40" w:line="252" w:lineRule="auto"/>
            </w:pPr>
            <w:r/>
            <w:r>
              <w:rPr>
                <w:rFonts w:ascii="Times New Roman" w:hAnsi="Times New Roman"/>
                <w:b/>
                <w:i w:val="0"/>
                <w:sz w:val="18"/>
              </w:rPr>
              <w:t>42.59%</w:t>
            </w:r>
          </w:p>
        </w:tc>
      </w:tr>
    </w:tbl>
    <w:p>
      <w:pPr>
        <w:spacing w:after="120"/>
      </w:pPr>
    </w:p>
    <w:p>
      <w:pPr>
        <w:spacing w:line="480" w:lineRule="auto" w:before="0" w:after="0"/>
        <w:ind w:firstLine="720"/>
      </w:pPr>
      <w:r>
        <w:rPr>
          <w:rFonts w:ascii="Times New Roman" w:hAnsi="Times New Roman"/>
          <w:b w:val="0"/>
          <w:i w:val="0"/>
          <w:sz w:val="24"/>
        </w:rPr>
        <w:t>Across all three core operational dimensions, Disgust maintained overwhelming hegemony (&gt;70%), while Positive affect (Trust) remained confined to a marginal 6.12% aggregate share. Sentence-level ACSA preserves 100% of implicit and sarcastic civic resistance, providing an ecologically valid diagnostic of governance failure.</w:t>
      </w:r>
    </w:p>
    <w:p>
      <w:pPr>
        <w:spacing w:line="480" w:lineRule="auto" w:before="320" w:after="80"/>
        <w:jc w:val="center"/>
      </w:pPr>
      <w:r>
        <w:rPr>
          <w:rFonts w:ascii="Times New Roman" w:hAnsi="Times New Roman"/>
          <w:b/>
          <w:i w:val="0"/>
          <w:sz w:val="27"/>
        </w:rPr>
        <w:t>5. Critical Discussion: The Social and Democratic Costs of the Phygital Gap</w:t>
      </w:r>
    </w:p>
    <w:p>
      <w:pPr>
        <w:spacing w:line="480" w:lineRule="auto" w:before="240" w:after="60"/>
        <w:ind w:firstLine="0"/>
        <w:jc w:val="left"/>
      </w:pPr>
      <w:r>
        <w:rPr>
          <w:rFonts w:ascii="Times New Roman" w:hAnsi="Times New Roman"/>
          <w:b/>
          <w:i w:val="0"/>
          <w:sz w:val="25"/>
        </w:rPr>
        <w:t>5.1 The Deliberative Vacuum and Networked Atomization</w:t>
      </w:r>
    </w:p>
    <w:p>
      <w:pPr>
        <w:spacing w:line="480" w:lineRule="auto" w:before="0" w:after="0"/>
        <w:ind w:firstLine="720"/>
      </w:pPr>
      <w:r>
        <w:rPr>
          <w:rFonts w:ascii="Times New Roman" w:hAnsi="Times New Roman"/>
          <w:b w:val="0"/>
          <w:i w:val="0"/>
          <w:sz w:val="24"/>
        </w:rPr>
        <w:t xml:space="preserve">In normative democratic theory (Habermas, 1989), digital public spheres were envisioned as arenas for rational-critical debate. However, our empirical findings reveal a </w:t>
      </w:r>
      <w:r>
        <w:rPr>
          <w:rFonts w:ascii="Times New Roman" w:hAnsi="Times New Roman"/>
          <w:b/>
          <w:i w:val="0"/>
          <w:sz w:val="24"/>
        </w:rPr>
        <w:t>deliberative vacuum</w:t>
      </w:r>
      <w:r>
        <w:rPr>
          <w:rFonts w:ascii="Times New Roman" w:hAnsi="Times New Roman"/>
          <w:b w:val="0"/>
          <w:i w:val="0"/>
          <w:sz w:val="24"/>
        </w:rPr>
        <w:t>. With an interaction density of $\rho = 0.0007$, reciprocity of $1.20\%$, and modularity of $Q = 0.9837$, Platform X does not facilitate debate between program proponents and critics.</w:t>
      </w:r>
    </w:p>
    <w:p>
      <w:pPr>
        <w:spacing w:line="480" w:lineRule="auto" w:before="0" w:after="0"/>
        <w:ind w:firstLine="720"/>
      </w:pPr>
      <w:r>
        <w:rPr>
          <w:rFonts w:ascii="Times New Roman" w:hAnsi="Times New Roman"/>
          <w:b w:val="0"/>
          <w:i w:val="0"/>
          <w:sz w:val="24"/>
        </w:rPr>
        <w:t xml:space="preserve">Instead, the network functions as an </w:t>
      </w:r>
      <w:r>
        <w:rPr>
          <w:rFonts w:ascii="Times New Roman" w:hAnsi="Times New Roman"/>
          <w:b/>
          <w:i w:val="0"/>
          <w:sz w:val="24"/>
        </w:rPr>
        <w:t>archipelago of isolated discursive monads</w:t>
      </w:r>
      <w:r>
        <w:rPr>
          <w:rFonts w:ascii="Times New Roman" w:hAnsi="Times New Roman"/>
          <w:b w:val="0"/>
          <w:i w:val="0"/>
          <w:sz w:val="24"/>
        </w:rPr>
        <w:t>. Citizens do not coordinate through formal civil society organizations; rather, unorganized parents and students independently react to the same defective physical reality. Because cross-community bridge edges comprise only $0.14\%$ of ties, official government press releases broadcast into one cluster have virtually zero mathematical probability of diffusing into the remaining 340 clusters.</w:t>
      </w:r>
    </w:p>
    <w:p>
      <w:pPr>
        <w:spacing w:line="480" w:lineRule="auto" w:before="240" w:after="60"/>
        <w:ind w:firstLine="0"/>
        <w:jc w:val="left"/>
      </w:pPr>
      <w:r>
        <w:rPr>
          <w:rFonts w:ascii="Times New Roman" w:hAnsi="Times New Roman"/>
          <w:b/>
          <w:i w:val="0"/>
          <w:sz w:val="25"/>
        </w:rPr>
        <w:t>5.2 Algorithmic Epistemic Displacement: Outsourcing Public Truth</w:t>
      </w:r>
    </w:p>
    <w:p>
      <w:pPr>
        <w:spacing w:line="480" w:lineRule="auto" w:before="0" w:after="0"/>
        <w:ind w:firstLine="720"/>
      </w:pPr>
      <w:r>
        <w:rPr>
          <w:rFonts w:ascii="Times New Roman" w:hAnsi="Times New Roman"/>
          <w:b w:val="0"/>
          <w:i w:val="0"/>
          <w:sz w:val="24"/>
        </w:rPr>
        <w:t xml:space="preserve">The structural rise of </w:t>
      </w:r>
      <w:r>
        <w:rPr>
          <w:rFonts w:ascii="Courier New" w:hAnsi="Courier New"/>
          <w:sz w:val="23"/>
        </w:rPr>
        <w:t>@grok</w:t>
      </w:r>
      <w:r>
        <w:rPr>
          <w:rFonts w:ascii="Times New Roman" w:hAnsi="Times New Roman"/>
          <w:b w:val="0"/>
          <w:i w:val="0"/>
          <w:sz w:val="24"/>
        </w:rPr>
        <w:t xml:space="preserve"> marks a historic turning point in political communication: </w:t>
      </w:r>
      <w:r>
        <w:rPr>
          <w:rFonts w:ascii="Times New Roman" w:hAnsi="Times New Roman"/>
          <w:b/>
          <w:i w:val="0"/>
          <w:sz w:val="24"/>
        </w:rPr>
        <w:t>Algorithmic Epistemic Displacement</w:t>
      </w:r>
      <w:r>
        <w:rPr>
          <w:rFonts w:ascii="Times New Roman" w:hAnsi="Times New Roman"/>
          <w:b w:val="0"/>
          <w:i w:val="0"/>
          <w:sz w:val="24"/>
        </w:rPr>
        <w:t>. When public institutions maintain zero out-degree communication, citizens bypass traditional epistemic authorities—investigative journalists, academics, and official fact-checkers—and solicit generative AI to arbitrate truth.</w:t>
      </w:r>
    </w:p>
    <w:p>
      <w:pPr>
        <w:spacing w:line="480" w:lineRule="auto" w:before="0" w:after="0"/>
        <w:ind w:firstLine="720"/>
      </w:pPr>
      <w:r>
        <w:rPr>
          <w:rFonts w:ascii="Times New Roman" w:hAnsi="Times New Roman"/>
          <w:b w:val="0"/>
          <w:i w:val="0"/>
          <w:sz w:val="24"/>
        </w:rPr>
        <w:t>This dynamic introduces severe democratic vulnerabilities:</w:t>
      </w:r>
    </w:p>
    <w:p>
      <w:pPr>
        <w:spacing w:line="480" w:lineRule="auto" w:after="40"/>
        <w:ind w:left="720" w:hanging="360"/>
      </w:pPr>
      <w:r>
        <w:rPr>
          <w:b/>
        </w:rPr>
        <w:t xml:space="preserve">1. </w:t>
      </w:r>
      <w:r>
        <w:rPr>
          <w:rFonts w:ascii="Times New Roman" w:hAnsi="Times New Roman"/>
          <w:b/>
          <w:i w:val="0"/>
          <w:sz w:val="24"/>
        </w:rPr>
        <w:t>The "Black Box" Epistemic Risk</w:t>
      </w:r>
      <w:r>
        <w:rPr>
          <w:rFonts w:ascii="Times New Roman" w:hAnsi="Times New Roman"/>
          <w:b w:val="0"/>
          <w:i w:val="0"/>
          <w:sz w:val="24"/>
        </w:rPr>
        <w:t>: LLMs operate on probabilistic next-token generation. In fast-moving crises, models are susceptible to algorithmic hallucinations that can cascade across citizen networks with perceived mathematical objectivity.</w:t>
      </w:r>
    </w:p>
    <w:p>
      <w:pPr>
        <w:spacing w:line="480" w:lineRule="auto" w:after="40"/>
        <w:ind w:left="720" w:hanging="360"/>
      </w:pPr>
      <w:r>
        <w:rPr>
          <w:b/>
        </w:rPr>
        <w:t xml:space="preserve">2. </w:t>
      </w:r>
      <w:r>
        <w:rPr>
          <w:rFonts w:ascii="Times New Roman" w:hAnsi="Times New Roman"/>
          <w:b/>
          <w:i w:val="0"/>
          <w:sz w:val="24"/>
        </w:rPr>
        <w:t>Loss of Sovereign Communicative Oversight</w:t>
      </w:r>
      <w:r>
        <w:rPr>
          <w:rFonts w:ascii="Times New Roman" w:hAnsi="Times New Roman"/>
          <w:b w:val="0"/>
          <w:i w:val="0"/>
          <w:sz w:val="24"/>
        </w:rPr>
        <w:t>: The primary epistemic arbiter of Indonesian public policy is owned by a private foreign technology enterprise (xAI), depriving democratic institutions of sovereign auditability.</w:t>
      </w:r>
    </w:p>
    <w:p>
      <w:pPr>
        <w:spacing w:line="480" w:lineRule="auto" w:before="240" w:after="60"/>
        <w:ind w:firstLine="0"/>
        <w:jc w:val="left"/>
      </w:pPr>
      <w:r>
        <w:rPr>
          <w:rFonts w:ascii="Times New Roman" w:hAnsi="Times New Roman"/>
          <w:b/>
          <w:i w:val="0"/>
          <w:sz w:val="25"/>
        </w:rPr>
        <w:t>5.3 The Phygital Disconnect: Why Digital State PR Cannot Cure Broken Food Trays</w:t>
      </w:r>
    </w:p>
    <w:p>
      <w:pPr>
        <w:spacing w:line="480" w:lineRule="auto" w:before="0" w:after="0"/>
        <w:ind w:firstLine="720"/>
      </w:pPr>
      <w:r>
        <w:rPr>
          <w:rFonts w:ascii="Times New Roman" w:hAnsi="Times New Roman"/>
          <w:b w:val="0"/>
          <w:i w:val="0"/>
          <w:sz w:val="24"/>
        </w:rPr>
        <w:t xml:space="preserve">Synthesizing our empirical results through Marketing 6.0 proves that citizen outrage is rooted in the </w:t>
      </w:r>
      <w:r>
        <w:rPr>
          <w:rFonts w:ascii="Times New Roman" w:hAnsi="Times New Roman"/>
          <w:b/>
          <w:i w:val="0"/>
          <w:sz w:val="24"/>
        </w:rPr>
        <w:t>Phygital Gap</w:t>
      </w:r>
      <w:r>
        <w:rPr>
          <w:rFonts w:ascii="Times New Roman" w:hAnsi="Times New Roman"/>
          <w:b w:val="0"/>
          <w:i w:val="0"/>
          <w:sz w:val="24"/>
        </w:rPr>
        <w:t xml:space="preserve">. The state constructed a hyper-modern digital narrative of </w:t>
      </w:r>
      <w:r>
        <w:rPr>
          <w:rFonts w:ascii="Times New Roman" w:hAnsi="Times New Roman"/>
          <w:b w:val="0"/>
          <w:i/>
          <w:sz w:val="24"/>
        </w:rPr>
        <w:t>Indonesia Emas 2045</w:t>
      </w:r>
      <w:r>
        <w:rPr>
          <w:rFonts w:ascii="Times New Roman" w:hAnsi="Times New Roman"/>
          <w:b w:val="0"/>
          <w:i w:val="0"/>
          <w:sz w:val="24"/>
        </w:rPr>
        <w:t>, yet delivered unhygienic meals and toxic hospitalizations at the physical school touchpoint.</w:t>
      </w:r>
    </w:p>
    <w:p>
      <w:pPr>
        <w:spacing w:line="480" w:lineRule="auto" w:before="0" w:after="0"/>
        <w:ind w:firstLine="720"/>
      </w:pPr>
      <w:r>
        <w:rPr>
          <w:rFonts w:ascii="Times New Roman" w:hAnsi="Times New Roman"/>
          <w:b w:val="0"/>
          <w:i w:val="0"/>
          <w:sz w:val="24"/>
        </w:rPr>
        <w:t>When physical touchpoints fail, digital public relations becomes counterproductive. Each glossy infographic released by the state exacerbates cognitive dissonance, accelerating digital sarcasm. Sarcasm is not frivolous entertainment; it is a defensive coping mechanism through which citizens register acute moral rejection while avoiding state prosecution.</w:t>
      </w:r>
    </w:p>
    <w:p>
      <w:pPr>
        <w:spacing w:line="480" w:lineRule="auto" w:before="320" w:after="80"/>
        <w:jc w:val="center"/>
      </w:pPr>
      <w:r>
        <w:rPr>
          <w:rFonts w:ascii="Times New Roman" w:hAnsi="Times New Roman"/>
          <w:b/>
          <w:i w:val="0"/>
          <w:sz w:val="27"/>
        </w:rPr>
        <w:t>6. Democratic Governance Implications &amp; Future Directions</w:t>
      </w:r>
    </w:p>
    <w:p>
      <w:pPr>
        <w:spacing w:line="480" w:lineRule="auto" w:before="0" w:after="0"/>
        <w:ind w:firstLine="720"/>
      </w:pPr>
      <w:r>
        <w:rPr>
          <w:rFonts w:ascii="Times New Roman" w:hAnsi="Times New Roman"/>
          <w:b w:val="0"/>
          <w:i w:val="0"/>
          <w:sz w:val="24"/>
        </w:rPr>
        <w:t>To bridge the Phygital Gap and restore civic trust, public administration must undergo four structural transformations:</w:t>
      </w:r>
    </w:p>
    <w:p>
      <w:pPr>
        <w:spacing w:line="480" w:lineRule="auto" w:after="40"/>
        <w:ind w:left="720" w:hanging="360"/>
      </w:pPr>
      <w:r>
        <w:rPr>
          <w:b/>
        </w:rPr>
        <w:t xml:space="preserve">1. </w:t>
      </w:r>
      <w:r>
        <w:rPr>
          <w:rFonts w:ascii="Times New Roman" w:hAnsi="Times New Roman"/>
          <w:b/>
          <w:i w:val="0"/>
          <w:sz w:val="24"/>
        </w:rPr>
        <w:t>Prioritize Physical Touchpoints over Digital PR</w:t>
      </w:r>
      <w:r>
        <w:rPr>
          <w:rFonts w:ascii="Times New Roman" w:hAnsi="Times New Roman"/>
          <w:b w:val="0"/>
          <w:i w:val="0"/>
          <w:sz w:val="24"/>
        </w:rPr>
        <w:t>: State agencies must redirect expenditures from social media advertising to cold-chain refrigeration, certified food handling training, and mandatory independent laboratory audits for all 27,952 SPPG catering units.</w:t>
      </w:r>
    </w:p>
    <w:p>
      <w:pPr>
        <w:spacing w:line="480" w:lineRule="auto" w:after="40"/>
        <w:ind w:left="720" w:hanging="360"/>
      </w:pPr>
      <w:r>
        <w:rPr>
          <w:b/>
        </w:rPr>
        <w:t xml:space="preserve">2. </w:t>
      </w:r>
      <w:r>
        <w:rPr>
          <w:rFonts w:ascii="Times New Roman" w:hAnsi="Times New Roman"/>
          <w:b/>
          <w:i w:val="0"/>
          <w:sz w:val="24"/>
        </w:rPr>
        <w:t>Deploy Machine-Readable Open Data APIs</w:t>
      </w:r>
      <w:r>
        <w:rPr>
          <w:rFonts w:ascii="Times New Roman" w:hAnsi="Times New Roman"/>
          <w:b w:val="0"/>
          <w:i w:val="0"/>
          <w:sz w:val="24"/>
        </w:rPr>
        <w:t>: To prevent algorithmic misinformation, ministries must release real-time REST APIs documenting per-meal fiscal disbursements and hygiene inspection scores, allowing AI agents (</w:t>
      </w:r>
      <w:r>
        <w:rPr>
          <w:rFonts w:ascii="Courier New" w:hAnsi="Courier New"/>
          <w:sz w:val="23"/>
        </w:rPr>
        <w:t>@grok</w:t>
      </w:r>
      <w:r>
        <w:rPr>
          <w:rFonts w:ascii="Times New Roman" w:hAnsi="Times New Roman"/>
          <w:b w:val="0"/>
          <w:i w:val="0"/>
          <w:sz w:val="24"/>
        </w:rPr>
        <w:t>) to retrieve authoritative ground truth.</w:t>
      </w:r>
    </w:p>
    <w:p>
      <w:pPr>
        <w:spacing w:line="480" w:lineRule="auto" w:after="40"/>
        <w:ind w:left="720" w:hanging="360"/>
      </w:pPr>
      <w:r>
        <w:rPr>
          <w:b/>
        </w:rPr>
        <w:t xml:space="preserve">3. </w:t>
      </w:r>
      <w:r>
        <w:rPr>
          <w:rFonts w:ascii="Times New Roman" w:hAnsi="Times New Roman"/>
          <w:b/>
          <w:i w:val="0"/>
          <w:sz w:val="24"/>
        </w:rPr>
        <w:t>Institutionalize Sarcasm as Diagnostic Telemetry</w:t>
      </w:r>
      <w:r>
        <w:rPr>
          <w:rFonts w:ascii="Times New Roman" w:hAnsi="Times New Roman"/>
          <w:b w:val="0"/>
          <w:i w:val="0"/>
          <w:sz w:val="24"/>
        </w:rPr>
        <w:t>: Rather than labeling sarcastic critique as subversive "hoaxes," government monitoring units must utilize NLP sarcasm detection as an invaluable real-time early warning sensor of operational failure.</w:t>
      </w:r>
    </w:p>
    <w:p>
      <w:pPr>
        <w:spacing w:line="480" w:lineRule="auto" w:after="40"/>
        <w:ind w:left="720" w:hanging="360"/>
      </w:pPr>
      <w:r>
        <w:rPr>
          <w:b/>
        </w:rPr>
        <w:t xml:space="preserve">4. </w:t>
      </w:r>
      <w:r>
        <w:rPr>
          <w:rFonts w:ascii="Times New Roman" w:hAnsi="Times New Roman"/>
          <w:b/>
          <w:i w:val="0"/>
          <w:sz w:val="24"/>
        </w:rPr>
        <w:t>Transition to Decentralized Participatory Co-Monitoring</w:t>
      </w:r>
      <w:r>
        <w:rPr>
          <w:rFonts w:ascii="Times New Roman" w:hAnsi="Times New Roman"/>
          <w:b w:val="0"/>
          <w:i w:val="0"/>
          <w:sz w:val="24"/>
        </w:rPr>
        <w:t>: Empower parents, teachers, and school committees with smartphone verification applications to certify meal deliveries directly, converting passive recipients into active co-monitors of public welfare.</w:t>
      </w:r>
    </w:p>
    <w:p>
      <w:pPr>
        <w:spacing w:line="480" w:lineRule="auto" w:before="240" w:after="60"/>
        <w:ind w:firstLine="0"/>
        <w:jc w:val="left"/>
      </w:pPr>
      <w:r>
        <w:rPr>
          <w:rFonts w:ascii="Times New Roman" w:hAnsi="Times New Roman"/>
          <w:b/>
          <w:i w:val="0"/>
          <w:sz w:val="25"/>
        </w:rPr>
        <w:t>6.1 Methodological Limitations &amp; Ecological Boundary Conditions</w:t>
      </w:r>
    </w:p>
    <w:p>
      <w:pPr>
        <w:spacing w:line="480" w:lineRule="auto" w:before="0" w:after="0"/>
        <w:ind w:firstLine="720"/>
      </w:pPr>
      <w:r>
        <w:rPr>
          <w:rFonts w:ascii="Times New Roman" w:hAnsi="Times New Roman"/>
          <w:b w:val="0"/>
          <w:i w:val="0"/>
          <w:sz w:val="24"/>
        </w:rPr>
        <w:t>To maintain rigorous reflexivity under international peer review, four foundational ecological boundary conditions must be specified:</w:t>
      </w:r>
    </w:p>
    <w:p>
      <w:pPr>
        <w:spacing w:line="480" w:lineRule="auto" w:after="40"/>
        <w:ind w:left="720" w:hanging="360"/>
      </w:pPr>
      <w:r>
        <w:rPr>
          <w:b/>
        </w:rPr>
        <w:t xml:space="preserve">1. </w:t>
      </w:r>
      <w:r>
        <w:rPr>
          <w:rFonts w:ascii="Times New Roman" w:hAnsi="Times New Roman"/>
          <w:b/>
          <w:i w:val="0"/>
          <w:sz w:val="24"/>
        </w:rPr>
        <w:t>Demographic Vanguard Skew</w:t>
      </w:r>
      <w:r>
        <w:rPr>
          <w:rFonts w:ascii="Times New Roman" w:hAnsi="Times New Roman"/>
          <w:b w:val="0"/>
          <w:i w:val="0"/>
          <w:sz w:val="24"/>
        </w:rPr>
        <w:t xml:space="preserve">: Our empirical corpus derives exclusively from Platform X. In Indonesia, Platform X users are disproportionately urban, educated, and politically mobilized compared to the broader population (APJII, 2024). The data thus reflects the perspective of the </w:t>
      </w:r>
      <w:r>
        <w:rPr>
          <w:rFonts w:ascii="Times New Roman" w:hAnsi="Times New Roman"/>
          <w:b w:val="0"/>
          <w:i/>
          <w:sz w:val="24"/>
        </w:rPr>
        <w:t>vanguard public</w:t>
      </w:r>
      <w:r>
        <w:rPr>
          <w:rFonts w:ascii="Times New Roman" w:hAnsi="Times New Roman"/>
          <w:b w:val="0"/>
          <w:i w:val="0"/>
          <w:sz w:val="24"/>
        </w:rPr>
        <w:t xml:space="preserve"> (journalists, civil society actors, and vigilant middle-class parents) rather than the entire passive electorate.</w:t>
      </w:r>
    </w:p>
    <w:p>
      <w:pPr>
        <w:spacing w:line="480" w:lineRule="auto" w:after="40"/>
        <w:ind w:left="720" w:hanging="360"/>
      </w:pPr>
      <w:r>
        <w:rPr>
          <w:b/>
        </w:rPr>
        <w:t xml:space="preserve">2. </w:t>
      </w:r>
      <w:r>
        <w:rPr>
          <w:rFonts w:ascii="Times New Roman" w:hAnsi="Times New Roman"/>
          <w:b/>
          <w:i w:val="0"/>
          <w:sz w:val="24"/>
        </w:rPr>
        <w:t>Platform Vernacular &amp; Affective Cynicism Bias</w:t>
      </w:r>
      <w:r>
        <w:rPr>
          <w:rFonts w:ascii="Times New Roman" w:hAnsi="Times New Roman"/>
          <w:b w:val="0"/>
          <w:i w:val="0"/>
          <w:sz w:val="24"/>
        </w:rPr>
        <w:t>: As demonstrated in affordance research (Bossetta, 2018; Bucher &amp; Helmond, 2018), Platform X culture fosters a platform vernacular that structurally rewards irony, satirical mockery, and confrontational political debate. This makes the platform exceptionally potent as an early-warning crisis sensor, but inherently amplifies the salience of Disgust and Sarcasm relative to lifestyle-centric networks like Instagram.</w:t>
      </w:r>
    </w:p>
    <w:p>
      <w:pPr>
        <w:spacing w:line="480" w:lineRule="auto" w:after="40"/>
        <w:ind w:left="720" w:hanging="360"/>
      </w:pPr>
      <w:r>
        <w:rPr>
          <w:b/>
        </w:rPr>
        <w:t xml:space="preserve">3. </w:t>
      </w:r>
      <w:r>
        <w:rPr>
          <w:rFonts w:ascii="Times New Roman" w:hAnsi="Times New Roman"/>
          <w:b/>
          <w:i w:val="0"/>
          <w:sz w:val="24"/>
        </w:rPr>
        <w:t>Cross-Platform Multi-Modal Trajectory</w:t>
      </w:r>
      <w:r>
        <w:rPr>
          <w:rFonts w:ascii="Times New Roman" w:hAnsi="Times New Roman"/>
          <w:b w:val="0"/>
          <w:i w:val="0"/>
          <w:sz w:val="24"/>
        </w:rPr>
        <w:t>: While the Phygital Gap framework possesses universal public administration applicability, our findings are bounded by the text-first architecture of Platform X. Future investigations must deploy multimodal Vision-Language Models (e.g., CLIP, Qwen2-VL) to directly examine physical food tray unboxing videos on TikTok and YouTube Shorts.</w:t>
      </w:r>
    </w:p>
    <w:p>
      <w:pPr>
        <w:spacing w:line="480" w:lineRule="auto" w:after="40"/>
        <w:ind w:left="720" w:hanging="360"/>
      </w:pPr>
      <w:r>
        <w:rPr>
          <w:b/>
        </w:rPr>
        <w:t xml:space="preserve">4. </w:t>
      </w:r>
      <w:r>
        <w:rPr>
          <w:rFonts w:ascii="Times New Roman" w:hAnsi="Times New Roman"/>
          <w:b/>
          <w:i w:val="0"/>
          <w:sz w:val="24"/>
        </w:rPr>
        <w:t>Silver-Standard Reference Labels &amp; Affective Sparsity</w:t>
      </w:r>
      <w:r>
        <w:rPr>
          <w:rFonts w:ascii="Times New Roman" w:hAnsi="Times New Roman"/>
          <w:b w:val="0"/>
          <w:i w:val="0"/>
          <w:sz w:val="24"/>
        </w:rPr>
        <w:t>: Initial model fine-tuning and holdout validation relied on rule-assisted silver-standard reference annotations rather than extensive multi-coder gold standards. Severe affective skew led to $F_1 = 0.000$ on minority classes Anger and Sadness, while Joy, Surprise, and Fear lacked test-set representation. Future research should deploy independent multi-coder panels to establish an adjudicated gold standard with targeted minority-class oversampling.</w:t>
      </w:r>
    </w:p>
    <w:p>
      <w:pPr>
        <w:spacing w:line="480" w:lineRule="auto" w:before="320" w:after="80"/>
        <w:jc w:val="center"/>
      </w:pPr>
      <w:r>
        <w:rPr>
          <w:rFonts w:ascii="Times New Roman" w:hAnsi="Times New Roman"/>
          <w:b/>
          <w:i w:val="0"/>
          <w:sz w:val="27"/>
        </w:rPr>
        <w:t>7. Conclusion</w:t>
      </w:r>
    </w:p>
    <w:p>
      <w:pPr>
        <w:spacing w:line="480" w:lineRule="auto" w:before="0" w:after="0"/>
        <w:ind w:firstLine="720"/>
      </w:pPr>
      <w:r>
        <w:rPr>
          <w:rFonts w:ascii="Times New Roman" w:hAnsi="Times New Roman"/>
          <w:b w:val="0"/>
          <w:i w:val="0"/>
          <w:sz w:val="24"/>
        </w:rPr>
        <w:t>This study examined the crisis surrounding Indonesia's Free Nutritious Meal program through the tripartite lens of society, digital platforms, and public policy. Combining deep learning NLP, graph-theoretic social network modeling, and real-time telemetry, we demonstrated that public cynicism is not an arbitrary online trend, but the direct communicative consequence of an acute Phygital Gap. In the platform society, when physical delivery collapses, algorithmic arbiters inevitably supplant silent state institutions. True communicative legitimacy cannot be manufactured in cyberspace; it must be earned at the physical lunch table.</w:t>
      </w:r>
    </w:p>
    <w:p>
      <w:pPr>
        <w:spacing w:line="480" w:lineRule="auto" w:before="320" w:after="80"/>
        <w:jc w:val="center"/>
      </w:pPr>
      <w:r>
        <w:rPr>
          <w:rFonts w:ascii="Times New Roman" w:hAnsi="Times New Roman"/>
          <w:b/>
          <w:i w:val="0"/>
          <w:sz w:val="27"/>
        </w:rPr>
        <w:t>Declarations and Data Availability</w:t>
      </w:r>
    </w:p>
    <w:p>
      <w:pPr>
        <w:spacing w:line="480" w:lineRule="auto" w:before="0" w:after="0"/>
        <w:ind w:firstLine="720"/>
      </w:pPr>
      <w:r>
        <w:rPr>
          <w:rFonts w:ascii="Times New Roman" w:hAnsi="Times New Roman"/>
          <w:b/>
          <w:i w:val="0"/>
          <w:sz w:val="24"/>
        </w:rPr>
        <w:t>Data Availability Statement</w:t>
      </w:r>
      <w:r>
        <w:rPr>
          <w:rFonts w:ascii="Times New Roman" w:hAnsi="Times New Roman"/>
          <w:b w:val="0"/>
          <w:i w:val="0"/>
          <w:sz w:val="24"/>
        </w:rPr>
        <w:t xml:space="preserve">: In strict compliance with the Open Science mandates of </w:t>
      </w:r>
      <w:r>
        <w:rPr>
          <w:rFonts w:ascii="Times New Roman" w:hAnsi="Times New Roman"/>
          <w:b w:val="0"/>
          <w:i/>
          <w:sz w:val="24"/>
        </w:rPr>
        <w:t>Information, Communication &amp; Society</w:t>
      </w:r>
      <w:r>
        <w:rPr>
          <w:rFonts w:ascii="Times New Roman" w:hAnsi="Times New Roman"/>
          <w:b w:val="0"/>
          <w:i w:val="0"/>
          <w:sz w:val="24"/>
        </w:rPr>
        <w:t xml:space="preserve"> (Taylor &amp; Francis) and FAIR data principles, all research replication materials—including AoIR 3.0-pseudonymized directed network interaction edge lists (|V|=971, |E|=666), silver-standard reference annotations and held-out evaluation splits, spatial epidemiological benchmarks, ABSA matrices, and PyTorch inference pipelines—are permanently archived in the Zenodo open-access repository under Digital Object Identifier (DOI): [10.5281/zenodo.11029482](https://doi.org/10.5281/zenodo.11029482). The active development repository remains mirrored at GitHub: [https://github.com/indri007/ThisIsEconomy](https://github.com/indri007/ThisIsEconomy). Raw tweet text containing personally identifying citizen information has been pseudonymized using SHA-256 HMAC cryptographic hashing in full compliance with AoIR 3.0 ethical guidelines.</w:t>
      </w:r>
    </w:p>
    <w:p>
      <w:pPr>
        <w:spacing w:line="480" w:lineRule="auto" w:before="0" w:after="0"/>
        <w:ind w:firstLine="720"/>
      </w:pPr>
      <w:r>
        <w:rPr>
          <w:rFonts w:ascii="Times New Roman" w:hAnsi="Times New Roman"/>
          <w:b/>
          <w:i w:val="0"/>
          <w:sz w:val="24"/>
        </w:rPr>
        <w:t>Funding</w:t>
      </w:r>
      <w:r>
        <w:rPr>
          <w:rFonts w:ascii="Times New Roman" w:hAnsi="Times New Roman"/>
          <w:b w:val="0"/>
          <w:i w:val="0"/>
          <w:sz w:val="24"/>
        </w:rPr>
        <w:t>: The authors declare that no external funding, grants, or financial sponsorships were received for this study.</w:t>
      </w:r>
    </w:p>
    <w:p>
      <w:pPr>
        <w:spacing w:line="480" w:lineRule="auto" w:before="0" w:after="0"/>
        <w:ind w:firstLine="720"/>
      </w:pPr>
      <w:r>
        <w:rPr>
          <w:rFonts w:ascii="Times New Roman" w:hAnsi="Times New Roman"/>
          <w:b/>
          <w:i w:val="0"/>
          <w:sz w:val="24"/>
        </w:rPr>
        <w:t>Conflict of Interest</w:t>
      </w:r>
      <w:r>
        <w:rPr>
          <w:rFonts w:ascii="Times New Roman" w:hAnsi="Times New Roman"/>
          <w:b w:val="0"/>
          <w:i w:val="0"/>
          <w:sz w:val="24"/>
        </w:rPr>
        <w:t>: The authors declare no competing financial or non-financial interests.</w:t>
      </w:r>
    </w:p>
    <w:p>
      <w:pPr>
        <w:spacing w:line="480" w:lineRule="auto" w:before="320" w:after="80"/>
        <w:jc w:val="center"/>
      </w:pPr>
      <w:r>
        <w:rPr>
          <w:rFonts w:ascii="Times New Roman" w:hAnsi="Times New Roman"/>
          <w:b/>
          <w:i w:val="0"/>
          <w:sz w:val="27"/>
        </w:rPr>
        <w:t>References</w:t>
      </w:r>
    </w:p>
    <w:p>
      <w:pPr>
        <w:spacing w:line="360" w:lineRule="auto" w:after="60"/>
        <w:ind w:left="720" w:hanging="720"/>
      </w:pPr>
      <w:r>
        <w:rPr>
          <w:rFonts w:ascii="Times New Roman" w:hAnsi="Times New Roman"/>
          <w:b w:val="0"/>
          <w:i w:val="0"/>
          <w:sz w:val="22"/>
        </w:rPr>
        <w:t xml:space="preserve">ANTARA. (2026, May). </w:t>
      </w:r>
      <w:r>
        <w:rPr>
          <w:rFonts w:ascii="Times New Roman" w:hAnsi="Times New Roman"/>
          <w:b w:val="0"/>
          <w:i/>
          <w:sz w:val="22"/>
        </w:rPr>
        <w:t>4,581 SPPG suspended for quality improvement, 1,152 units remain under review</w:t>
      </w:r>
      <w:r>
        <w:rPr>
          <w:rFonts w:ascii="Times New Roman" w:hAnsi="Times New Roman"/>
          <w:b w:val="0"/>
          <w:i w:val="0"/>
          <w:sz w:val="22"/>
        </w:rPr>
        <w:t>. ANTARA News Agency.</w:t>
      </w:r>
    </w:p>
    <w:p>
      <w:pPr>
        <w:spacing w:line="360" w:lineRule="auto" w:after="60"/>
        <w:ind w:left="720" w:hanging="720"/>
      </w:pPr>
      <w:r>
        <w:rPr>
          <w:rFonts w:ascii="Times New Roman" w:hAnsi="Times New Roman"/>
          <w:b w:val="0"/>
          <w:i w:val="0"/>
          <w:sz w:val="22"/>
        </w:rPr>
        <w:t xml:space="preserve">Barabási, A.-L., &amp; Albert, R. (1999). Emergence of scaling in random networks. </w:t>
      </w:r>
      <w:r>
        <w:rPr>
          <w:rFonts w:ascii="Times New Roman" w:hAnsi="Times New Roman"/>
          <w:b w:val="0"/>
          <w:i/>
          <w:sz w:val="22"/>
        </w:rPr>
        <w:t>Science</w:t>
      </w:r>
      <w:r>
        <w:rPr>
          <w:rFonts w:ascii="Times New Roman" w:hAnsi="Times New Roman"/>
          <w:b w:val="0"/>
          <w:i w:val="0"/>
          <w:sz w:val="22"/>
        </w:rPr>
        <w:t xml:space="preserve">, </w:t>
      </w:r>
      <w:r>
        <w:rPr>
          <w:rFonts w:ascii="Times New Roman" w:hAnsi="Times New Roman"/>
          <w:b w:val="0"/>
          <w:i/>
          <w:sz w:val="22"/>
        </w:rPr>
        <w:t>286</w:t>
      </w:r>
      <w:r>
        <w:rPr>
          <w:rFonts w:ascii="Times New Roman" w:hAnsi="Times New Roman"/>
          <w:b w:val="0"/>
          <w:i w:val="0"/>
          <w:sz w:val="22"/>
        </w:rPr>
        <w:t>(5439), 509–512. https://doi.org/10.1126/science.286.5439.509</w:t>
      </w:r>
    </w:p>
    <w:p>
      <w:pPr>
        <w:spacing w:line="360" w:lineRule="auto" w:after="60"/>
        <w:ind w:left="720" w:hanging="720"/>
      </w:pPr>
      <w:r>
        <w:rPr>
          <w:rFonts w:ascii="Times New Roman" w:hAnsi="Times New Roman"/>
          <w:b w:val="0"/>
          <w:i w:val="0"/>
          <w:sz w:val="22"/>
        </w:rPr>
        <w:t xml:space="preserve">Bennett, W. L., &amp; Segerberg, A. (2012). The logic of connective action: Digital media and the personalization of contentious politics. </w:t>
      </w:r>
      <w:r>
        <w:rPr>
          <w:rFonts w:ascii="Times New Roman" w:hAnsi="Times New Roman"/>
          <w:b w:val="0"/>
          <w:i/>
          <w:sz w:val="22"/>
        </w:rPr>
        <w:t>Information, Communication &amp; Society</w:t>
      </w:r>
      <w:r>
        <w:rPr>
          <w:rFonts w:ascii="Times New Roman" w:hAnsi="Times New Roman"/>
          <w:b w:val="0"/>
          <w:i w:val="0"/>
          <w:sz w:val="22"/>
        </w:rPr>
        <w:t xml:space="preserve">, </w:t>
      </w:r>
      <w:r>
        <w:rPr>
          <w:rFonts w:ascii="Times New Roman" w:hAnsi="Times New Roman"/>
          <w:b w:val="0"/>
          <w:i/>
          <w:sz w:val="22"/>
        </w:rPr>
        <w:t>15</w:t>
      </w:r>
      <w:r>
        <w:rPr>
          <w:rFonts w:ascii="Times New Roman" w:hAnsi="Times New Roman"/>
          <w:b w:val="0"/>
          <w:i w:val="0"/>
          <w:sz w:val="22"/>
        </w:rPr>
        <w:t>(5), 739–768. https://doi.org/10.1080/1369118X.2012.670661</w:t>
      </w:r>
    </w:p>
    <w:p>
      <w:pPr>
        <w:spacing w:line="360" w:lineRule="auto" w:after="60"/>
        <w:ind w:left="720" w:hanging="720"/>
      </w:pPr>
      <w:r>
        <w:rPr>
          <w:rFonts w:ascii="Times New Roman" w:hAnsi="Times New Roman"/>
          <w:b w:val="0"/>
          <w:i w:val="0"/>
          <w:sz w:val="22"/>
        </w:rPr>
        <w:t xml:space="preserve">Blondel, V. D., Guillaume, J.-L., Lambiotte, R., &amp; Lefebvre, E. (2008). Fast unfolding of communities in large networks. </w:t>
      </w:r>
      <w:r>
        <w:rPr>
          <w:rFonts w:ascii="Times New Roman" w:hAnsi="Times New Roman"/>
          <w:b w:val="0"/>
          <w:i/>
          <w:sz w:val="22"/>
        </w:rPr>
        <w:t>Journal of Statistical Mechanics: Theory and Experiment</w:t>
      </w:r>
      <w:r>
        <w:rPr>
          <w:rFonts w:ascii="Times New Roman" w:hAnsi="Times New Roman"/>
          <w:b w:val="0"/>
          <w:i w:val="0"/>
          <w:sz w:val="22"/>
        </w:rPr>
        <w:t xml:space="preserve">, </w:t>
      </w:r>
      <w:r>
        <w:rPr>
          <w:rFonts w:ascii="Times New Roman" w:hAnsi="Times New Roman"/>
          <w:b w:val="0"/>
          <w:i/>
          <w:sz w:val="22"/>
        </w:rPr>
        <w:t>2008</w:t>
      </w:r>
      <w:r>
        <w:rPr>
          <w:rFonts w:ascii="Times New Roman" w:hAnsi="Times New Roman"/>
          <w:b w:val="0"/>
          <w:i w:val="0"/>
          <w:sz w:val="22"/>
        </w:rPr>
        <w:t>(10), P10008. https://doi.org/10.1088/1742-5468/2008/10/P10008</w:t>
      </w:r>
    </w:p>
    <w:p>
      <w:pPr>
        <w:spacing w:line="360" w:lineRule="auto" w:after="60"/>
        <w:ind w:left="720" w:hanging="720"/>
      </w:pPr>
      <w:r>
        <w:rPr>
          <w:rFonts w:ascii="Times New Roman" w:hAnsi="Times New Roman"/>
          <w:b w:val="0"/>
          <w:i w:val="0"/>
          <w:sz w:val="22"/>
        </w:rPr>
        <w:t xml:space="preserve">Bloomberg Technoz. (2026, March 31). </w:t>
      </w:r>
      <w:r>
        <w:rPr>
          <w:rFonts w:ascii="Times New Roman" w:hAnsi="Times New Roman"/>
          <w:b w:val="0"/>
          <w:i/>
          <w:sz w:val="22"/>
        </w:rPr>
        <w:t>BGN head explains IDR 67 trillion MBG budget adjustment</w:t>
      </w:r>
      <w:r>
        <w:rPr>
          <w:rFonts w:ascii="Times New Roman" w:hAnsi="Times New Roman"/>
          <w:b w:val="0"/>
          <w:i w:val="0"/>
          <w:sz w:val="22"/>
        </w:rPr>
        <w:t>. Bloomberg Technoz.</w:t>
      </w:r>
    </w:p>
    <w:p>
      <w:pPr>
        <w:spacing w:line="360" w:lineRule="auto" w:after="60"/>
        <w:ind w:left="720" w:hanging="720"/>
      </w:pPr>
      <w:r>
        <w:rPr>
          <w:rFonts w:ascii="Times New Roman" w:hAnsi="Times New Roman"/>
          <w:b w:val="0"/>
          <w:i w:val="0"/>
          <w:sz w:val="22"/>
        </w:rPr>
        <w:t xml:space="preserve">Bossetta, M. (2018). The digital architectures of social media: Comparing political campaigning on Facebook, Twitter, Instagram, and Snapchat in the 2016 US presidential election. </w:t>
      </w:r>
      <w:r>
        <w:rPr>
          <w:rFonts w:ascii="Times New Roman" w:hAnsi="Times New Roman"/>
          <w:b w:val="0"/>
          <w:i/>
          <w:sz w:val="22"/>
        </w:rPr>
        <w:t>Journalism &amp; Mass Communication Quarterly</w:t>
      </w:r>
      <w:r>
        <w:rPr>
          <w:rFonts w:ascii="Times New Roman" w:hAnsi="Times New Roman"/>
          <w:b w:val="0"/>
          <w:i w:val="0"/>
          <w:sz w:val="22"/>
        </w:rPr>
        <w:t xml:space="preserve">, </w:t>
      </w:r>
      <w:r>
        <w:rPr>
          <w:rFonts w:ascii="Times New Roman" w:hAnsi="Times New Roman"/>
          <w:b w:val="0"/>
          <w:i/>
          <w:sz w:val="22"/>
        </w:rPr>
        <w:t>95</w:t>
      </w:r>
      <w:r>
        <w:rPr>
          <w:rFonts w:ascii="Times New Roman" w:hAnsi="Times New Roman"/>
          <w:b w:val="0"/>
          <w:i w:val="0"/>
          <w:sz w:val="22"/>
        </w:rPr>
        <w:t>(2), 471–496. https://doi.org/10.1177/1077699018763307</w:t>
      </w:r>
    </w:p>
    <w:p>
      <w:pPr>
        <w:spacing w:line="360" w:lineRule="auto" w:after="60"/>
        <w:ind w:left="720" w:hanging="720"/>
      </w:pPr>
      <w:r>
        <w:rPr>
          <w:rFonts w:ascii="Times New Roman" w:hAnsi="Times New Roman"/>
          <w:b w:val="0"/>
          <w:i w:val="0"/>
          <w:sz w:val="22"/>
        </w:rPr>
        <w:t xml:space="preserve">boyd, d., &amp; Crawford, K. (2012). Critical questions for big data: Provocations for a cultural, technological, and scholarly phenomenon. </w:t>
      </w:r>
      <w:r>
        <w:rPr>
          <w:rFonts w:ascii="Times New Roman" w:hAnsi="Times New Roman"/>
          <w:b w:val="0"/>
          <w:i/>
          <w:sz w:val="22"/>
        </w:rPr>
        <w:t>Information, Communication &amp; Society</w:t>
      </w:r>
      <w:r>
        <w:rPr>
          <w:rFonts w:ascii="Times New Roman" w:hAnsi="Times New Roman"/>
          <w:b w:val="0"/>
          <w:i w:val="0"/>
          <w:sz w:val="22"/>
        </w:rPr>
        <w:t xml:space="preserve">, </w:t>
      </w:r>
      <w:r>
        <w:rPr>
          <w:rFonts w:ascii="Times New Roman" w:hAnsi="Times New Roman"/>
          <w:b w:val="0"/>
          <w:i/>
          <w:sz w:val="22"/>
        </w:rPr>
        <w:t>15</w:t>
      </w:r>
      <w:r>
        <w:rPr>
          <w:rFonts w:ascii="Times New Roman" w:hAnsi="Times New Roman"/>
          <w:b w:val="0"/>
          <w:i w:val="0"/>
          <w:sz w:val="22"/>
        </w:rPr>
        <w:t>(5), 662–679. https://doi.org/10.1080/1369118X.2012.678878</w:t>
      </w:r>
    </w:p>
    <w:p>
      <w:pPr>
        <w:spacing w:line="360" w:lineRule="auto" w:after="60"/>
        <w:ind w:left="720" w:hanging="720"/>
      </w:pPr>
      <w:r>
        <w:rPr>
          <w:rFonts w:ascii="Times New Roman" w:hAnsi="Times New Roman"/>
          <w:b w:val="0"/>
          <w:i w:val="0"/>
          <w:sz w:val="22"/>
        </w:rPr>
        <w:t xml:space="preserve">Bucher, T. (2018). </w:t>
      </w:r>
      <w:r>
        <w:rPr>
          <w:rFonts w:ascii="Times New Roman" w:hAnsi="Times New Roman"/>
          <w:b w:val="0"/>
          <w:i/>
          <w:sz w:val="22"/>
        </w:rPr>
        <w:t>If... then: Algorithmic power and politics</w:t>
      </w:r>
      <w:r>
        <w:rPr>
          <w:rFonts w:ascii="Times New Roman" w:hAnsi="Times New Roman"/>
          <w:b w:val="0"/>
          <w:i w:val="0"/>
          <w:sz w:val="22"/>
        </w:rPr>
        <w:t>. Oxford University Press. https://doi.org/10.1093/oso/9780190493028.001.0001</w:t>
      </w:r>
    </w:p>
    <w:p>
      <w:pPr>
        <w:spacing w:line="360" w:lineRule="auto" w:after="60"/>
        <w:ind w:left="720" w:hanging="720"/>
      </w:pPr>
      <w:r>
        <w:rPr>
          <w:rFonts w:ascii="Times New Roman" w:hAnsi="Times New Roman"/>
          <w:b w:val="0"/>
          <w:i w:val="0"/>
          <w:sz w:val="22"/>
        </w:rPr>
        <w:t xml:space="preserve">Bucher, T., &amp; Helmond, A. (2018). The affordances of social media platforms. In J. Burgess, A. Marwick, &amp; T. Poell (Eds.), </w:t>
      </w:r>
      <w:r>
        <w:rPr>
          <w:rFonts w:ascii="Times New Roman" w:hAnsi="Times New Roman"/>
          <w:b w:val="0"/>
          <w:i/>
          <w:sz w:val="22"/>
        </w:rPr>
        <w:t>The SAGE handbook of social media</w:t>
      </w:r>
      <w:r>
        <w:rPr>
          <w:rFonts w:ascii="Times New Roman" w:hAnsi="Times New Roman"/>
          <w:b w:val="0"/>
          <w:i w:val="0"/>
          <w:sz w:val="22"/>
        </w:rPr>
        <w:t xml:space="preserve"> (pp. 233–253). SAGE Publications. https://doi.org/10.4135/9781473984066.n14</w:t>
      </w:r>
    </w:p>
    <w:p>
      <w:pPr>
        <w:spacing w:line="360" w:lineRule="auto" w:after="60"/>
        <w:ind w:left="720" w:hanging="720"/>
      </w:pPr>
      <w:r>
        <w:rPr>
          <w:rFonts w:ascii="Times New Roman" w:hAnsi="Times New Roman"/>
          <w:b w:val="0"/>
          <w:i w:val="0"/>
          <w:sz w:val="22"/>
        </w:rPr>
        <w:t xml:space="preserve">Coombs, W. T. (2007). Protecting organization reputations during a crisis: The development and application of situational crisis communication theory. </w:t>
      </w:r>
      <w:r>
        <w:rPr>
          <w:rFonts w:ascii="Times New Roman" w:hAnsi="Times New Roman"/>
          <w:b w:val="0"/>
          <w:i/>
          <w:sz w:val="22"/>
        </w:rPr>
        <w:t>Corporate Reputation Review</w:t>
      </w:r>
      <w:r>
        <w:rPr>
          <w:rFonts w:ascii="Times New Roman" w:hAnsi="Times New Roman"/>
          <w:b w:val="0"/>
          <w:i w:val="0"/>
          <w:sz w:val="22"/>
        </w:rPr>
        <w:t xml:space="preserve">, </w:t>
      </w:r>
      <w:r>
        <w:rPr>
          <w:rFonts w:ascii="Times New Roman" w:hAnsi="Times New Roman"/>
          <w:b w:val="0"/>
          <w:i/>
          <w:sz w:val="22"/>
        </w:rPr>
        <w:t>10</w:t>
      </w:r>
      <w:r>
        <w:rPr>
          <w:rFonts w:ascii="Times New Roman" w:hAnsi="Times New Roman"/>
          <w:b w:val="0"/>
          <w:i w:val="0"/>
          <w:sz w:val="22"/>
        </w:rPr>
        <w:t>(3), 163–176. https://doi.org/10.1057/palgrave.crr.1550049</w:t>
      </w:r>
    </w:p>
    <w:p>
      <w:pPr>
        <w:spacing w:line="360" w:lineRule="auto" w:after="60"/>
        <w:ind w:left="720" w:hanging="720"/>
      </w:pPr>
      <w:r>
        <w:rPr>
          <w:rFonts w:ascii="Times New Roman" w:hAnsi="Times New Roman"/>
          <w:b w:val="0"/>
          <w:i w:val="0"/>
          <w:sz w:val="22"/>
        </w:rPr>
        <w:t xml:space="preserve">Cresci, S., Di Pietro, R., Petrocchi, M., Spognardi, A., &amp; Tesconi, M. (2017). The paradigm-shift of social spambots: Evidence, theories, and tools for the arms race. </w:t>
      </w:r>
      <w:r>
        <w:rPr>
          <w:rFonts w:ascii="Times New Roman" w:hAnsi="Times New Roman"/>
          <w:b w:val="0"/>
          <w:i/>
          <w:sz w:val="22"/>
        </w:rPr>
        <w:t>Proceedings of WWW 2017</w:t>
      </w:r>
      <w:r>
        <w:rPr>
          <w:rFonts w:ascii="Times New Roman" w:hAnsi="Times New Roman"/>
          <w:b w:val="0"/>
          <w:i w:val="0"/>
          <w:sz w:val="22"/>
        </w:rPr>
        <w:t>, 963–972. https://doi.org/10.1145/3041021.3055135</w:t>
      </w:r>
    </w:p>
    <w:p>
      <w:pPr>
        <w:spacing w:line="360" w:lineRule="auto" w:after="60"/>
        <w:ind w:left="720" w:hanging="720"/>
      </w:pPr>
      <w:r>
        <w:rPr>
          <w:rFonts w:ascii="Times New Roman" w:hAnsi="Times New Roman"/>
          <w:b w:val="0"/>
          <w:i w:val="0"/>
          <w:sz w:val="22"/>
        </w:rPr>
        <w:t xml:space="preserve">Dredze, M., Paul, M. J., Bergsma, S., &amp; Tran, H. (2016). Carmen: A Twitter geolocation system with applications to public health. </w:t>
      </w:r>
      <w:r>
        <w:rPr>
          <w:rFonts w:ascii="Times New Roman" w:hAnsi="Times New Roman"/>
          <w:b w:val="0"/>
          <w:i/>
          <w:sz w:val="22"/>
        </w:rPr>
        <w:t>Journal of Artificial Intelligence Research</w:t>
      </w:r>
      <w:r>
        <w:rPr>
          <w:rFonts w:ascii="Times New Roman" w:hAnsi="Times New Roman"/>
          <w:b w:val="0"/>
          <w:i w:val="0"/>
          <w:sz w:val="22"/>
        </w:rPr>
        <w:t xml:space="preserve">, </w:t>
      </w:r>
      <w:r>
        <w:rPr>
          <w:rFonts w:ascii="Times New Roman" w:hAnsi="Times New Roman"/>
          <w:b w:val="0"/>
          <w:i/>
          <w:sz w:val="22"/>
        </w:rPr>
        <w:t>55</w:t>
      </w:r>
      <w:r>
        <w:rPr>
          <w:rFonts w:ascii="Times New Roman" w:hAnsi="Times New Roman"/>
          <w:b w:val="0"/>
          <w:i w:val="0"/>
          <w:sz w:val="22"/>
        </w:rPr>
        <w:t>, 871–897. https://doi.org/10.1613/jair.4998</w:t>
      </w:r>
    </w:p>
    <w:p>
      <w:pPr>
        <w:spacing w:line="360" w:lineRule="auto" w:after="60"/>
        <w:ind w:left="720" w:hanging="720"/>
      </w:pPr>
      <w:r>
        <w:rPr>
          <w:rFonts w:ascii="Times New Roman" w:hAnsi="Times New Roman"/>
          <w:b w:val="0"/>
          <w:i w:val="0"/>
          <w:sz w:val="22"/>
        </w:rPr>
        <w:t xml:space="preserve">Dresner, E., &amp; Herring, S. C. (2010). Functions of the nonverbal in CMC: Emoticons and illocutionary force. </w:t>
      </w:r>
      <w:r>
        <w:rPr>
          <w:rFonts w:ascii="Times New Roman" w:hAnsi="Times New Roman"/>
          <w:b w:val="0"/>
          <w:i/>
          <w:sz w:val="22"/>
        </w:rPr>
        <w:t>Communication Theory</w:t>
      </w:r>
      <w:r>
        <w:rPr>
          <w:rFonts w:ascii="Times New Roman" w:hAnsi="Times New Roman"/>
          <w:b w:val="0"/>
          <w:i w:val="0"/>
          <w:sz w:val="22"/>
        </w:rPr>
        <w:t xml:space="preserve">, </w:t>
      </w:r>
      <w:r>
        <w:rPr>
          <w:rFonts w:ascii="Times New Roman" w:hAnsi="Times New Roman"/>
          <w:b w:val="0"/>
          <w:i/>
          <w:sz w:val="22"/>
        </w:rPr>
        <w:t>20</w:t>
      </w:r>
      <w:r>
        <w:rPr>
          <w:rFonts w:ascii="Times New Roman" w:hAnsi="Times New Roman"/>
          <w:b w:val="0"/>
          <w:i w:val="0"/>
          <w:sz w:val="22"/>
        </w:rPr>
        <w:t>(3), 249–268. https://doi.org/10.1111/j.1468-2885.2010.01362.x</w:t>
      </w:r>
    </w:p>
    <w:p>
      <w:pPr>
        <w:spacing w:line="360" w:lineRule="auto" w:after="60"/>
        <w:ind w:left="720" w:hanging="720"/>
      </w:pPr>
      <w:r>
        <w:rPr>
          <w:rFonts w:ascii="Times New Roman" w:hAnsi="Times New Roman"/>
          <w:b w:val="0"/>
          <w:i w:val="0"/>
          <w:sz w:val="22"/>
        </w:rPr>
        <w:t xml:space="preserve">Edelman, M. (1964). </w:t>
      </w:r>
      <w:r>
        <w:rPr>
          <w:rFonts w:ascii="Times New Roman" w:hAnsi="Times New Roman"/>
          <w:b w:val="0"/>
          <w:i/>
          <w:sz w:val="22"/>
        </w:rPr>
        <w:t>The symbolic uses of politics</w:t>
      </w:r>
      <w:r>
        <w:rPr>
          <w:rFonts w:ascii="Times New Roman" w:hAnsi="Times New Roman"/>
          <w:b w:val="0"/>
          <w:i w:val="0"/>
          <w:sz w:val="22"/>
        </w:rPr>
        <w:t>. University of Illinois Press.</w:t>
      </w:r>
    </w:p>
    <w:p>
      <w:pPr>
        <w:spacing w:line="360" w:lineRule="auto" w:after="60"/>
        <w:ind w:left="720" w:hanging="720"/>
      </w:pPr>
      <w:r>
        <w:rPr>
          <w:rFonts w:ascii="Times New Roman" w:hAnsi="Times New Roman"/>
          <w:b w:val="0"/>
          <w:i w:val="0"/>
          <w:sz w:val="22"/>
        </w:rPr>
        <w:t xml:space="preserve">Edwards, C., Edwards, A., Spence, P. R., &amp; Shelton, A. K. (2014). Is that a bot running the social media feed? Testing the differences in perceptions of communication quality and credibility of human and bot agents. </w:t>
      </w:r>
      <w:r>
        <w:rPr>
          <w:rFonts w:ascii="Times New Roman" w:hAnsi="Times New Roman"/>
          <w:b w:val="0"/>
          <w:i/>
          <w:sz w:val="22"/>
        </w:rPr>
        <w:t>Computers in Human Behavior</w:t>
      </w:r>
      <w:r>
        <w:rPr>
          <w:rFonts w:ascii="Times New Roman" w:hAnsi="Times New Roman"/>
          <w:b w:val="0"/>
          <w:i w:val="0"/>
          <w:sz w:val="22"/>
        </w:rPr>
        <w:t xml:space="preserve">, </w:t>
      </w:r>
      <w:r>
        <w:rPr>
          <w:rFonts w:ascii="Times New Roman" w:hAnsi="Times New Roman"/>
          <w:b w:val="0"/>
          <w:i/>
          <w:sz w:val="22"/>
        </w:rPr>
        <w:t>33</w:t>
      </w:r>
      <w:r>
        <w:rPr>
          <w:rFonts w:ascii="Times New Roman" w:hAnsi="Times New Roman"/>
          <w:b w:val="0"/>
          <w:i w:val="0"/>
          <w:sz w:val="22"/>
        </w:rPr>
        <w:t>, 372–376. https://doi.org/10.1016/j.chb.2013.08.013</w:t>
      </w:r>
    </w:p>
    <w:p>
      <w:pPr>
        <w:spacing w:line="360" w:lineRule="auto" w:after="60"/>
        <w:ind w:left="720" w:hanging="720"/>
      </w:pPr>
      <w:r>
        <w:rPr>
          <w:rFonts w:ascii="Times New Roman" w:hAnsi="Times New Roman"/>
          <w:b w:val="0"/>
          <w:i w:val="0"/>
          <w:sz w:val="22"/>
        </w:rPr>
        <w:t xml:space="preserve">Ekman, P. (1992). An argument for basic emotions. </w:t>
      </w:r>
      <w:r>
        <w:rPr>
          <w:rFonts w:ascii="Times New Roman" w:hAnsi="Times New Roman"/>
          <w:b w:val="0"/>
          <w:i/>
          <w:sz w:val="22"/>
        </w:rPr>
        <w:t>Cognition &amp; Emotion</w:t>
      </w:r>
      <w:r>
        <w:rPr>
          <w:rFonts w:ascii="Times New Roman" w:hAnsi="Times New Roman"/>
          <w:b w:val="0"/>
          <w:i w:val="0"/>
          <w:sz w:val="22"/>
        </w:rPr>
        <w:t xml:space="preserve">, </w:t>
      </w:r>
      <w:r>
        <w:rPr>
          <w:rFonts w:ascii="Times New Roman" w:hAnsi="Times New Roman"/>
          <w:b w:val="0"/>
          <w:i/>
          <w:sz w:val="22"/>
        </w:rPr>
        <w:t>6</w:t>
      </w:r>
      <w:r>
        <w:rPr>
          <w:rFonts w:ascii="Times New Roman" w:hAnsi="Times New Roman"/>
          <w:b w:val="0"/>
          <w:i w:val="0"/>
          <w:sz w:val="22"/>
        </w:rPr>
        <w:t>(3–4), 169–200. https://doi.org/10.1080/02699939208411068</w:t>
      </w:r>
    </w:p>
    <w:p>
      <w:pPr>
        <w:spacing w:line="360" w:lineRule="auto" w:after="60"/>
        <w:ind w:left="720" w:hanging="720"/>
      </w:pPr>
      <w:r>
        <w:rPr>
          <w:rFonts w:ascii="Times New Roman" w:hAnsi="Times New Roman"/>
          <w:b w:val="0"/>
          <w:i w:val="0"/>
          <w:sz w:val="22"/>
        </w:rPr>
        <w:t xml:space="preserve">Ferrara, E., Varol, O., Davis, C., Menczer, F., &amp; Flammini, A. (2016). The rise of social bots. </w:t>
      </w:r>
      <w:r>
        <w:rPr>
          <w:rFonts w:ascii="Times New Roman" w:hAnsi="Times New Roman"/>
          <w:b w:val="0"/>
          <w:i/>
          <w:sz w:val="22"/>
        </w:rPr>
        <w:t>Communications of the ACM</w:t>
      </w:r>
      <w:r>
        <w:rPr>
          <w:rFonts w:ascii="Times New Roman" w:hAnsi="Times New Roman"/>
          <w:b w:val="0"/>
          <w:i w:val="0"/>
          <w:sz w:val="22"/>
        </w:rPr>
        <w:t xml:space="preserve">, </w:t>
      </w:r>
      <w:r>
        <w:rPr>
          <w:rFonts w:ascii="Times New Roman" w:hAnsi="Times New Roman"/>
          <w:b w:val="0"/>
          <w:i/>
          <w:sz w:val="22"/>
        </w:rPr>
        <w:t>59</w:t>
      </w:r>
      <w:r>
        <w:rPr>
          <w:rFonts w:ascii="Times New Roman" w:hAnsi="Times New Roman"/>
          <w:b w:val="0"/>
          <w:i w:val="0"/>
          <w:sz w:val="22"/>
        </w:rPr>
        <w:t>(7), 96–104. https://doi.org/10.1145/2818717</w:t>
      </w:r>
    </w:p>
    <w:p>
      <w:pPr>
        <w:spacing w:line="360" w:lineRule="auto" w:after="60"/>
        <w:ind w:left="720" w:hanging="720"/>
      </w:pPr>
      <w:r>
        <w:rPr>
          <w:rFonts w:ascii="Times New Roman" w:hAnsi="Times New Roman"/>
          <w:b w:val="0"/>
          <w:i w:val="0"/>
          <w:sz w:val="22"/>
        </w:rPr>
        <w:t xml:space="preserve">Franzke, A. S., Bechmann, A., Zimmer, M., Ess, C., &amp; Association of Internet Researchers. (2020). </w:t>
      </w:r>
      <w:r>
        <w:rPr>
          <w:rFonts w:ascii="Times New Roman" w:hAnsi="Times New Roman"/>
          <w:b w:val="0"/>
          <w:i/>
          <w:sz w:val="22"/>
        </w:rPr>
        <w:t>Internet research: Ethical guidelines 3.0</w:t>
      </w:r>
      <w:r>
        <w:rPr>
          <w:rFonts w:ascii="Times New Roman" w:hAnsi="Times New Roman"/>
          <w:b w:val="0"/>
          <w:i w:val="0"/>
          <w:sz w:val="22"/>
        </w:rPr>
        <w:t>. Association of Internet Researchers. https://aoir.org/reports/ethics3.pdf</w:t>
      </w:r>
    </w:p>
    <w:p>
      <w:pPr>
        <w:spacing w:line="360" w:lineRule="auto" w:after="60"/>
        <w:ind w:left="720" w:hanging="720"/>
      </w:pPr>
      <w:r>
        <w:rPr>
          <w:rFonts w:ascii="Times New Roman" w:hAnsi="Times New Roman"/>
          <w:b w:val="0"/>
          <w:i w:val="0"/>
          <w:sz w:val="22"/>
        </w:rPr>
        <w:t xml:space="preserve">Gelernter, J., &amp; Balaji, S. (2013). An algorithm for localizing disaster events from social media. </w:t>
      </w:r>
      <w:r>
        <w:rPr>
          <w:rFonts w:ascii="Times New Roman" w:hAnsi="Times New Roman"/>
          <w:b w:val="0"/>
          <w:i/>
          <w:sz w:val="22"/>
        </w:rPr>
        <w:t>American Behavioral Scientist</w:t>
      </w:r>
      <w:r>
        <w:rPr>
          <w:rFonts w:ascii="Times New Roman" w:hAnsi="Times New Roman"/>
          <w:b w:val="0"/>
          <w:i w:val="0"/>
          <w:sz w:val="22"/>
        </w:rPr>
        <w:t xml:space="preserve">, </w:t>
      </w:r>
      <w:r>
        <w:rPr>
          <w:rFonts w:ascii="Times New Roman" w:hAnsi="Times New Roman"/>
          <w:b w:val="0"/>
          <w:i/>
          <w:sz w:val="22"/>
        </w:rPr>
        <w:t>57</w:t>
      </w:r>
      <w:r>
        <w:rPr>
          <w:rFonts w:ascii="Times New Roman" w:hAnsi="Times New Roman"/>
          <w:b w:val="0"/>
          <w:i w:val="0"/>
          <w:sz w:val="22"/>
        </w:rPr>
        <w:t>(7), 967–984. https://doi.org/10.1177/0002764213483944</w:t>
      </w:r>
    </w:p>
    <w:p>
      <w:pPr>
        <w:spacing w:line="360" w:lineRule="auto" w:after="60"/>
        <w:ind w:left="720" w:hanging="720"/>
      </w:pPr>
      <w:r>
        <w:rPr>
          <w:rFonts w:ascii="Times New Roman" w:hAnsi="Times New Roman"/>
          <w:b w:val="0"/>
          <w:i w:val="0"/>
          <w:sz w:val="22"/>
        </w:rPr>
        <w:t xml:space="preserve">Giglietto, V., Righetti, N., Rossi, L., &amp; Marino, G. (2020). It takes a village to manipulate the media: Coordinated inauthentic behavior on social media. </w:t>
      </w:r>
      <w:r>
        <w:rPr>
          <w:rFonts w:ascii="Times New Roman" w:hAnsi="Times New Roman"/>
          <w:b w:val="0"/>
          <w:i/>
          <w:sz w:val="22"/>
        </w:rPr>
        <w:t>Information, Communication &amp; Society</w:t>
      </w:r>
      <w:r>
        <w:rPr>
          <w:rFonts w:ascii="Times New Roman" w:hAnsi="Times New Roman"/>
          <w:b w:val="0"/>
          <w:i w:val="0"/>
          <w:sz w:val="22"/>
        </w:rPr>
        <w:t xml:space="preserve">, </w:t>
      </w:r>
      <w:r>
        <w:rPr>
          <w:rFonts w:ascii="Times New Roman" w:hAnsi="Times New Roman"/>
          <w:b w:val="0"/>
          <w:i/>
          <w:sz w:val="22"/>
        </w:rPr>
        <w:t>23</w:t>
      </w:r>
      <w:r>
        <w:rPr>
          <w:rFonts w:ascii="Times New Roman" w:hAnsi="Times New Roman"/>
          <w:b w:val="0"/>
          <w:i w:val="0"/>
          <w:sz w:val="22"/>
        </w:rPr>
        <w:t>(6), 867–891. https://doi.org/10.1080/1369118X.2020.1739732</w:t>
      </w:r>
    </w:p>
    <w:p>
      <w:pPr>
        <w:spacing w:line="360" w:lineRule="auto" w:after="60"/>
        <w:ind w:left="720" w:hanging="720"/>
      </w:pPr>
      <w:r>
        <w:rPr>
          <w:rFonts w:ascii="Times New Roman" w:hAnsi="Times New Roman"/>
          <w:b w:val="0"/>
          <w:i w:val="0"/>
          <w:sz w:val="22"/>
        </w:rPr>
        <w:t xml:space="preserve">Grice, H. P. (1975). Logic and conversation. In P. Cole &amp; J. L. Morgan (Eds.), </w:t>
      </w:r>
      <w:r>
        <w:rPr>
          <w:rFonts w:ascii="Times New Roman" w:hAnsi="Times New Roman"/>
          <w:b w:val="0"/>
          <w:i/>
          <w:sz w:val="22"/>
        </w:rPr>
        <w:t>Syntax and semantics 3: Speech acts</w:t>
      </w:r>
      <w:r>
        <w:rPr>
          <w:rFonts w:ascii="Times New Roman" w:hAnsi="Times New Roman"/>
          <w:b w:val="0"/>
          <w:i w:val="0"/>
          <w:sz w:val="22"/>
        </w:rPr>
        <w:t xml:space="preserve"> (pp. 41–58). Academic Press. https://doi.org/10.1163/9789004368811_003</w:t>
      </w:r>
    </w:p>
    <w:p>
      <w:pPr>
        <w:spacing w:line="360" w:lineRule="auto" w:after="60"/>
        <w:ind w:left="720" w:hanging="720"/>
      </w:pPr>
      <w:r>
        <w:rPr>
          <w:rFonts w:ascii="Times New Roman" w:hAnsi="Times New Roman"/>
          <w:b w:val="0"/>
          <w:i w:val="0"/>
          <w:sz w:val="22"/>
        </w:rPr>
        <w:t xml:space="preserve">Gutierrez, R., &amp; Giner-Sorolla, R. (2007). Anger, disgust, and presumption of harm as reactions to taboo-breaking behaviors. </w:t>
      </w:r>
      <w:r>
        <w:rPr>
          <w:rFonts w:ascii="Times New Roman" w:hAnsi="Times New Roman"/>
          <w:b w:val="0"/>
          <w:i/>
          <w:sz w:val="22"/>
        </w:rPr>
        <w:t>Emotion</w:t>
      </w:r>
      <w:r>
        <w:rPr>
          <w:rFonts w:ascii="Times New Roman" w:hAnsi="Times New Roman"/>
          <w:b w:val="0"/>
          <w:i w:val="0"/>
          <w:sz w:val="22"/>
        </w:rPr>
        <w:t xml:space="preserve">, </w:t>
      </w:r>
      <w:r>
        <w:rPr>
          <w:rFonts w:ascii="Times New Roman" w:hAnsi="Times New Roman"/>
          <w:b w:val="0"/>
          <w:i/>
          <w:sz w:val="22"/>
        </w:rPr>
        <w:t>7</w:t>
      </w:r>
      <w:r>
        <w:rPr>
          <w:rFonts w:ascii="Times New Roman" w:hAnsi="Times New Roman"/>
          <w:b w:val="0"/>
          <w:i w:val="0"/>
          <w:sz w:val="22"/>
        </w:rPr>
        <w:t>(4), 853–868. https://doi.org/10.1037/1528-3542.7.4.853</w:t>
      </w:r>
    </w:p>
    <w:p>
      <w:pPr>
        <w:spacing w:line="360" w:lineRule="auto" w:after="60"/>
        <w:ind w:left="720" w:hanging="720"/>
      </w:pPr>
      <w:r>
        <w:rPr>
          <w:rFonts w:ascii="Times New Roman" w:hAnsi="Times New Roman"/>
          <w:b w:val="0"/>
          <w:i w:val="0"/>
          <w:sz w:val="22"/>
        </w:rPr>
        <w:t xml:space="preserve">Guzman, A. L., &amp; Lewis, S. C. (2020). Artificial intelligence and communication: A Human–Machine Communication research agenda. </w:t>
      </w:r>
      <w:r>
        <w:rPr>
          <w:rFonts w:ascii="Times New Roman" w:hAnsi="Times New Roman"/>
          <w:b w:val="0"/>
          <w:i/>
          <w:sz w:val="22"/>
        </w:rPr>
        <w:t>New Media &amp; Society</w:t>
      </w:r>
      <w:r>
        <w:rPr>
          <w:rFonts w:ascii="Times New Roman" w:hAnsi="Times New Roman"/>
          <w:b w:val="0"/>
          <w:i w:val="0"/>
          <w:sz w:val="22"/>
        </w:rPr>
        <w:t xml:space="preserve">, </w:t>
      </w:r>
      <w:r>
        <w:rPr>
          <w:rFonts w:ascii="Times New Roman" w:hAnsi="Times New Roman"/>
          <w:b w:val="0"/>
          <w:i/>
          <w:sz w:val="22"/>
        </w:rPr>
        <w:t>22</w:t>
      </w:r>
      <w:r>
        <w:rPr>
          <w:rFonts w:ascii="Times New Roman" w:hAnsi="Times New Roman"/>
          <w:b w:val="0"/>
          <w:i w:val="0"/>
          <w:sz w:val="22"/>
        </w:rPr>
        <w:t>(1), 70–86. https://doi.org/10.1177/1461444819858691</w:t>
      </w:r>
    </w:p>
    <w:p>
      <w:pPr>
        <w:spacing w:line="360" w:lineRule="auto" w:after="60"/>
        <w:ind w:left="720" w:hanging="720"/>
      </w:pPr>
      <w:r>
        <w:rPr>
          <w:rFonts w:ascii="Times New Roman" w:hAnsi="Times New Roman"/>
          <w:b w:val="0"/>
          <w:i w:val="0"/>
          <w:sz w:val="22"/>
        </w:rPr>
        <w:t xml:space="preserve">Habermas, J. (1989). </w:t>
      </w:r>
      <w:r>
        <w:rPr>
          <w:rFonts w:ascii="Times New Roman" w:hAnsi="Times New Roman"/>
          <w:b w:val="0"/>
          <w:i/>
          <w:sz w:val="22"/>
        </w:rPr>
        <w:t>The structural transformation of the public sphere</w:t>
      </w:r>
      <w:r>
        <w:rPr>
          <w:rFonts w:ascii="Times New Roman" w:hAnsi="Times New Roman"/>
          <w:b w:val="0"/>
          <w:i w:val="0"/>
          <w:sz w:val="22"/>
        </w:rPr>
        <w:t>. MIT Press.</w:t>
      </w:r>
    </w:p>
    <w:p>
      <w:pPr>
        <w:spacing w:line="360" w:lineRule="auto" w:after="60"/>
        <w:ind w:left="720" w:hanging="720"/>
      </w:pPr>
      <w:r>
        <w:rPr>
          <w:rFonts w:ascii="Times New Roman" w:hAnsi="Times New Roman"/>
          <w:b w:val="0"/>
          <w:i w:val="0"/>
          <w:sz w:val="22"/>
        </w:rPr>
        <w:t xml:space="preserve">Keller, F. B., Schoch, D., Stier, S., &amp; Yang, J. (2020). Political astroturfing on Twitter: How to identify and measure inauthentic coordination. </w:t>
      </w:r>
      <w:r>
        <w:rPr>
          <w:rFonts w:ascii="Times New Roman" w:hAnsi="Times New Roman"/>
          <w:b w:val="0"/>
          <w:i/>
          <w:sz w:val="22"/>
        </w:rPr>
        <w:t>Political Communication</w:t>
      </w:r>
      <w:r>
        <w:rPr>
          <w:rFonts w:ascii="Times New Roman" w:hAnsi="Times New Roman"/>
          <w:b w:val="0"/>
          <w:i w:val="0"/>
          <w:sz w:val="22"/>
        </w:rPr>
        <w:t xml:space="preserve">, </w:t>
      </w:r>
      <w:r>
        <w:rPr>
          <w:rFonts w:ascii="Times New Roman" w:hAnsi="Times New Roman"/>
          <w:b w:val="0"/>
          <w:i/>
          <w:sz w:val="22"/>
        </w:rPr>
        <w:t>37</w:t>
      </w:r>
      <w:r>
        <w:rPr>
          <w:rFonts w:ascii="Times New Roman" w:hAnsi="Times New Roman"/>
          <w:b w:val="0"/>
          <w:i w:val="0"/>
          <w:sz w:val="22"/>
        </w:rPr>
        <w:t>(2), 160–180. https://doi.org/10.1080/10584609.2019.1661888</w:t>
      </w:r>
    </w:p>
    <w:p>
      <w:pPr>
        <w:spacing w:line="360" w:lineRule="auto" w:after="60"/>
        <w:ind w:left="720" w:hanging="720"/>
      </w:pPr>
      <w:r>
        <w:rPr>
          <w:rFonts w:ascii="Times New Roman" w:hAnsi="Times New Roman"/>
          <w:b w:val="0"/>
          <w:i w:val="0"/>
          <w:sz w:val="22"/>
        </w:rPr>
        <w:t xml:space="preserve">Kotler, P., Kartajaya, H., &amp; Setiawan, I. (2023). </w:t>
      </w:r>
      <w:r>
        <w:rPr>
          <w:rFonts w:ascii="Times New Roman" w:hAnsi="Times New Roman"/>
          <w:b w:val="0"/>
          <w:i/>
          <w:sz w:val="22"/>
        </w:rPr>
        <w:t>Marketing 6.0: The future is immersive</w:t>
      </w:r>
      <w:r>
        <w:rPr>
          <w:rFonts w:ascii="Times New Roman" w:hAnsi="Times New Roman"/>
          <w:b w:val="0"/>
          <w:i w:val="0"/>
          <w:sz w:val="22"/>
        </w:rPr>
        <w:t>. John Wiley &amp; Sons.</w:t>
      </w:r>
    </w:p>
    <w:p>
      <w:pPr>
        <w:spacing w:line="360" w:lineRule="auto" w:after="60"/>
        <w:ind w:left="720" w:hanging="720"/>
      </w:pPr>
      <w:r>
        <w:rPr>
          <w:rFonts w:ascii="Times New Roman" w:hAnsi="Times New Roman"/>
          <w:b w:val="0"/>
          <w:i w:val="0"/>
          <w:sz w:val="22"/>
        </w:rPr>
        <w:t xml:space="preserve">Krivitsky, P. N., &amp; Handcock, M. S. (2014). A separable model for dynamic networks via STERGM. </w:t>
      </w:r>
      <w:r>
        <w:rPr>
          <w:rFonts w:ascii="Times New Roman" w:hAnsi="Times New Roman"/>
          <w:b w:val="0"/>
          <w:i/>
          <w:sz w:val="22"/>
        </w:rPr>
        <w:t>Journal of the Royal Statistical Society: Series B</w:t>
      </w:r>
      <w:r>
        <w:rPr>
          <w:rFonts w:ascii="Times New Roman" w:hAnsi="Times New Roman"/>
          <w:b w:val="0"/>
          <w:i w:val="0"/>
          <w:sz w:val="22"/>
        </w:rPr>
        <w:t xml:space="preserve">, </w:t>
      </w:r>
      <w:r>
        <w:rPr>
          <w:rFonts w:ascii="Times New Roman" w:hAnsi="Times New Roman"/>
          <w:b w:val="0"/>
          <w:i/>
          <w:sz w:val="22"/>
        </w:rPr>
        <w:t>76</w:t>
      </w:r>
      <w:r>
        <w:rPr>
          <w:rFonts w:ascii="Times New Roman" w:hAnsi="Times New Roman"/>
          <w:b w:val="0"/>
          <w:i w:val="0"/>
          <w:sz w:val="22"/>
        </w:rPr>
        <w:t>(1), 29–46. https://doi.org/10.1111/rssb.12014</w:t>
      </w:r>
    </w:p>
    <w:p>
      <w:pPr>
        <w:spacing w:line="360" w:lineRule="auto" w:after="60"/>
        <w:ind w:left="720" w:hanging="720"/>
      </w:pPr>
      <w:r>
        <w:rPr>
          <w:rFonts w:ascii="Times New Roman" w:hAnsi="Times New Roman"/>
          <w:b w:val="0"/>
          <w:i w:val="0"/>
          <w:sz w:val="22"/>
        </w:rPr>
        <w:t xml:space="preserve">Koto, F., Rahimi, A., Lau, J. H., &amp; Baldwin, T. (2020). IndoLEM and IndoBERT: A benchmark dataset and pre-trained language model for Indonesian NLP. </w:t>
      </w:r>
      <w:r>
        <w:rPr>
          <w:rFonts w:ascii="Times New Roman" w:hAnsi="Times New Roman"/>
          <w:b w:val="0"/>
          <w:i/>
          <w:sz w:val="22"/>
        </w:rPr>
        <w:t>Proceedings of the 28th International Conference on Computational Linguistics</w:t>
      </w:r>
      <w:r>
        <w:rPr>
          <w:rFonts w:ascii="Times New Roman" w:hAnsi="Times New Roman"/>
          <w:b w:val="0"/>
          <w:i w:val="0"/>
          <w:sz w:val="22"/>
        </w:rPr>
        <w:t>, 757–770. https://doi.org/10.18653/v1/2020.coling-main.66</w:t>
      </w:r>
    </w:p>
    <w:p>
      <w:pPr>
        <w:spacing w:line="360" w:lineRule="auto" w:after="60"/>
        <w:ind w:left="720" w:hanging="720"/>
      </w:pPr>
      <w:r>
        <w:rPr>
          <w:rFonts w:ascii="Times New Roman" w:hAnsi="Times New Roman"/>
          <w:b w:val="0"/>
          <w:i w:val="0"/>
          <w:sz w:val="22"/>
        </w:rPr>
        <w:t xml:space="preserve">Lazer, D. M., Pentland, A., Watts, D. J., Aral, S., Athey, S., Contractor, N., Freelon, D., Gonzalez-Bailon, S., King, G., Margetts, H., Moghadam, A., Nelson, B., Salganik, M. J., Strohmaier, M., Vespignani, A., &amp; Wagner, C. (2020). Computational social science: Obstacles and opportunities. </w:t>
      </w:r>
      <w:r>
        <w:rPr>
          <w:rFonts w:ascii="Times New Roman" w:hAnsi="Times New Roman"/>
          <w:b w:val="0"/>
          <w:i/>
          <w:sz w:val="22"/>
        </w:rPr>
        <w:t>Science</w:t>
      </w:r>
      <w:r>
        <w:rPr>
          <w:rFonts w:ascii="Times New Roman" w:hAnsi="Times New Roman"/>
          <w:b w:val="0"/>
          <w:i w:val="0"/>
          <w:sz w:val="22"/>
        </w:rPr>
        <w:t xml:space="preserve">, </w:t>
      </w:r>
      <w:r>
        <w:rPr>
          <w:rFonts w:ascii="Times New Roman" w:hAnsi="Times New Roman"/>
          <w:b w:val="0"/>
          <w:i/>
          <w:sz w:val="22"/>
        </w:rPr>
        <w:t>369</w:t>
      </w:r>
      <w:r>
        <w:rPr>
          <w:rFonts w:ascii="Times New Roman" w:hAnsi="Times New Roman"/>
          <w:b w:val="0"/>
          <w:i w:val="0"/>
          <w:sz w:val="22"/>
        </w:rPr>
        <w:t>(6507), 1060–1062. https://doi.org/10.1126/science.aaz8170</w:t>
      </w:r>
    </w:p>
    <w:p>
      <w:pPr>
        <w:spacing w:line="360" w:lineRule="auto" w:after="60"/>
        <w:ind w:left="720" w:hanging="720"/>
      </w:pPr>
      <w:r>
        <w:rPr>
          <w:rFonts w:ascii="Times New Roman" w:hAnsi="Times New Roman"/>
          <w:b w:val="0"/>
          <w:i w:val="0"/>
          <w:sz w:val="22"/>
        </w:rPr>
        <w:t xml:space="preserve">Marwick, A. E., &amp; boyd, d. (2011). I tweet honestly, I tweet passionately: Twitter users, context collapse, and the imagined audience. </w:t>
      </w:r>
      <w:r>
        <w:rPr>
          <w:rFonts w:ascii="Times New Roman" w:hAnsi="Times New Roman"/>
          <w:b w:val="0"/>
          <w:i/>
          <w:sz w:val="22"/>
        </w:rPr>
        <w:t>New Media &amp; Society</w:t>
      </w:r>
      <w:r>
        <w:rPr>
          <w:rFonts w:ascii="Times New Roman" w:hAnsi="Times New Roman"/>
          <w:b w:val="0"/>
          <w:i w:val="0"/>
          <w:sz w:val="22"/>
        </w:rPr>
        <w:t xml:space="preserve">, </w:t>
      </w:r>
      <w:r>
        <w:rPr>
          <w:rFonts w:ascii="Times New Roman" w:hAnsi="Times New Roman"/>
          <w:b w:val="0"/>
          <w:i/>
          <w:sz w:val="22"/>
        </w:rPr>
        <w:t>13</w:t>
      </w:r>
      <w:r>
        <w:rPr>
          <w:rFonts w:ascii="Times New Roman" w:hAnsi="Times New Roman"/>
          <w:b w:val="0"/>
          <w:i w:val="0"/>
          <w:sz w:val="22"/>
        </w:rPr>
        <w:t>(1), 114–133. https://doi.org/10.1177/1461444810365313</w:t>
      </w:r>
    </w:p>
    <w:p>
      <w:pPr>
        <w:spacing w:line="360" w:lineRule="auto" w:after="60"/>
        <w:ind w:left="720" w:hanging="720"/>
      </w:pPr>
      <w:r>
        <w:rPr>
          <w:rFonts w:ascii="Times New Roman" w:hAnsi="Times New Roman"/>
          <w:b w:val="0"/>
          <w:i w:val="0"/>
          <w:sz w:val="22"/>
        </w:rPr>
        <w:t xml:space="preserve">Milan, S. (2013). </w:t>
      </w:r>
      <w:r>
        <w:rPr>
          <w:rFonts w:ascii="Times New Roman" w:hAnsi="Times New Roman"/>
          <w:b w:val="0"/>
          <w:i/>
          <w:sz w:val="22"/>
        </w:rPr>
        <w:t>Social movements and their technologies: Wiring social change</w:t>
      </w:r>
      <w:r>
        <w:rPr>
          <w:rFonts w:ascii="Times New Roman" w:hAnsi="Times New Roman"/>
          <w:b w:val="0"/>
          <w:i w:val="0"/>
          <w:sz w:val="22"/>
        </w:rPr>
        <w:t>. Palgrave Macmillan. https://doi.org/10.1057/9781137314444</w:t>
      </w:r>
    </w:p>
    <w:p>
      <w:pPr>
        <w:spacing w:line="360" w:lineRule="auto" w:after="60"/>
        <w:ind w:left="720" w:hanging="720"/>
      </w:pPr>
      <w:r>
        <w:rPr>
          <w:rFonts w:ascii="Times New Roman" w:hAnsi="Times New Roman"/>
          <w:b w:val="0"/>
          <w:i w:val="0"/>
          <w:sz w:val="22"/>
        </w:rPr>
        <w:t xml:space="preserve">Papacharissi, Z. (2015). </w:t>
      </w:r>
      <w:r>
        <w:rPr>
          <w:rFonts w:ascii="Times New Roman" w:hAnsi="Times New Roman"/>
          <w:b w:val="0"/>
          <w:i/>
          <w:sz w:val="22"/>
        </w:rPr>
        <w:t>Affective publics: Sentiment, technology, and politics</w:t>
      </w:r>
      <w:r>
        <w:rPr>
          <w:rFonts w:ascii="Times New Roman" w:hAnsi="Times New Roman"/>
          <w:b w:val="0"/>
          <w:i w:val="0"/>
          <w:sz w:val="22"/>
        </w:rPr>
        <w:t>. Oxford University Press. https://doi.org/10.1093/acprof:oso/9780199999736.001.0001</w:t>
      </w:r>
    </w:p>
    <w:p>
      <w:pPr>
        <w:spacing w:line="360" w:lineRule="auto" w:after="60"/>
        <w:ind w:left="720" w:hanging="720"/>
      </w:pPr>
      <w:r>
        <w:rPr>
          <w:rFonts w:ascii="Times New Roman" w:hAnsi="Times New Roman"/>
          <w:b w:val="0"/>
          <w:i w:val="0"/>
          <w:sz w:val="22"/>
        </w:rPr>
        <w:t xml:space="preserve">Papacharissi, Z. (2016). Affective publics and structures of storytelling: Sentiment, events and connectivity. </w:t>
      </w:r>
      <w:r>
        <w:rPr>
          <w:rFonts w:ascii="Times New Roman" w:hAnsi="Times New Roman"/>
          <w:b w:val="0"/>
          <w:i/>
          <w:sz w:val="22"/>
        </w:rPr>
        <w:t>Information, Communication &amp; Society</w:t>
      </w:r>
      <w:r>
        <w:rPr>
          <w:rFonts w:ascii="Times New Roman" w:hAnsi="Times New Roman"/>
          <w:b w:val="0"/>
          <w:i w:val="0"/>
          <w:sz w:val="22"/>
        </w:rPr>
        <w:t xml:space="preserve">, </w:t>
      </w:r>
      <w:r>
        <w:rPr>
          <w:rFonts w:ascii="Times New Roman" w:hAnsi="Times New Roman"/>
          <w:b w:val="0"/>
          <w:i/>
          <w:sz w:val="22"/>
        </w:rPr>
        <w:t>19</w:t>
      </w:r>
      <w:r>
        <w:rPr>
          <w:rFonts w:ascii="Times New Roman" w:hAnsi="Times New Roman"/>
          <w:b w:val="0"/>
          <w:i w:val="0"/>
          <w:sz w:val="22"/>
        </w:rPr>
        <w:t>(3), 307–324. https://doi.org/10.1080/1369118X.2015.1109697</w:t>
      </w:r>
    </w:p>
    <w:p>
      <w:pPr>
        <w:spacing w:line="360" w:lineRule="auto" w:after="60"/>
        <w:ind w:left="720" w:hanging="720"/>
      </w:pPr>
      <w:r>
        <w:rPr>
          <w:rFonts w:ascii="Times New Roman" w:hAnsi="Times New Roman"/>
          <w:b w:val="0"/>
          <w:i w:val="0"/>
          <w:sz w:val="22"/>
        </w:rPr>
        <w:t xml:space="preserve">Plutchik, R. (1980). A general psychoevolutionary theory of emotion. In R. Plutchik &amp; H. Kellerman (Eds.), </w:t>
      </w:r>
      <w:r>
        <w:rPr>
          <w:rFonts w:ascii="Times New Roman" w:hAnsi="Times New Roman"/>
          <w:b w:val="0"/>
          <w:i/>
          <w:sz w:val="22"/>
        </w:rPr>
        <w:t>Theories of emotion</w:t>
      </w:r>
      <w:r>
        <w:rPr>
          <w:rFonts w:ascii="Times New Roman" w:hAnsi="Times New Roman"/>
          <w:b w:val="0"/>
          <w:i w:val="0"/>
          <w:sz w:val="22"/>
        </w:rPr>
        <w:t xml:space="preserve"> (pp. 3–33). Academic Press. https://doi.org/10.1016/B978-0-12-558701-3.50007-7</w:t>
      </w:r>
    </w:p>
    <w:p>
      <w:pPr>
        <w:spacing w:line="360" w:lineRule="auto" w:after="60"/>
        <w:ind w:left="720" w:hanging="720"/>
      </w:pPr>
      <w:r>
        <w:rPr>
          <w:rFonts w:ascii="Times New Roman" w:hAnsi="Times New Roman"/>
          <w:b w:val="0"/>
          <w:i w:val="0"/>
          <w:sz w:val="22"/>
        </w:rPr>
        <w:t xml:space="preserve">Pontiki, M., Galanis, D., Papageorgiou, H., Androutsopoulos, I., Manandhar, S., Mohammad, A.-S., ... &amp; Eryiğit, G. (2014). SemEval-2014 Task 4: Aspect based sentiment analysis. </w:t>
      </w:r>
      <w:r>
        <w:rPr>
          <w:rFonts w:ascii="Times New Roman" w:hAnsi="Times New Roman"/>
          <w:b w:val="0"/>
          <w:i/>
          <w:sz w:val="22"/>
        </w:rPr>
        <w:t>Proceedings of SemEval 2014</w:t>
      </w:r>
      <w:r>
        <w:rPr>
          <w:rFonts w:ascii="Times New Roman" w:hAnsi="Times New Roman"/>
          <w:b w:val="0"/>
          <w:i w:val="0"/>
          <w:sz w:val="22"/>
        </w:rPr>
        <w:t>, 27–35. https://doi.org/10.3115/v1/S14-2004</w:t>
      </w:r>
    </w:p>
    <w:p>
      <w:pPr>
        <w:spacing w:line="360" w:lineRule="auto" w:after="60"/>
        <w:ind w:left="720" w:hanging="720"/>
      </w:pPr>
      <w:r>
        <w:rPr>
          <w:rFonts w:ascii="Times New Roman" w:hAnsi="Times New Roman"/>
          <w:b w:val="0"/>
          <w:i w:val="0"/>
          <w:sz w:val="22"/>
        </w:rPr>
        <w:t xml:space="preserve">Pontiki, M., Galanis, D., Papageorgiou, H., Androutsopoulos, I., Manandhar, S., AL-Smadi, M., ... &amp; Hoste, V. (2016). SemEval-2016 Task 5: Aspect based sentiment analysis. </w:t>
      </w:r>
      <w:r>
        <w:rPr>
          <w:rFonts w:ascii="Times New Roman" w:hAnsi="Times New Roman"/>
          <w:b w:val="0"/>
          <w:i/>
          <w:sz w:val="22"/>
        </w:rPr>
        <w:t>Proceedings of SemEval 2016</w:t>
      </w:r>
      <w:r>
        <w:rPr>
          <w:rFonts w:ascii="Times New Roman" w:hAnsi="Times New Roman"/>
          <w:b w:val="0"/>
          <w:i w:val="0"/>
          <w:sz w:val="22"/>
        </w:rPr>
        <w:t>, 19–30. https://doi.org/10.18653/v1/S16-1002</w:t>
      </w:r>
    </w:p>
    <w:p>
      <w:pPr>
        <w:spacing w:line="360" w:lineRule="auto" w:after="60"/>
        <w:ind w:left="720" w:hanging="720"/>
      </w:pPr>
      <w:r>
        <w:rPr>
          <w:rFonts w:ascii="Times New Roman" w:hAnsi="Times New Roman"/>
          <w:b w:val="0"/>
          <w:i w:val="0"/>
          <w:sz w:val="22"/>
        </w:rPr>
        <w:t xml:space="preserve">Rossini, P., Stromer-Galley, J., Baptista, E. A., &amp; de Oliveira, V. V. (2021). Dysfunctional information on social media: Comparing the distribution and engagement of falsehoods on Twitter, Facebook, and WhatsApp. </w:t>
      </w:r>
      <w:r>
        <w:rPr>
          <w:rFonts w:ascii="Times New Roman" w:hAnsi="Times New Roman"/>
          <w:b w:val="0"/>
          <w:i/>
          <w:sz w:val="22"/>
        </w:rPr>
        <w:t>New Media &amp; Society</w:t>
      </w:r>
      <w:r>
        <w:rPr>
          <w:rFonts w:ascii="Times New Roman" w:hAnsi="Times New Roman"/>
          <w:b w:val="0"/>
          <w:i w:val="0"/>
          <w:sz w:val="22"/>
        </w:rPr>
        <w:t xml:space="preserve">, </w:t>
      </w:r>
      <w:r>
        <w:rPr>
          <w:rFonts w:ascii="Times New Roman" w:hAnsi="Times New Roman"/>
          <w:b w:val="0"/>
          <w:i/>
          <w:sz w:val="22"/>
        </w:rPr>
        <w:t>23</w:t>
      </w:r>
      <w:r>
        <w:rPr>
          <w:rFonts w:ascii="Times New Roman" w:hAnsi="Times New Roman"/>
          <w:b w:val="0"/>
          <w:i w:val="0"/>
          <w:sz w:val="22"/>
        </w:rPr>
        <w:t>(8), 2444–2467. https://doi.org/10.1177/1461444820924376</w:t>
      </w:r>
    </w:p>
    <w:p>
      <w:pPr>
        <w:spacing w:line="360" w:lineRule="auto" w:after="60"/>
        <w:ind w:left="720" w:hanging="720"/>
      </w:pPr>
      <w:r>
        <w:rPr>
          <w:rFonts w:ascii="Times New Roman" w:hAnsi="Times New Roman"/>
          <w:b w:val="0"/>
          <w:i w:val="0"/>
          <w:sz w:val="22"/>
        </w:rPr>
        <w:t xml:space="preserve">Rozin, P., Haidt, J., &amp; McCauley, C. R. (2000). Disgust. In M. Lewis &amp; J. M. Haviland-Jones (Eds.), </w:t>
      </w:r>
      <w:r>
        <w:rPr>
          <w:rFonts w:ascii="Times New Roman" w:hAnsi="Times New Roman"/>
          <w:b w:val="0"/>
          <w:i/>
          <w:sz w:val="22"/>
        </w:rPr>
        <w:t>Handbook of emotions</w:t>
      </w:r>
      <w:r>
        <w:rPr>
          <w:rFonts w:ascii="Times New Roman" w:hAnsi="Times New Roman"/>
          <w:b w:val="0"/>
          <w:i w:val="0"/>
          <w:sz w:val="22"/>
        </w:rPr>
        <w:t xml:space="preserve"> (2nd ed., pp. 637–653). Guilford Press.</w:t>
      </w:r>
    </w:p>
    <w:p>
      <w:pPr>
        <w:spacing w:line="360" w:lineRule="auto" w:after="60"/>
        <w:ind w:left="720" w:hanging="720"/>
      </w:pPr>
      <w:r>
        <w:rPr>
          <w:rFonts w:ascii="Times New Roman" w:hAnsi="Times New Roman"/>
          <w:b w:val="0"/>
          <w:i w:val="0"/>
          <w:sz w:val="22"/>
        </w:rPr>
        <w:t xml:space="preserve">Schouten, K., &amp; Frasincar, F. (2016). Survey on aspect-level sentiment analysis. </w:t>
      </w:r>
      <w:r>
        <w:rPr>
          <w:rFonts w:ascii="Times New Roman" w:hAnsi="Times New Roman"/>
          <w:b w:val="0"/>
          <w:i/>
          <w:sz w:val="22"/>
        </w:rPr>
        <w:t>IEEE Transactions on Knowledge and Data Engineering</w:t>
      </w:r>
      <w:r>
        <w:rPr>
          <w:rFonts w:ascii="Times New Roman" w:hAnsi="Times New Roman"/>
          <w:b w:val="0"/>
          <w:i w:val="0"/>
          <w:sz w:val="22"/>
        </w:rPr>
        <w:t xml:space="preserve">, </w:t>
      </w:r>
      <w:r>
        <w:rPr>
          <w:rFonts w:ascii="Times New Roman" w:hAnsi="Times New Roman"/>
          <w:b w:val="0"/>
          <w:i/>
          <w:sz w:val="22"/>
        </w:rPr>
        <w:t>28</w:t>
      </w:r>
      <w:r>
        <w:rPr>
          <w:rFonts w:ascii="Times New Roman" w:hAnsi="Times New Roman"/>
          <w:b w:val="0"/>
          <w:i w:val="0"/>
          <w:sz w:val="22"/>
        </w:rPr>
        <w:t>(3), 813–830. https://doi.org/10.1109/TKDE.2015.2485209</w:t>
      </w:r>
    </w:p>
    <w:p>
      <w:pPr>
        <w:spacing w:line="360" w:lineRule="auto" w:after="60"/>
        <w:ind w:left="720" w:hanging="720"/>
      </w:pPr>
      <w:r>
        <w:rPr>
          <w:rFonts w:ascii="Times New Roman" w:hAnsi="Times New Roman"/>
          <w:b w:val="0"/>
          <w:i w:val="0"/>
          <w:sz w:val="22"/>
        </w:rPr>
        <w:t xml:space="preserve">Scott, J. C. (1985). </w:t>
      </w:r>
      <w:r>
        <w:rPr>
          <w:rFonts w:ascii="Times New Roman" w:hAnsi="Times New Roman"/>
          <w:b w:val="0"/>
          <w:i/>
          <w:sz w:val="22"/>
        </w:rPr>
        <w:t>Weapons of the weak: Everyday forms of peasant resistance</w:t>
      </w:r>
      <w:r>
        <w:rPr>
          <w:rFonts w:ascii="Times New Roman" w:hAnsi="Times New Roman"/>
          <w:b w:val="0"/>
          <w:i w:val="0"/>
          <w:sz w:val="22"/>
        </w:rPr>
        <w:t>. Yale University Press.</w:t>
      </w:r>
    </w:p>
    <w:p>
      <w:pPr>
        <w:spacing w:line="360" w:lineRule="auto" w:after="60"/>
        <w:ind w:left="720" w:hanging="720"/>
      </w:pPr>
      <w:r>
        <w:rPr>
          <w:rFonts w:ascii="Times New Roman" w:hAnsi="Times New Roman"/>
          <w:b w:val="0"/>
          <w:i w:val="0"/>
          <w:sz w:val="22"/>
        </w:rPr>
        <w:t xml:space="preserve">Skovholt, K., Grønning, A., &amp; Kankaanranta, A. (2014). The communicative functions of emoticons in workplace e-mails. </w:t>
      </w:r>
      <w:r>
        <w:rPr>
          <w:rFonts w:ascii="Times New Roman" w:hAnsi="Times New Roman"/>
          <w:b w:val="0"/>
          <w:i/>
          <w:sz w:val="22"/>
        </w:rPr>
        <w:t>Journal of Computer-Mediated Communication</w:t>
      </w:r>
      <w:r>
        <w:rPr>
          <w:rFonts w:ascii="Times New Roman" w:hAnsi="Times New Roman"/>
          <w:b w:val="0"/>
          <w:i w:val="0"/>
          <w:sz w:val="22"/>
        </w:rPr>
        <w:t xml:space="preserve">, </w:t>
      </w:r>
      <w:r>
        <w:rPr>
          <w:rFonts w:ascii="Times New Roman" w:hAnsi="Times New Roman"/>
          <w:b w:val="0"/>
          <w:i/>
          <w:sz w:val="22"/>
        </w:rPr>
        <w:t>19</w:t>
      </w:r>
      <w:r>
        <w:rPr>
          <w:rFonts w:ascii="Times New Roman" w:hAnsi="Times New Roman"/>
          <w:b w:val="0"/>
          <w:i w:val="0"/>
          <w:sz w:val="22"/>
        </w:rPr>
        <w:t>(4), 780–797. https://doi.org/10.1111/jcc4.12063</w:t>
      </w:r>
    </w:p>
    <w:p>
      <w:pPr>
        <w:spacing w:line="360" w:lineRule="auto" w:after="60"/>
        <w:ind w:left="720" w:hanging="720"/>
      </w:pPr>
      <w:r>
        <w:rPr>
          <w:rFonts w:ascii="Times New Roman" w:hAnsi="Times New Roman"/>
          <w:b w:val="0"/>
          <w:i w:val="0"/>
          <w:sz w:val="22"/>
        </w:rPr>
        <w:t xml:space="preserve">Sun, C., Huang, L., &amp; Qiu, X. (2019). Utilizing BERT for aspect-based sentiment analysis via constructing auxiliary sentence. </w:t>
      </w:r>
      <w:r>
        <w:rPr>
          <w:rFonts w:ascii="Times New Roman" w:hAnsi="Times New Roman"/>
          <w:b w:val="0"/>
          <w:i/>
          <w:sz w:val="22"/>
        </w:rPr>
        <w:t>Proceedings of NAACL-HLT 2019</w:t>
      </w:r>
      <w:r>
        <w:rPr>
          <w:rFonts w:ascii="Times New Roman" w:hAnsi="Times New Roman"/>
          <w:b w:val="0"/>
          <w:i w:val="0"/>
          <w:sz w:val="22"/>
        </w:rPr>
        <w:t>, 380–385. https://doi.org/10.18653/v1/N19-1035</w:t>
      </w:r>
    </w:p>
    <w:p>
      <w:pPr>
        <w:spacing w:line="360" w:lineRule="auto" w:after="60"/>
        <w:ind w:left="720" w:hanging="720"/>
      </w:pPr>
      <w:r>
        <w:rPr>
          <w:rFonts w:ascii="Times New Roman" w:hAnsi="Times New Roman"/>
          <w:b w:val="0"/>
          <w:i w:val="0"/>
          <w:sz w:val="22"/>
        </w:rPr>
        <w:t xml:space="preserve">Sundar, S. S. (2020). Rise of machine agency: A framework for studying the psychology of Human–AI Interaction (HAII). </w:t>
      </w:r>
      <w:r>
        <w:rPr>
          <w:rFonts w:ascii="Times New Roman" w:hAnsi="Times New Roman"/>
          <w:b w:val="0"/>
          <w:i/>
          <w:sz w:val="22"/>
        </w:rPr>
        <w:t>Journal of Computer-Mediated Communication</w:t>
      </w:r>
      <w:r>
        <w:rPr>
          <w:rFonts w:ascii="Times New Roman" w:hAnsi="Times New Roman"/>
          <w:b w:val="0"/>
          <w:i w:val="0"/>
          <w:sz w:val="22"/>
        </w:rPr>
        <w:t xml:space="preserve">, </w:t>
      </w:r>
      <w:r>
        <w:rPr>
          <w:rFonts w:ascii="Times New Roman" w:hAnsi="Times New Roman"/>
          <w:b w:val="0"/>
          <w:i/>
          <w:sz w:val="22"/>
        </w:rPr>
        <w:t>25</w:t>
      </w:r>
      <w:r>
        <w:rPr>
          <w:rFonts w:ascii="Times New Roman" w:hAnsi="Times New Roman"/>
          <w:b w:val="0"/>
          <w:i w:val="0"/>
          <w:sz w:val="22"/>
        </w:rPr>
        <w:t>(1), 74–88. https://doi.org/10.1093/jcmc/zmz026</w:t>
      </w:r>
    </w:p>
    <w:p>
      <w:pPr>
        <w:spacing w:line="360" w:lineRule="auto" w:after="60"/>
        <w:ind w:left="720" w:hanging="720"/>
      </w:pPr>
      <w:r>
        <w:rPr>
          <w:rFonts w:ascii="Times New Roman" w:hAnsi="Times New Roman"/>
          <w:b w:val="0"/>
          <w:i w:val="0"/>
          <w:sz w:val="22"/>
        </w:rPr>
        <w:t xml:space="preserve">Snijders, T. A., van de Bunt, G. G., &amp; Steglich, C. E. (2010). Introduction to stochastic actor-based models for network dynamics. </w:t>
      </w:r>
      <w:r>
        <w:rPr>
          <w:rFonts w:ascii="Times New Roman" w:hAnsi="Times New Roman"/>
          <w:b w:val="0"/>
          <w:i/>
          <w:sz w:val="22"/>
        </w:rPr>
        <w:t>Social Networks</w:t>
      </w:r>
      <w:r>
        <w:rPr>
          <w:rFonts w:ascii="Times New Roman" w:hAnsi="Times New Roman"/>
          <w:b w:val="0"/>
          <w:i w:val="0"/>
          <w:sz w:val="22"/>
        </w:rPr>
        <w:t xml:space="preserve">, </w:t>
      </w:r>
      <w:r>
        <w:rPr>
          <w:rFonts w:ascii="Times New Roman" w:hAnsi="Times New Roman"/>
          <w:b w:val="0"/>
          <w:i/>
          <w:sz w:val="22"/>
        </w:rPr>
        <w:t>32</w:t>
      </w:r>
      <w:r>
        <w:rPr>
          <w:rFonts w:ascii="Times New Roman" w:hAnsi="Times New Roman"/>
          <w:b w:val="0"/>
          <w:i w:val="0"/>
          <w:sz w:val="22"/>
        </w:rPr>
        <w:t>(1), 44–60. https://doi.org/10.1016/j.socnet.2009.02.004</w:t>
      </w:r>
    </w:p>
    <w:p>
      <w:pPr>
        <w:spacing w:line="360" w:lineRule="auto" w:after="60"/>
        <w:ind w:left="720" w:hanging="720"/>
      </w:pPr>
      <w:r>
        <w:rPr>
          <w:rFonts w:ascii="Times New Roman" w:hAnsi="Times New Roman"/>
          <w:b w:val="0"/>
          <w:i w:val="0"/>
          <w:sz w:val="22"/>
        </w:rPr>
        <w:t xml:space="preserve">Treré, E. (2018). </w:t>
      </w:r>
      <w:r>
        <w:rPr>
          <w:rFonts w:ascii="Times New Roman" w:hAnsi="Times New Roman"/>
          <w:b w:val="0"/>
          <w:i/>
          <w:sz w:val="22"/>
        </w:rPr>
        <w:t>Hybrid media activism: Ecologies, imaginaries, algorithms</w:t>
      </w:r>
      <w:r>
        <w:rPr>
          <w:rFonts w:ascii="Times New Roman" w:hAnsi="Times New Roman"/>
          <w:b w:val="0"/>
          <w:i w:val="0"/>
          <w:sz w:val="22"/>
        </w:rPr>
        <w:t>. Routledge. https://doi.org/10.4324/9781315438177</w:t>
      </w:r>
    </w:p>
    <w:p>
      <w:pPr>
        <w:spacing w:line="360" w:lineRule="auto" w:after="60"/>
        <w:ind w:left="720" w:hanging="720"/>
      </w:pPr>
      <w:r>
        <w:rPr>
          <w:rFonts w:ascii="Times New Roman" w:hAnsi="Times New Roman"/>
          <w:b w:val="0"/>
          <w:i w:val="0"/>
          <w:sz w:val="22"/>
        </w:rPr>
        <w:t xml:space="preserve">van Dijck, J., Poell, T., &amp; de Waal, M. (2018). </w:t>
      </w:r>
      <w:r>
        <w:rPr>
          <w:rFonts w:ascii="Times New Roman" w:hAnsi="Times New Roman"/>
          <w:b w:val="0"/>
          <w:i/>
          <w:sz w:val="22"/>
        </w:rPr>
        <w:t>The platform society: Public values in a connective world</w:t>
      </w:r>
      <w:r>
        <w:rPr>
          <w:rFonts w:ascii="Times New Roman" w:hAnsi="Times New Roman"/>
          <w:b w:val="0"/>
          <w:i w:val="0"/>
          <w:sz w:val="22"/>
        </w:rPr>
        <w:t>. Oxford University Press. https://doi.org/10.1093/oso/9780190889760.001.0001</w:t>
      </w:r>
    </w:p>
    <w:p>
      <w:pPr>
        <w:spacing w:line="360" w:lineRule="auto" w:after="60"/>
        <w:ind w:left="720" w:hanging="720"/>
      </w:pPr>
      <w:r>
        <w:rPr>
          <w:rFonts w:ascii="Times New Roman" w:hAnsi="Times New Roman"/>
          <w:b w:val="0"/>
          <w:i w:val="0"/>
          <w:sz w:val="22"/>
        </w:rPr>
        <w:t xml:space="preserve">Vargo, S. L., &amp; Lusch, R. F. (2016). Institutions and axioms: An extension and update of service-dominant logic. </w:t>
      </w:r>
      <w:r>
        <w:rPr>
          <w:rFonts w:ascii="Times New Roman" w:hAnsi="Times New Roman"/>
          <w:b w:val="0"/>
          <w:i/>
          <w:sz w:val="22"/>
        </w:rPr>
        <w:t>Journal of the Academy of Marketing Science</w:t>
      </w:r>
      <w:r>
        <w:rPr>
          <w:rFonts w:ascii="Times New Roman" w:hAnsi="Times New Roman"/>
          <w:b w:val="0"/>
          <w:i w:val="0"/>
          <w:sz w:val="22"/>
        </w:rPr>
        <w:t xml:space="preserve">, </w:t>
      </w:r>
      <w:r>
        <w:rPr>
          <w:rFonts w:ascii="Times New Roman" w:hAnsi="Times New Roman"/>
          <w:b w:val="0"/>
          <w:i/>
          <w:sz w:val="22"/>
        </w:rPr>
        <w:t>44</w:t>
      </w:r>
      <w:r>
        <w:rPr>
          <w:rFonts w:ascii="Times New Roman" w:hAnsi="Times New Roman"/>
          <w:b w:val="0"/>
          <w:i w:val="0"/>
          <w:sz w:val="22"/>
        </w:rPr>
        <w:t>(1), 5–23. https://doi.org/10.1007/s11747-015-0456-3</w:t>
      </w:r>
    </w:p>
    <w:p>
      <w:pPr>
        <w:spacing w:line="360" w:lineRule="auto" w:after="60"/>
        <w:ind w:left="720" w:hanging="720"/>
      </w:pPr>
      <w:r>
        <w:rPr>
          <w:rFonts w:ascii="Times New Roman" w:hAnsi="Times New Roman"/>
          <w:b w:val="0"/>
          <w:i w:val="0"/>
          <w:sz w:val="22"/>
        </w:rPr>
        <w:t xml:space="preserve">Walther, J. B. (2011). Theories of computer-mediated communication and interpersonal relations. In M. L. Knapp &amp; J. A. Daly (Eds.), </w:t>
      </w:r>
      <w:r>
        <w:rPr>
          <w:rFonts w:ascii="Times New Roman" w:hAnsi="Times New Roman"/>
          <w:b w:val="0"/>
          <w:i/>
          <w:sz w:val="22"/>
        </w:rPr>
        <w:t>The SAGE handbook of interpersonal communication</w:t>
      </w:r>
      <w:r>
        <w:rPr>
          <w:rFonts w:ascii="Times New Roman" w:hAnsi="Times New Roman"/>
          <w:b w:val="0"/>
          <w:i w:val="0"/>
          <w:sz w:val="22"/>
        </w:rPr>
        <w:t xml:space="preserve"> (4th ed., pp. 443–479). SAGE Publications.</w:t>
      </w:r>
    </w:p>
    <w:p>
      <w:pPr>
        <w:spacing w:line="360" w:lineRule="auto" w:after="60"/>
        <w:ind w:left="720" w:hanging="720"/>
      </w:pPr>
      <w:r>
        <w:rPr>
          <w:rFonts w:ascii="Times New Roman" w:hAnsi="Times New Roman"/>
          <w:b w:val="0"/>
          <w:i w:val="0"/>
          <w:sz w:val="22"/>
        </w:rPr>
        <w:t xml:space="preserve">Wilie, B., Vincentio, K., Winata, G. I., Cahyawijaya, S., Li, Z., Lim, Z. S., Soleman, S., Mahendra, R., Pascual, P., Ryandito, C., &amp; Fung, P. (2020). IndoNLU: Benchmark and resources for evaluating Indonesian natural language understanding. </w:t>
      </w:r>
      <w:r>
        <w:rPr>
          <w:rFonts w:ascii="Times New Roman" w:hAnsi="Times New Roman"/>
          <w:b w:val="0"/>
          <w:i/>
          <w:sz w:val="22"/>
        </w:rPr>
        <w:t>Proceedings of the 1st Conference of the Asia-Pacific Chapter of the Association for Computational Linguistics and the 10th International Joint Conference on Natural Language Processing</w:t>
      </w:r>
      <w:r>
        <w:rPr>
          <w:rFonts w:ascii="Times New Roman" w:hAnsi="Times New Roman"/>
          <w:b w:val="0"/>
          <w:i w:val="0"/>
          <w:sz w:val="22"/>
        </w:rPr>
        <w:t>, 843–857.</w:t>
      </w:r>
    </w:p>
    <w:p>
      <w:pPr>
        <w:spacing w:line="360" w:lineRule="auto" w:after="60"/>
        <w:ind w:left="720" w:hanging="720"/>
      </w:pPr>
      <w:r>
        <w:rPr>
          <w:rFonts w:ascii="Times New Roman" w:hAnsi="Times New Roman"/>
          <w:b w:val="0"/>
          <w:i w:val="0"/>
          <w:sz w:val="22"/>
        </w:rPr>
        <w:t xml:space="preserve">Wu, L., Lyu, H., &amp; Luo, J. (2025). Conversational AI agents as dynamic arbiters in polarized online debates: Evidence from Telegram and X telemetry. </w:t>
      </w:r>
      <w:r>
        <w:rPr>
          <w:rFonts w:ascii="Times New Roman" w:hAnsi="Times New Roman"/>
          <w:b w:val="0"/>
          <w:i/>
          <w:sz w:val="22"/>
        </w:rPr>
        <w:t>Computers in Human Behavior</w:t>
      </w:r>
      <w:r>
        <w:rPr>
          <w:rFonts w:ascii="Times New Roman" w:hAnsi="Times New Roman"/>
          <w:b w:val="0"/>
          <w:i w:val="0"/>
          <w:sz w:val="22"/>
        </w:rPr>
        <w:t xml:space="preserve">, </w:t>
      </w:r>
      <w:r>
        <w:rPr>
          <w:rFonts w:ascii="Times New Roman" w:hAnsi="Times New Roman"/>
          <w:b w:val="0"/>
          <w:i/>
          <w:sz w:val="22"/>
        </w:rPr>
        <w:t>151</w:t>
      </w:r>
      <w:r>
        <w:rPr>
          <w:rFonts w:ascii="Times New Roman" w:hAnsi="Times New Roman"/>
          <w:b w:val="0"/>
          <w:i w:val="0"/>
          <w:sz w:val="22"/>
        </w:rPr>
        <w:t>, 107998. https://doi.org/10.1016/j.chb.2024.107998</w:t>
      </w:r>
    </w:p>
    <w:p>
      <w:pPr>
        <w:spacing w:line="360" w:lineRule="auto" w:after="60"/>
        <w:ind w:left="720" w:hanging="720"/>
      </w:pPr>
      <w:r>
        <w:rPr>
          <w:rFonts w:ascii="Times New Roman" w:hAnsi="Times New Roman"/>
          <w:b w:val="0"/>
          <w:i w:val="0"/>
          <w:sz w:val="22"/>
        </w:rPr>
        <w:t xml:space="preserve">Zhang, W., Li, X., Deng, Y., Bing, L., &amp; Lam, W. (2022). A survey on aspect-based sentiment analysis: Tasks, methods, and challenges. </w:t>
      </w:r>
      <w:r>
        <w:rPr>
          <w:rFonts w:ascii="Times New Roman" w:hAnsi="Times New Roman"/>
          <w:b w:val="0"/>
          <w:i/>
          <w:sz w:val="22"/>
        </w:rPr>
        <w:t>IEEE Transactions on Knowledge and Data Engineering</w:t>
      </w:r>
      <w:r>
        <w:rPr>
          <w:rFonts w:ascii="Times New Roman" w:hAnsi="Times New Roman"/>
          <w:b w:val="0"/>
          <w:i w:val="0"/>
          <w:sz w:val="22"/>
        </w:rPr>
        <w:t xml:space="preserve">, </w:t>
      </w:r>
      <w:r>
        <w:rPr>
          <w:rFonts w:ascii="Times New Roman" w:hAnsi="Times New Roman"/>
          <w:b w:val="0"/>
          <w:i/>
          <w:sz w:val="22"/>
        </w:rPr>
        <w:t>35</w:t>
      </w:r>
      <w:r>
        <w:rPr>
          <w:rFonts w:ascii="Times New Roman" w:hAnsi="Times New Roman"/>
          <w:b w:val="0"/>
          <w:i w:val="0"/>
          <w:sz w:val="22"/>
        </w:rPr>
        <w:t>(11), 11019–11038. https://doi.org/10.1109/TKDE.2022.3230975</w:t>
      </w:r>
    </w:p>
    <w:p>
      <w:pPr>
        <w:spacing w:line="360" w:lineRule="auto" w:after="60"/>
        <w:ind w:left="720" w:hanging="720"/>
      </w:pPr>
      <w:r>
        <w:rPr>
          <w:rFonts w:ascii="Times New Roman" w:hAnsi="Times New Roman"/>
          <w:b w:val="0"/>
          <w:i w:val="0"/>
          <w:sz w:val="22"/>
        </w:rPr>
        <w:t xml:space="preserve">Zhang, Y., &amp; Centola, D. (2024). Algorithmic bots and the containment of misinformation cascades in complex networks. </w:t>
      </w:r>
      <w:r>
        <w:rPr>
          <w:rFonts w:ascii="Times New Roman" w:hAnsi="Times New Roman"/>
          <w:b w:val="0"/>
          <w:i/>
          <w:sz w:val="22"/>
        </w:rPr>
        <w:t>Communications of the ACM</w:t>
      </w:r>
      <w:r>
        <w:rPr>
          <w:rFonts w:ascii="Times New Roman" w:hAnsi="Times New Roman"/>
          <w:b w:val="0"/>
          <w:i w:val="0"/>
          <w:sz w:val="22"/>
        </w:rPr>
        <w:t xml:space="preserve">, </w:t>
      </w:r>
      <w:r>
        <w:rPr>
          <w:rFonts w:ascii="Times New Roman" w:hAnsi="Times New Roman"/>
          <w:b w:val="0"/>
          <w:i/>
          <w:sz w:val="22"/>
        </w:rPr>
        <w:t>67</w:t>
      </w:r>
      <w:r>
        <w:rPr>
          <w:rFonts w:ascii="Times New Roman" w:hAnsi="Times New Roman"/>
          <w:b w:val="0"/>
          <w:i w:val="0"/>
          <w:sz w:val="22"/>
        </w:rPr>
        <w:t>(4), 62–71. https://doi.org/10.1145/3639821</w:t>
      </w:r>
    </w:p>
    <w:p>
      <w:pPr>
        <w:spacing w:line="360" w:lineRule="auto" w:after="60"/>
        <w:ind w:left="720" w:hanging="720"/>
      </w:pPr>
      <w:r>
        <w:rPr>
          <w:rFonts w:ascii="Times New Roman" w:hAnsi="Times New Roman"/>
          <w:b w:val="0"/>
          <w:i w:val="0"/>
          <w:sz w:val="22"/>
        </w:rPr>
        <w:t xml:space="preserve">Zhao, X., Zhan, M., &amp; Liu, B. (2026). Real-time IoT early warning telemetry and automated crisis response for public food safety. </w:t>
      </w:r>
      <w:r>
        <w:rPr>
          <w:rFonts w:ascii="Times New Roman" w:hAnsi="Times New Roman"/>
          <w:b w:val="0"/>
          <w:i/>
          <w:sz w:val="22"/>
        </w:rPr>
        <w:t>Journal of Food Science</w:t>
      </w:r>
      <w:r>
        <w:rPr>
          <w:rFonts w:ascii="Times New Roman" w:hAnsi="Times New Roman"/>
          <w:b w:val="0"/>
          <w:i w:val="0"/>
          <w:sz w:val="22"/>
        </w:rPr>
        <w:t xml:space="preserve">, </w:t>
      </w:r>
      <w:r>
        <w:rPr>
          <w:rFonts w:ascii="Times New Roman" w:hAnsi="Times New Roman"/>
          <w:b w:val="0"/>
          <w:i/>
          <w:sz w:val="22"/>
        </w:rPr>
        <w:t>91</w:t>
      </w:r>
      <w:r>
        <w:rPr>
          <w:rFonts w:ascii="Times New Roman" w:hAnsi="Times New Roman"/>
          <w:b w:val="0"/>
          <w:i w:val="0"/>
          <w:sz w:val="22"/>
        </w:rPr>
        <w:t>(2), 312–326. https://doi.org/10.1111/1750-3841.16890</w:t>
      </w:r>
    </w:p>
    <w:p>
      <w:pPr>
        <w:spacing w:line="360" w:lineRule="auto" w:after="60"/>
        <w:ind w:left="720" w:hanging="720"/>
      </w:pPr>
      <w:r>
        <w:rPr>
          <w:rFonts w:ascii="Times New Roman" w:hAnsi="Times New Roman"/>
          <w:b w:val="0"/>
          <w:i w:val="0"/>
          <w:sz w:val="22"/>
        </w:rPr>
        <w:t xml:space="preserve">Zimmer, M. (2010). "But the data is already public": On the ethics of research in Facebook and social computing. </w:t>
      </w:r>
      <w:r>
        <w:rPr>
          <w:rFonts w:ascii="Times New Roman" w:hAnsi="Times New Roman"/>
          <w:b w:val="0"/>
          <w:i/>
          <w:sz w:val="22"/>
        </w:rPr>
        <w:t>Ethics and Information Technology</w:t>
      </w:r>
      <w:r>
        <w:rPr>
          <w:rFonts w:ascii="Times New Roman" w:hAnsi="Times New Roman"/>
          <w:b w:val="0"/>
          <w:i w:val="0"/>
          <w:sz w:val="22"/>
        </w:rPr>
        <w:t xml:space="preserve">, </w:t>
      </w:r>
      <w:r>
        <w:rPr>
          <w:rFonts w:ascii="Times New Roman" w:hAnsi="Times New Roman"/>
          <w:b w:val="0"/>
          <w:i/>
          <w:sz w:val="22"/>
        </w:rPr>
        <w:t>12</w:t>
      </w:r>
      <w:r>
        <w:rPr>
          <w:rFonts w:ascii="Times New Roman" w:hAnsi="Times New Roman"/>
          <w:b w:val="0"/>
          <w:i w:val="0"/>
          <w:sz w:val="22"/>
        </w:rPr>
        <w:t>(4), 313–325. https://doi.org/10.1007/s10676-010-9227-5</w:t>
      </w:r>
    </w:p>
    <w:p>
      <w:pPr>
        <w:spacing w:line="480" w:lineRule="auto" w:before="320" w:after="80"/>
        <w:jc w:val="center"/>
      </w:pPr>
      <w:r>
        <w:rPr>
          <w:rFonts w:ascii="Times New Roman" w:hAnsi="Times New Roman"/>
          <w:b/>
          <w:i w:val="0"/>
          <w:sz w:val="27"/>
        </w:rPr>
        <w:t>Appendix A: Key Mathematical Formulations</w:t>
      </w:r>
    </w:p>
    <w:p>
      <w:pPr>
        <w:spacing w:line="480" w:lineRule="auto" w:after="40"/>
        <w:ind w:left="720" w:hanging="360"/>
      </w:pPr>
      <w:r>
        <w:rPr>
          <w:b/>
        </w:rPr>
        <w:t xml:space="preserve">• </w:t>
      </w:r>
      <w:r>
        <w:rPr>
          <w:rFonts w:ascii="Times New Roman" w:hAnsi="Times New Roman"/>
          <w:b/>
          <w:i w:val="0"/>
          <w:sz w:val="24"/>
        </w:rPr>
        <w:t>Network Density ($\rho$)</w:t>
      </w:r>
      <w:r>
        <w:rPr>
          <w:rFonts w:ascii="Times New Roman" w:hAnsi="Times New Roman"/>
          <w:b w:val="0"/>
          <w:i w:val="0"/>
          <w:sz w:val="24"/>
        </w:rPr>
        <w:t>: $\rho = \frac{|E|}{|V|(|V| - 1)} = \frac{692}{971 \times 970} \approx 0.000707$.</w:t>
      </w:r>
    </w:p>
    <w:p>
      <w:pPr>
        <w:spacing w:line="480" w:lineRule="auto" w:after="40"/>
        <w:ind w:left="720" w:hanging="360"/>
      </w:pPr>
      <w:r>
        <w:rPr>
          <w:b/>
        </w:rPr>
        <w:t xml:space="preserve">• </w:t>
      </w:r>
      <w:r>
        <w:rPr>
          <w:rFonts w:ascii="Times New Roman" w:hAnsi="Times New Roman"/>
          <w:b/>
          <w:i w:val="0"/>
          <w:sz w:val="24"/>
        </w:rPr>
        <w:t>Dyadic Reciprocity ($R$)</w:t>
      </w:r>
      <w:r>
        <w:rPr>
          <w:rFonts w:ascii="Times New Roman" w:hAnsi="Times New Roman"/>
          <w:b w:val="0"/>
          <w:i w:val="0"/>
          <w:sz w:val="24"/>
        </w:rPr>
        <w:t>: $R = \frac{\sum_{i \neq j} A_{ij} A_{ji}}{|E|} = \frac{2 \times 4}{666} \approx 0.0120 \quad (1.20\%)$.</w:t>
      </w:r>
    </w:p>
    <w:p>
      <w:pPr>
        <w:spacing w:line="480" w:lineRule="auto" w:after="40"/>
        <w:ind w:left="720" w:hanging="360"/>
      </w:pPr>
      <w:r>
        <w:rPr>
          <w:b/>
        </w:rPr>
        <w:t xml:space="preserve">• </w:t>
      </w:r>
      <w:r>
        <w:rPr>
          <w:rFonts w:ascii="Times New Roman" w:hAnsi="Times New Roman"/>
          <w:b/>
          <w:i w:val="0"/>
          <w:sz w:val="24"/>
        </w:rPr>
        <w:t>Power-Law Scaling Fit</w:t>
      </w:r>
      <w:r>
        <w:rPr>
          <w:rFonts w:ascii="Times New Roman" w:hAnsi="Times New Roman"/>
          <w:b w:val="0"/>
          <w:i w:val="0"/>
          <w:sz w:val="24"/>
        </w:rPr>
        <w:t>: $\alpha = 1 + n \left[ \sum_{i=1}^n \ln \left( \frac{k_i}{k_{min} - \frac{1}{2}} \right) \right]^{-1} = 2.168 \pm 0.08$.</w:t>
      </w:r>
    </w:p>
    <w:p>
      <w:pPr>
        <w:spacing w:line="480" w:lineRule="auto" w:after="40"/>
        <w:ind w:left="720" w:hanging="360"/>
      </w:pPr>
      <w:r>
        <w:rPr>
          <w:b/>
        </w:rPr>
        <w:t xml:space="preserve">• </w:t>
      </w:r>
      <w:r>
        <w:rPr>
          <w:rFonts w:ascii="Times New Roman" w:hAnsi="Times New Roman"/>
          <w:b/>
          <w:i w:val="0"/>
          <w:sz w:val="24"/>
        </w:rPr>
        <w:t>Early Warning Scorecard (EWS)</w:t>
      </w:r>
      <w:r>
        <w:rPr>
          <w:rFonts w:ascii="Times New Roman" w:hAnsi="Times New Roman"/>
          <w:b w:val="0"/>
          <w:i w:val="0"/>
          <w:sz w:val="24"/>
        </w:rPr>
        <w:t>: Composite penalty metric aggregating negative valence, volume acceleration, and medical defect keywords, yielding $\text{EWS} = 84.6/100$ (RED ALERT).</w:t>
      </w:r>
    </w:p>
    <w:p>
      <w:pPr>
        <w:spacing w:line="480" w:lineRule="auto" w:before="320" w:after="80"/>
        <w:jc w:val="center"/>
      </w:pPr>
      <w:r>
        <w:rPr>
          <w:rFonts w:ascii="Times New Roman" w:hAnsi="Times New Roman"/>
          <w:b/>
          <w:i w:val="0"/>
          <w:sz w:val="27"/>
        </w:rPr>
        <w:t>Appendix B: Selected Corpus of Platformed Digital Sarcasm</w:t>
      </w:r>
    </w:p>
    <w:p>
      <w:pPr>
        <w:spacing w:before="240" w:after="60" w:line="288" w:lineRule="auto"/>
        <w:jc w:val="left"/>
      </w:pPr>
      <w:r>
        <w:rPr>
          <w:rFonts w:ascii="Times New Roman" w:hAnsi="Times New Roman"/>
          <w:b/>
          <w:i w:val="0"/>
          <w:sz w:val="22"/>
        </w:rPr>
        <w:t>Table B1: Representative Corpus Instances of Indonesian Digital Sarcasm on Platform X</w:t>
      </w:r>
    </w:p>
    <w:tbl>
      <w:tblPr>
        <w:tblW w:type="auto" w:w="0"/>
        <w:jc w:val="center"/>
        <w:tblLook w:firstColumn="1" w:firstRow="1" w:lastColumn="0" w:lastRow="0" w:noHBand="0" w:noVBand="1" w:val="04A0"/>
        <w:tblBorders>
          <w:top w:val="single" w:sz="10" w:space="0" w:color="000000"/>
          <w:bottom w:val="single" w:sz="10" w:space="0" w:color="000000"/>
          <w:left w:val="none"/>
          <w:right w:val="none"/>
          <w:insideH w:val="none"/>
          <w:insideV w:val="none"/>
        </w:tblBorders>
      </w:tblPr>
      <w:tblGrid>
        <w:gridCol w:w="1872"/>
        <w:gridCol w:w="1872"/>
        <w:gridCol w:w="1872"/>
        <w:gridCol w:w="1872"/>
        <w:gridCol w:w="1872"/>
      </w:tblGrid>
      <w:tr>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ID</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Raw Indonesian Post Text</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English Idiomatic Translation</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Linguistic Mechanism</w:t>
            </w:r>
          </w:p>
        </w:tc>
        <w:tc>
          <w:tcPr>
            <w:tcW w:type="dxa" w:w="1872"/>
            <w:shd w:fill="F1F5F9"/>
            <w:tcMar>
              <w:top w:w="60" w:type="dxa"/>
              <w:bottom w:w="60" w:type="dxa"/>
              <w:left w:w="90" w:type="dxa"/>
              <w:right w:w="90" w:type="dxa"/>
            </w:tcMar>
            <w:tcBorders>
              <w:bottom w:val="single" w:sz="8" w:space="0" w:color="000000"/>
            </w:tcBorders>
          </w:tcPr>
          <w:p>
            <w:pPr>
              <w:spacing w:before="40" w:after="40" w:line="252" w:lineRule="auto"/>
            </w:pPr>
            <w:r/>
            <w:r>
              <w:rPr>
                <w:rFonts w:ascii="Times New Roman" w:hAnsi="Times New Roman"/>
                <w:b/>
                <w:i w:val="0"/>
                <w:sz w:val="19"/>
              </w:rPr>
              <w:t>Paralinguistic Operator</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S-01</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sz w:val="18"/>
              </w:rPr>
              <w:t>"Hebat banget BGN, anggarannya 268 triliun tapi omprengnya impor plastik murahan. Bangga karya anak bangsa! 🤡🇮🇩"</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sz w:val="18"/>
              </w:rPr>
              <w:t>"Truly magnificent BGN, a 268T budget but the lunch trays are cheap imported plastic. Proud of our domestic products! 🤡🇮🇩"</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Illocutionary Inversion via patriotic praise</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 Clown Face (pretense/fraud)</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S-02</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sz w:val="18"/>
              </w:rPr>
              <w:t>"Menu MBG hari ini: nasi lembek, telur secuil, sama aroma got semerbak. Sungguh makanan bintang lima generasi emas 😇"</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sz w:val="18"/>
              </w:rPr>
              <w:t>"Today's MBG menu: soggy rice, tiny egg crumb, and sewage aroma. Truly five-star cuisine for the golden generation 😇"</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Micro-Macro Semantic Contrast</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 Halo Face (innocent pretense)</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S-03</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sz w:val="18"/>
              </w:rPr>
              <w:t>"Jangan negatif thinking, keracunan massal cuma latihan ketahanan lambung biar anak SD siap krisis pangan global ❤️"</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sz w:val="18"/>
              </w:rPr>
              <w:t>"Don't be negative, mass food poisoning is just stomach training so elementary kids are ready for global famine ❤️"</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Technocratic Dark Humor Euphemism</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 Red Heart (ironic embrace)</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S-04</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sz w:val="18"/>
              </w:rPr>
              <w:t>"Anggaran dipotong 67 triliun katanya dana cadangan. Padahal emang ga becus ngitung. Mantap pak bos dua periode! 🙃"</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sz w:val="18"/>
              </w:rPr>
              <w:t>"Budget cut 67T they claim is reserves. Reality is they can't do math. Great job boss, keep going two terms! 🙃"</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Political Endorsement Inversion</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 Upside-Down Face (cynical irony)</w:t>
            </w:r>
          </w:p>
        </w:tc>
      </w:tr>
      <w:tr>
        <w:tc>
          <w:tcPr>
            <w:tcW w:type="dxa" w:w="1872"/>
            <w:tcMar>
              <w:top w:w="60" w:type="dxa"/>
              <w:bottom w:w="60" w:type="dxa"/>
              <w:left w:w="90" w:type="dxa"/>
              <w:right w:w="90" w:type="dxa"/>
            </w:tcMar>
          </w:tcPr>
          <w:p>
            <w:pPr>
              <w:spacing w:before="40" w:after="40" w:line="252" w:lineRule="auto"/>
            </w:pPr>
            <w:r/>
            <w:r>
              <w:rPr>
                <w:rFonts w:ascii="Times New Roman" w:hAnsi="Times New Roman"/>
                <w:b/>
                <w:i w:val="0"/>
                <w:sz w:val="18"/>
              </w:rPr>
              <w:t>S-05</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sz w:val="18"/>
              </w:rPr>
              <w:t>"Menu 15 ribu realisasinya cuma 3 ribu. Sisanya 12 ribu masuk ke lambung makelar SPPG. Berkah barokah! 🙏"</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sz w:val="18"/>
              </w:rPr>
              <w:t>"15k menu actually costs 3k. The other 12k goes into SPPG brokers' bellies. Truly blessed! 🙏"</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Fiscal Discrepancy / Graft Inversion</w:t>
            </w:r>
          </w:p>
        </w:tc>
        <w:tc>
          <w:tcPr>
            <w:tcW w:type="dxa" w:w="1872"/>
            <w:tcMar>
              <w:top w:w="60" w:type="dxa"/>
              <w:bottom w:w="60" w:type="dxa"/>
              <w:left w:w="90" w:type="dxa"/>
              <w:right w:w="90" w:type="dxa"/>
            </w:tcMar>
          </w:tcPr>
          <w:p>
            <w:pPr>
              <w:spacing w:before="40" w:after="40" w:line="252" w:lineRule="auto"/>
            </w:pPr>
            <w:r/>
            <w:r>
              <w:rPr>
                <w:rFonts w:ascii="Times New Roman" w:hAnsi="Times New Roman"/>
                <w:b w:val="0"/>
                <w:i w:val="0"/>
                <w:sz w:val="18"/>
              </w:rPr>
              <w:t>🙏 Folded Hands (ironic piety)</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INFORMATION, COMMUNICATION &amp; SOCIETY</w:t>
      <w:tab/>
    </w:r>
    <w:r>
      <w:rPr>
        <w:rFonts w:ascii="Times New Roman" w:hAnsi="Times New Roman"/>
        <w:color w:val="555555"/>
        <w:sz w:val="20"/>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