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SOCIAL NETWORK ANALYSIS SARKASME DIGITAL DI BALIK PERTARUHAN TRILIUNAN RUPIAH: ANALISIS PHYGITAL GAP PADA KEBIJAKAN MAKAN BERGIZI GRATIS BERDASARKAN KONSEP MARKETING 6.0</w:t>
      </w:r>
    </w:p>
    <w:p>
      <w:pPr>
        <w:spacing w:after="40"/>
        <w:jc w:val="center"/>
      </w:pPr>
      <w:r>
        <w:rPr>
          <w:rFonts w:ascii="Times New Roman" w:cs="Times New Roman" w:eastAsia="Times New Roman" w:hAnsi="Times New Roman"/>
          <w:i/>
          <w:iCs/>
          <w:sz w:val="22"/>
          <w:szCs w:val="22"/>
        </w:rPr>
        <w:t xml:space="preserve">Social Network Analysis of Sarcastic Twitter Discourse Behind a Trillion-Rupiah Bet: A Phygital Gap Analysis of Indonesia's Free Nutritious Meal Policy through the Marketing 6.0 Lens</w:t>
      </w:r>
    </w:p>
    <w:p>
      <w:pPr>
        <w:spacing w:after="20" w:before="200"/>
        <w:jc w:val="center"/>
      </w:pPr>
      <w:r>
        <w:rPr>
          <w:rFonts w:ascii="Times New Roman" w:cs="Times New Roman" w:eastAsia="Times New Roman" w:hAnsi="Times New Roman"/>
          <w:b/>
          <w:bCs/>
          <w:sz w:val="22"/>
          <w:szCs w:val="22"/>
        </w:rPr>
        <w:t xml:space="preserve">Indri Anjar Kartika Sari</w:t>
      </w:r>
    </w:p>
    <w:p>
      <w:pPr>
        <w:spacing w:after="20"/>
        <w:jc w:val="center"/>
      </w:pPr>
      <w:r>
        <w:rPr>
          <w:rFonts w:ascii="Times New Roman" w:cs="Times New Roman" w:eastAsia="Times New Roman" w:hAnsi="Times New Roman"/>
          <w:sz w:val="20"/>
          <w:szCs w:val="20"/>
        </w:rPr>
        <w:t xml:space="preserve">Program Studi Magister Ilmu Komunikasi, Fakultas Ilmu Sosial Budaya dan Politik, Universitas Pembangunan Nasional "Veteran" Jawa Timur, Surabaya, Indonesia</w:t>
      </w:r>
    </w:p>
    <w:p>
      <w:pPr>
        <w:spacing w:after="300"/>
        <w:jc w:val="center"/>
      </w:pPr>
      <w:r>
        <w:rPr>
          <w:rFonts w:ascii="Times New Roman" w:cs="Times New Roman" w:eastAsia="Times New Roman" w:hAnsi="Times New Roman"/>
          <w:i/>
          <w:iCs/>
          <w:sz w:val="20"/>
          <w:szCs w:val="20"/>
        </w:rPr>
        <w:t xml:space="preserve">Corresponding author e-mail: indri.anjar@example.ac.id</w:t>
      </w:r>
    </w:p>
    <w:p>
      <w:pPr>
        <w:spacing w:after="100"/>
      </w:pPr>
      <w:r>
        <w:rPr>
          <w:rFonts w:ascii="Times New Roman" w:cs="Times New Roman" w:eastAsia="Times New Roman" w:hAnsi="Times New Roman"/>
          <w:b/>
          <w:bCs/>
          <w:i/>
          <w:iCs/>
          <w:sz w:val="22"/>
          <w:szCs w:val="22"/>
        </w:rPr>
        <w:t xml:space="preserve">Abstract</w:t>
      </w:r>
    </w:p>
    <w:p>
      <w:pPr>
        <w:spacing w:after="160" w:line="276"/>
        <w:jc w:val="both"/>
      </w:pPr>
      <w:r>
        <w:rPr>
          <w:rFonts w:ascii="Times New Roman" w:cs="Times New Roman" w:eastAsia="Times New Roman" w:hAnsi="Times New Roman"/>
          <w:i/>
          <w:iCs/>
          <w:sz w:val="22"/>
          <w:szCs w:val="22"/>
        </w:rPr>
        <w:t xml:space="preserve">Indonesia's Free Nutritious Meal Program (Makan Bergizi Gratis/MBG) is one of the government's largest social-fiscal interventions, with an allocated national budget reaching IDR 268 trillion in 2026. Despite its scale, implementation has been shadowed by governance controversies — non-operational kitchens, alleged fictitious procurement, and food-container import disputes — that eroded public trust and produced widespread sarcastic discourse on X (Twitter). This study examines how sarcasm and network polarization on X reflect a phygital gap, drawing on Philip Kotler's Marketing 6.0 framework, in which the digital promise of the policy diverges from citizens' lived physical experience. Using a mixed-methods, computational social science design, 5,310 Indonesian-language tweets on MBG (March–May 2026) were analyzed through IndoBERT-based nine-class emotion classification and text-emoji incongruity detection for sarcasm, combined with Social Network Analysis (2,414 nodes, 3,483 edges) using Degree and Betweenness Centrality and the Louvain community-detection algorithm. Results show that 37–40% of tweets contained sarcasm, most frequently marked by incongruous emoji such as 🙃 and 🤡 juxtaposed with literally positive text. Network modularity reached 0.7130, indicating severe polarization and echo-chamber formation, with political elite accounts functioning as narrative epicenters and a national media account serving as the principal information broker between clusters. Negative sentiment concentrated on logistics (40.2%) and budget transparency (37.0%) aspects. These findings indicate that the erosion of public trust in MBG is driven less by the policy's stated objectives than by an unresolved phygital gap between government narrative and field reality, suggesting that crisis communication for large-scale public policy requires real-time network monitoring and two-way dialogue with critical opinion leaders rather than one-directional content saturation.</w:t>
      </w:r>
    </w:p>
    <w:p>
      <w:pPr>
        <w:spacing w:after="160" w:line="276"/>
        <w:jc w:val="both"/>
      </w:pPr>
      <w:r>
        <w:rPr>
          <w:rFonts w:ascii="Times New Roman" w:cs="Times New Roman" w:eastAsia="Times New Roman" w:hAnsi="Times New Roman"/>
          <w:i/>
          <w:iCs/>
          <w:sz w:val="22"/>
          <w:szCs w:val="22"/>
        </w:rPr>
        <w:t xml:space="preserve">Keywords: Free Nutritious Meal Program; Marketing 6.0; Social Network Analysis; digital sarcasm; IndoBERT; phygital gap; Twitter/X</w:t>
      </w:r>
    </w:p>
    <w:p>
      <w:pPr>
        <w:spacing w:after="100" w:before="200"/>
      </w:pPr>
      <w:r>
        <w:rPr>
          <w:rFonts w:ascii="Times New Roman" w:cs="Times New Roman" w:eastAsia="Times New Roman" w:hAnsi="Times New Roman"/>
          <w:b/>
          <w:bCs/>
          <w:i/>
          <w:iCs/>
          <w:sz w:val="22"/>
          <w:szCs w:val="22"/>
        </w:rPr>
        <w:t xml:space="preserve">Abstrak</w:t>
      </w:r>
    </w:p>
    <w:p>
      <w:pPr>
        <w:spacing w:after="160" w:line="276"/>
        <w:jc w:val="both"/>
      </w:pPr>
      <w:r>
        <w:rPr>
          <w:rFonts w:ascii="Times New Roman" w:cs="Times New Roman" w:eastAsia="Times New Roman" w:hAnsi="Times New Roman"/>
          <w:sz w:val="22"/>
          <w:szCs w:val="22"/>
        </w:rPr>
        <w:t xml:space="preserve">Program Makan Bergizi Gratis (MBG) merupakan salah satu intervensi sosial-fiskal terbesar pemerintah Indonesia, dengan pagu anggaran nasional mencapai Rp268 triliun pada tahun 2026. Di balik skala tersebut, implementasi program diwarnai kontroversi tata kelola — dapur SPPG yang tidak beroperasi, dugaan pengadaan fiktif, hingga polemik impor wadah makanan — yang mengikis kepercayaan publik dan memicu gelombang wacana sarkastik di platform X (Twitter). Penelitian ini mengkaji bagaimana sarkasme dan polarisasi jaringan di X mencerminkan phygital gap, dengan merujuk pada kerangka Marketing 6.0 Philip Kotler, yaitu kesenjangan antara janji digital kebijakan dan pengalaman fisik warga di lapangan. Menggunakan desain mixed methods berparadigma Computational Social Science, sebanyak 5.310 cuitan berbahasa Indonesia terkait MBG (Maret–Mei 2026) dianalisis melalui klasifikasi emosi sembilan kelas berbasis IndoBERT serta deteksi sarkasme melalui inkongruensi teks-emoji, dipadukan dengan Social Network Analysis (2.414 nodes, 3.483 edges) menggunakan Degree dan Betweenness Centrality serta algoritma Louvain untuk deteksi komunitas. Hasil menunjukkan 37–40% cuitan mengandung sarkasme, paling sering ditandai emoji inkongruen seperti 🙃 dan 🤡 yang berdampingan dengan teks yang secara literal positif. Nilai modularitas jaringan mencapai 0,7130, mengindikasikan polarisasi tajam dan terbentuknya echo chamber, dengan akun elite politik berperan sebagai episentrum narasi dan akun media nasional sebagai information broker utama antar-klaster. Sentimen negatif terkonsentrasi pada aspek logistik (40,2%) dan transparansi anggaran (37,0%). Temuan ini mengindikasikan bahwa erosi kepercayaan publik terhadap MBG lebih banyak didorong oleh phygital gap yang belum terselesaikan antara narasi pemerintah dan realitas lapangan, bukan semata tujuan kebijakan itu sendiri, sehingga komunikasi krisis untuk kebijakan publik berskala besar memerlukan pemantauan jaringan secara real-time serta dialog dua arah dengan opinion leader kritis, alih-alih saturasi konten satu arah.</w:t>
      </w:r>
    </w:p>
    <w:p>
      <w:pPr>
        <w:spacing w:after="160" w:line="276"/>
        <w:jc w:val="both"/>
      </w:pPr>
      <w:r>
        <w:rPr>
          <w:rFonts w:ascii="Times New Roman" w:cs="Times New Roman" w:eastAsia="Times New Roman" w:hAnsi="Times New Roman"/>
          <w:sz w:val="22"/>
          <w:szCs w:val="22"/>
        </w:rPr>
        <w:t xml:space="preserve">Kata Kunci: Program Makan Bergizi Gratis; Marketing 6.0; Social Network Analysis; sarkasme digital; IndoBERT; phygital gap; Twitter/X</w:t>
      </w:r>
    </w:p>
    <w:p>
      <w:pPr>
        <w:pStyle w:val="Heading1"/>
        <w:spacing w:after="160" w:before="360"/>
      </w:pPr>
      <w:r>
        <w:rPr>
          <w:rFonts w:ascii="Times New Roman" w:cs="Times New Roman" w:eastAsia="Times New Roman" w:hAnsi="Times New Roman"/>
          <w:b/>
          <w:bCs/>
          <w:sz w:val="24"/>
          <w:szCs w:val="24"/>
        </w:rPr>
        <w:t xml:space="preserve">1. PENDAHULUAN</w:t>
      </w:r>
    </w:p>
    <w:p>
      <w:pPr>
        <w:spacing w:after="160" w:line="276"/>
        <w:jc w:val="both"/>
      </w:pPr>
      <w:r>
        <w:rPr>
          <w:rFonts w:ascii="Times New Roman" w:cs="Times New Roman" w:eastAsia="Times New Roman" w:hAnsi="Times New Roman"/>
          <w:sz w:val="22"/>
          <w:szCs w:val="22"/>
        </w:rPr>
        <w:t xml:space="preserve">Program Makan Bergizi Gratis (MBG) diposisikan pemerintah Indonesia sebagai pilar strategis pembangunan sumber daya manusia menuju visi Indonesia Emas 2045, sekaligus instrumen penurunan prevalensi stunting nasional yang pada tahun 2022 tercatat 21,6 persen (Badan Gizi Nasional, 2025). Pada tahap awal implementasi tahun 2025, program ini didukung Anggaran Pendapatan dan Belanja Negara (APBN) sebesar Rp71 triliun, dan pagu indikatif tahun 2026 semula direncanakan Rp335 triliun sebelum disesuaikan menjadi Rp268 triliun akibat kebijakan efisiensi fiskal — penyesuaian sebesar Rp67 triliun yang memicu gelombang kekhawatiran publik. Hingga 30 April 2026, realisasi anggaran tercatat Rp75 triliun dengan cakupan 61,96 juta penerima manfaat melalui 27.952 titik Satuan Pelayanan Pemenuhan Gizi (SPPG).</w:t>
      </w:r>
    </w:p>
    <w:p>
      <w:pPr>
        <w:spacing w:after="160" w:line="276"/>
        <w:jc w:val="both"/>
      </w:pPr>
      <w:r>
        <w:rPr>
          <w:rFonts w:ascii="Times New Roman" w:cs="Times New Roman" w:eastAsia="Times New Roman" w:hAnsi="Times New Roman"/>
          <w:sz w:val="22"/>
          <w:szCs w:val="22"/>
        </w:rPr>
        <w:t xml:space="preserve">Skala fiskal yang masif tersebut menjadikan MBG sangat rentan terhadap guncangan persepsi publik. Temuan mengenai ribuan dapur SPPG yang tidak beroperasi optimal, dugaan pengadaan SPPG fiktif di Jawa Barat, dan polemik impor wadah makanan memicu distorsi informasi yang meluas. Dalam kerangka Marketing 6.0 yang dikembangkan Kotler, Kartajaya, dan Setiawan (2021), fenomena ini merepresentasikan phygital gap — ketidaksesuaian antara pengalaman digital (digital experience) yang dijanjikan melalui narasi kebijakan dan pengalaman fisik (physical experience) yang dialami masyarakat penerima manfaat. Dalam ekosistem digital kontemporer, legitimasi kebijakan publik tidak lagi dibangun semata melalui statistik administratif, melainkan melalui resonansi emosional dan autentisitas narasi (Papacharissi, 2015); munculnya sarkasme dan ironi di platform X menjadi indikator melemahnya kanal dialog bermakna antara publik dan otoritas pemerintah.</w:t>
      </w:r>
    </w:p>
    <w:p>
      <w:pPr>
        <w:spacing w:after="160" w:line="276"/>
        <w:jc w:val="both"/>
      </w:pPr>
      <w:r>
        <w:rPr>
          <w:rFonts w:ascii="Times New Roman" w:cs="Times New Roman" w:eastAsia="Times New Roman" w:hAnsi="Times New Roman"/>
          <w:sz w:val="22"/>
          <w:szCs w:val="22"/>
        </w:rPr>
        <w:t xml:space="preserve">Studi terdahulu tentang deteksi emosi teks berbahasa Indonesia menunjukkan evolusi metodologis dari pendekatan klasik (LSTM, Naïve Bayes) dengan akurasi terbatas pada konteks sarkastik (Riza &amp; Charibaldi, 2021; Fanesya et al., 2019) menuju arsitektur transformer seperti BERT yang terbukti unggul pada sentimen Twitter (Chiorrini et al., 2021). Namun, kajian yang mengintegrasikan deteksi sarkasme berbasis inkongruensi teks-emoji dengan pemetaan struktur jaringan (Social Network Analysis) dan kerangka pemasaran strategis kebijakan publik seperti Marketing 6.0 masih jarang dilakukan pada kasus kebijakan gizi berskala nasional. Kebaruan (novelty) penelitian ini terletak pada integrasi tiga lapisan analisis — NLP berbasis IndoBERT, SNA, dan sintesis Marketing 6.0 — untuk membedah bagaimana sarkasme digital dan polarisasi jaringan mencerminkan kegagalan phygital experience pada kebijakan MBG.</w:t>
      </w:r>
    </w:p>
    <w:p>
      <w:pPr>
        <w:spacing w:after="160" w:line="276"/>
        <w:jc w:val="both"/>
      </w:pPr>
      <w:r>
        <w:rPr>
          <w:rFonts w:ascii="Times New Roman" w:cs="Times New Roman" w:eastAsia="Times New Roman" w:hAnsi="Times New Roman"/>
          <w:sz w:val="22"/>
          <w:szCs w:val="22"/>
        </w:rPr>
        <w:t xml:space="preserve">Berdasarkan latar belakang tersebut, penelitian ini dirumuskan untuk menjawab: (1) bagaimana anatomi bahasa sarkastik dan inkongruensi teks-emoji dalam diskursus MBG di X; (2) bagaimana struktur jaringan komunikasi dan pola polarisasinya terbentuk; (3) siapa aktor dominan yang memimpin narasi sarkastik; dan (4) sejauh mana temuan tersebut mencerminkan phygital gap dalam kerangka Marketing 6.0. Tujuan penelitian adalah memetakan anatomi sarkasme digital, struktur jaringan, dan aktor sentral dalam diskursus MBG, serta merumuskan implikasi bagi strategi komunikasi krisis kebijakan publik berbasis data digital.</w:t>
      </w:r>
    </w:p>
    <w:p>
      <w:pPr>
        <w:pStyle w:val="Heading1"/>
        <w:spacing w:after="160" w:before="360"/>
      </w:pPr>
      <w:r>
        <w:rPr>
          <w:rFonts w:ascii="Times New Roman" w:cs="Times New Roman" w:eastAsia="Times New Roman" w:hAnsi="Times New Roman"/>
          <w:b/>
          <w:bCs/>
          <w:sz w:val="24"/>
          <w:szCs w:val="24"/>
        </w:rPr>
        <w:t xml:space="preserve">2. KAJIAN TEORI</w:t>
      </w:r>
    </w:p>
    <w:p>
      <w:pPr>
        <w:pStyle w:val="Heading2"/>
        <w:spacing w:after="120" w:before="240"/>
      </w:pPr>
      <w:r>
        <w:rPr>
          <w:rFonts w:ascii="Times New Roman" w:cs="Times New Roman" w:eastAsia="Times New Roman" w:hAnsi="Times New Roman"/>
          <w:b/>
          <w:bCs/>
          <w:i/>
          <w:iCs/>
          <w:sz w:val="22"/>
          <w:szCs w:val="22"/>
        </w:rPr>
        <w:t xml:space="preserve">2.1 Komunikasi Risiko dan Kebijakan Publik Berskala Fiskal Besar</w:t>
      </w:r>
    </w:p>
    <w:p>
      <w:pPr>
        <w:spacing w:after="160" w:line="276"/>
        <w:jc w:val="both"/>
      </w:pPr>
      <w:r>
        <w:rPr>
          <w:rFonts w:ascii="Times New Roman" w:cs="Times New Roman" w:eastAsia="Times New Roman" w:hAnsi="Times New Roman"/>
          <w:sz w:val="22"/>
          <w:szCs w:val="22"/>
        </w:rPr>
        <w:t xml:space="preserve">Slovic (2016) menegaskan bahwa persepsi risiko publik terhadap kebijakan dibentuk oleh faktor psikologis dan tingkat kepercayaan terhadap institusi, bukan semata data teknis. Pemangkasan pagu anggaran MBG dari Rp335 triliun menjadi Rp268 triliun diterjemahkan publik bukan sebagai langkah manajerial-fiskal, melainkan sebagai ancaman terhadap kualitas layanan yang diterima 61,96 juta penerima manfaat.</w:t>
      </w:r>
    </w:p>
    <w:p>
      <w:pPr>
        <w:pStyle w:val="Heading2"/>
        <w:spacing w:after="120" w:before="240"/>
      </w:pPr>
      <w:r>
        <w:rPr>
          <w:rFonts w:ascii="Times New Roman" w:cs="Times New Roman" w:eastAsia="Times New Roman" w:hAnsi="Times New Roman"/>
          <w:b/>
          <w:bCs/>
          <w:i/>
          <w:iCs/>
          <w:sz w:val="22"/>
          <w:szCs w:val="22"/>
        </w:rPr>
        <w:t xml:space="preserve">2.2 Networked Crisis Communication</w:t>
      </w:r>
    </w:p>
    <w:p>
      <w:pPr>
        <w:spacing w:after="160" w:line="276"/>
        <w:jc w:val="both"/>
      </w:pPr>
      <w:r>
        <w:rPr>
          <w:rFonts w:ascii="Times New Roman" w:cs="Times New Roman" w:eastAsia="Times New Roman" w:hAnsi="Times New Roman"/>
          <w:sz w:val="22"/>
          <w:szCs w:val="22"/>
        </w:rPr>
        <w:t xml:space="preserve">Networked Crisis Communication (NCC) menjelaskan bahwa kontrol narasi krisis pada era media sosial telah berpindah dari institusi resmi ke publik (Utz et al., 2013). Pada kasus MBG, isu SPPG fiktif dan polemik wadah makanan bergerak cepat tanpa hambatan birokrasi, dengan Key Opinion Leaders (KOL) berperan sebagai akselerator transmisi emosi kolektif yang jangkauannya kerap melampaui akun resmi pemerintah.</w:t>
      </w:r>
    </w:p>
    <w:p>
      <w:pPr>
        <w:pStyle w:val="Heading2"/>
        <w:spacing w:after="120" w:before="240"/>
      </w:pPr>
      <w:r>
        <w:rPr>
          <w:rFonts w:ascii="Times New Roman" w:cs="Times New Roman" w:eastAsia="Times New Roman" w:hAnsi="Times New Roman"/>
          <w:b/>
          <w:bCs/>
          <w:i/>
          <w:iCs/>
          <w:sz w:val="22"/>
          <w:szCs w:val="22"/>
        </w:rPr>
        <w:t xml:space="preserve">2.3 Sarkasme Digital dan Teori Inkongruensi Makna</w:t>
      </w:r>
    </w:p>
    <w:p>
      <w:pPr>
        <w:spacing w:after="160" w:line="276"/>
        <w:jc w:val="both"/>
      </w:pPr>
      <w:r>
        <w:rPr>
          <w:rFonts w:ascii="Times New Roman" w:cs="Times New Roman" w:eastAsia="Times New Roman" w:hAnsi="Times New Roman"/>
          <w:sz w:val="22"/>
          <w:szCs w:val="22"/>
        </w:rPr>
        <w:t xml:space="preserve">Sarkasme digital dipahami melalui Incongruity Theory (Camp, 2012): makna subversif muncul dari ketidaksesuaian antara teks literal dan konteks atau simbol penyertanya. Pada wacana MBG, emoji seperti 🙃 (upside-down face) dan 🤡 (clown face) berfungsi sebagai penanda retoris yang membalik valensi teks positif menjadi sindiran terhadap realitas program.</w:t>
      </w:r>
    </w:p>
    <w:p>
      <w:pPr>
        <w:pStyle w:val="Heading2"/>
        <w:spacing w:after="120" w:before="240"/>
      </w:pPr>
      <w:r>
        <w:rPr>
          <w:rFonts w:ascii="Times New Roman" w:cs="Times New Roman" w:eastAsia="Times New Roman" w:hAnsi="Times New Roman"/>
          <w:b/>
          <w:bCs/>
          <w:i/>
          <w:iCs/>
          <w:sz w:val="22"/>
          <w:szCs w:val="22"/>
        </w:rPr>
        <w:t xml:space="preserve">2.4 IndoBERT dan Social Network Analysis</w:t>
      </w:r>
    </w:p>
    <w:p>
      <w:pPr>
        <w:spacing w:after="160" w:line="276"/>
        <w:jc w:val="both"/>
      </w:pPr>
      <w:r>
        <w:rPr>
          <w:rFonts w:ascii="Times New Roman" w:cs="Times New Roman" w:eastAsia="Times New Roman" w:hAnsi="Times New Roman"/>
          <w:sz w:val="22"/>
          <w:szCs w:val="22"/>
        </w:rPr>
        <w:t xml:space="preserve">IndoBERT (Koto et al., 2020) merupakan model bahasa berbasis transformer yang dilatih pada korpus Bahasa Indonesia berskala besar, mampu mengklasifikasikan teks ke dalam sembilan kelas emosi granular. Struktur interaksi digital dipetakan melalui Teori Graf (Easley &amp; Kleinberg, 2010), dengan metrik Degree Centrality, Betweenness Centrality, dan Modularity sebagai indikator sentralitas aktor dan derajat polarisasi jaringan.</w:t>
      </w:r>
    </w:p>
    <w:p>
      <w:pPr>
        <w:pStyle w:val="Heading2"/>
        <w:spacing w:after="120" w:before="240"/>
      </w:pPr>
      <w:r>
        <w:rPr>
          <w:rFonts w:ascii="Times New Roman" w:cs="Times New Roman" w:eastAsia="Times New Roman" w:hAnsi="Times New Roman"/>
          <w:b/>
          <w:bCs/>
          <w:i/>
          <w:iCs/>
          <w:sz w:val="22"/>
          <w:szCs w:val="22"/>
        </w:rPr>
        <w:t xml:space="preserve">2.5 Marketing 6.0 dan Phygital Gap</w:t>
      </w:r>
    </w:p>
    <w:p>
      <w:pPr>
        <w:spacing w:after="160" w:line="276"/>
        <w:jc w:val="both"/>
      </w:pPr>
      <w:r>
        <w:rPr>
          <w:rFonts w:ascii="Times New Roman" w:cs="Times New Roman" w:eastAsia="Times New Roman" w:hAnsi="Times New Roman"/>
          <w:sz w:val="22"/>
          <w:szCs w:val="22"/>
        </w:rPr>
        <w:t xml:space="preserve">Kotler, Kartajaya, dan Setiawan (2021) memperkenalkan Marketing 6.0 sebagai paradigma metamarketing yang menuntut keselarasan antara pengalaman digital dan fisik (phygital experience). Ketika sebuah kebijakan publik gagal menyelaraskan kedua dimensi tersebut, muncul phygital gap yang berdampak pada runtuhnya emotional engagement antara negara dan warganya — kerangka inilah yang menjadi pisau analisis utama untuk mensintesis temuan NLP dan SNA dalam penelitian ini.</w:t>
      </w:r>
    </w:p>
    <w:p>
      <w:pPr>
        <w:pStyle w:val="Heading2"/>
        <w:spacing w:after="120" w:before="240"/>
      </w:pPr>
      <w:r>
        <w:rPr>
          <w:rFonts w:ascii="Times New Roman" w:cs="Times New Roman" w:eastAsia="Times New Roman" w:hAnsi="Times New Roman"/>
          <w:b/>
          <w:bCs/>
          <w:i/>
          <w:iCs/>
          <w:sz w:val="22"/>
          <w:szCs w:val="22"/>
        </w:rPr>
        <w:t xml:space="preserve">2.6 Hipotesis Kerja</w:t>
      </w:r>
    </w:p>
    <w:p>
      <w:pPr>
        <w:pStyle w:val="ListParagraph"/>
        <w:numPr>
          <w:ilvl w:val="0"/>
          <w:numId w:val="2"/>
        </w:numPr>
        <w:spacing w:after="80"/>
      </w:pPr>
      <w:r>
        <w:rPr>
          <w:rFonts w:ascii="Times New Roman" w:cs="Times New Roman" w:eastAsia="Times New Roman" w:hAnsi="Times New Roman"/>
          <w:sz w:val="22"/>
          <w:szCs w:val="22"/>
        </w:rPr>
        <w:t xml:space="preserve">Terdapat inkongruensi signifikan antara teks dan emoji dalam diskursus MBG, di mana teks positif secara literal merupakan ekspresi sarkasme yang menyembunyikan emosi marah atau jijik.</w:t>
      </w:r>
    </w:p>
    <w:p>
      <w:pPr>
        <w:pStyle w:val="ListParagraph"/>
        <w:numPr>
          <w:ilvl w:val="0"/>
          <w:numId w:val="2"/>
        </w:numPr>
        <w:spacing w:after="80"/>
      </w:pPr>
      <w:r>
        <w:rPr>
          <w:rFonts w:ascii="Times New Roman" w:cs="Times New Roman" w:eastAsia="Times New Roman" w:hAnsi="Times New Roman"/>
          <w:sz w:val="22"/>
          <w:szCs w:val="22"/>
        </w:rPr>
        <w:t xml:space="preserve">Struktur jaringan komunikasi MBG terpolarisasi secara asimetris, dikendalikan oleh segelintir aktor sentral (KOL) dengan nilai Degree dan Betweenness Centrality tinggi sebagai jembatan emosional dalam echo chamber.</w:t>
      </w:r>
    </w:p>
    <w:p>
      <w:pPr>
        <w:pStyle w:val="ListParagraph"/>
        <w:numPr>
          <w:ilvl w:val="0"/>
          <w:numId w:val="2"/>
        </w:numPr>
        <w:spacing w:after="80"/>
      </w:pPr>
      <w:r>
        <w:rPr>
          <w:rFonts w:ascii="Times New Roman" w:cs="Times New Roman" w:eastAsia="Times New Roman" w:hAnsi="Times New Roman"/>
          <w:sz w:val="22"/>
          <w:szCs w:val="22"/>
        </w:rPr>
        <w:t xml:space="preserve">Volume sarkasme digital dan fragmentasi jaringan berbanding lurus dengan besarnya phygital gap, yang merefleksikan runtuhnya pengalaman emosional publik akibat ketidakselarasan janji digital dan realitas implementasi fisik.</w:t>
      </w:r>
    </w:p>
    <w:p>
      <w:pPr>
        <w:pStyle w:val="Heading1"/>
        <w:spacing w:after="160" w:before="360"/>
      </w:pPr>
      <w:r>
        <w:rPr>
          <w:rFonts w:ascii="Times New Roman" w:cs="Times New Roman" w:eastAsia="Times New Roman" w:hAnsi="Times New Roman"/>
          <w:b/>
          <w:bCs/>
          <w:sz w:val="24"/>
          <w:szCs w:val="24"/>
        </w:rPr>
        <w:t xml:space="preserve">3. METODE PENELITIAN</w:t>
      </w:r>
    </w:p>
    <w:p>
      <w:pPr>
        <w:spacing w:after="160" w:line="276"/>
        <w:jc w:val="both"/>
      </w:pPr>
      <w:r>
        <w:rPr>
          <w:rFonts w:ascii="Times New Roman" w:cs="Times New Roman" w:eastAsia="Times New Roman" w:hAnsi="Times New Roman"/>
          <w:sz w:val="22"/>
          <w:szCs w:val="22"/>
        </w:rPr>
        <w:t xml:space="preserve">Penelitian ini menggunakan pendekatan mixed methods dengan desain Explanatory Sequential, berpijak pada paradigma Computational Social Science yang mensintesiskan komputasi tingkat lanjut dengan teori ilmu sosial kritis. Populasi penelitian adalah seluruh cuitan, balasan, dan retweet berbahasa Indonesia terkait MBG selama periode Maret–Mei 2026. Sampel diperoleh melalui purposive sampling berbasis kueri strategis ("Makan Bergizi Gratis", "MBG", "Makan Siang Gratis", #MBG, "anggaran MBG", "SPPG fiktif", "keracunan MBG", "ompreng MBG", "tempe separo MBG"), menghasilkan 5.310 cuitan unik untuk analisis NLP, serta seluruh interaksi retweet/mention/reply untuk membangun 2.414 nodes dan 3.483 edges pada analisis SNA setelah eksklusi akun bot dan spam.</w:t>
      </w:r>
    </w:p>
    <w:p>
      <w:pPr>
        <w:spacing w:after="160" w:line="276"/>
        <w:jc w:val="both"/>
      </w:pPr>
      <w:r>
        <w:rPr>
          <w:rFonts w:ascii="Times New Roman" w:cs="Times New Roman" w:eastAsia="Times New Roman" w:hAnsi="Times New Roman"/>
          <w:sz w:val="22"/>
          <w:szCs w:val="22"/>
        </w:rPr>
        <w:t xml:space="preserve">Pengumpulan data dilakukan melalui web scraping dan permintaan API menggunakan Python, dengan atribut user_id, full_text, timestamp, lokasi, retweet_count, reply_count, dan favorite_count; emoji dipertahankan sebagai variabel kunci deteksi sarkasme. Penelitian menjunjung prinsip anonimitas pada tahap pelaporan (kecuali tokoh publik) dan hanya mengolah data publik. Tahap pra-pemrosesan teks meliputi noise removal, case folding, punctuation removal (dengan emoji dipertahankan), normalisasi kata tidak baku, stopword removal, dan stemming menggunakan pustaka Sastrawi.</w:t>
      </w:r>
    </w:p>
    <w:p>
      <w:pPr>
        <w:spacing w:after="160" w:line="276"/>
        <w:jc w:val="both"/>
      </w:pPr>
      <w:r>
        <w:rPr>
          <w:rFonts w:ascii="Times New Roman" w:cs="Times New Roman" w:eastAsia="Times New Roman" w:hAnsi="Times New Roman"/>
          <w:sz w:val="22"/>
          <w:szCs w:val="22"/>
        </w:rPr>
        <w:t xml:space="preserve">Analisis data dilakukan dalam tiga lapisan. Pertama, klasifikasi Natural Language Processing menggunakan IndoBERT-base-p2 yang di-fine-tune untuk multi-task classification (split data 70:15:15 untuk training, validation, dan testing), dievaluasi melalui confusion matrix dan F1-score. Kedua, Social Network Analysis dengan data ditransformasikan menjadi directed graph, dianalisis melalui Degree Centrality, Betweenness Centrality, dan algoritma Louvain untuk deteksi komunitas. Ketiga, sintesis kualitatif yang mengintegrasikan temuan NLP dan SNA ke dalam kerangka Marketing 6.0 guna mengevaluasi dimensi immersive experience dan emotional engagement dalam komunikasi kebijakan.</w:t>
      </w:r>
    </w:p>
    <w:p>
      <w:pPr>
        <w:spacing w:after="160" w:line="276"/>
        <w:jc w:val="both"/>
      </w:pPr>
      <w:r>
        <w:rPr>
          <w:rFonts w:ascii="Times New Roman" w:cs="Times New Roman" w:eastAsia="Times New Roman" w:hAnsi="Times New Roman"/>
          <w:sz w:val="22"/>
          <w:szCs w:val="22"/>
        </w:rPr>
        <w:t xml:space="preserve">Definisi operasional variabel penelitian dirangkum pada Tabel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Variabel</w:t>
            </w:r>
          </w:p>
        </w:tc>
        <w:tc>
          <w:tcPr>
            <w:tcW w:type="dxa" w:w="3826"/>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Definisi Konseptual</w:t>
            </w:r>
          </w:p>
        </w:tc>
        <w:tc>
          <w:tcPr>
            <w:tcW w:type="dxa" w:w="30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Indikator / Alat Ukur</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Sentimen Digital &amp; Spektrum Emosi</w:t>
            </w:r>
          </w:p>
        </w:tc>
        <w:tc>
          <w:tcPr>
            <w:tcW w:type="dxa" w:w="38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Agregasi afeksi warganet terhadap kebijakan MBG sebagai barometer sosiopolitik digital (Plutchik &amp; Ekman)</w:t>
            </w:r>
          </w:p>
        </w:tc>
        <w:tc>
          <w:tcPr>
            <w:tcW w:type="dxa" w:w="3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 kelas emosi menggunakan IndoBERT-base-p2</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Sarkasme Digital &amp; Inkongruensi Emoji</w:t>
            </w:r>
          </w:p>
        </w:tc>
        <w:tc>
          <w:tcPr>
            <w:tcW w:type="dxa" w:w="38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Komunikasi ironis berbasis Incongruity Theory, teks positif bertentangan dengan emoji</w:t>
            </w:r>
          </w:p>
        </w:tc>
        <w:tc>
          <w:tcPr>
            <w:tcW w:type="dxa" w:w="3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Deteksi ketidaksesuaian teks vs emoji via fine-tuned IndoBERT</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Metrik Jaringan (SNA)</w:t>
            </w:r>
          </w:p>
        </w:tc>
        <w:tc>
          <w:tcPr>
            <w:tcW w:type="dxa" w:w="38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Arsitektur hubungan dan pola aliran informasi antar-pengguna (Teori Graf)</w:t>
            </w:r>
          </w:p>
        </w:tc>
        <w:tc>
          <w:tcPr>
            <w:tcW w:type="dxa" w:w="3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Degree Centrality, Betweenness Centrality, Modularity</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Phygital Experience (Marketing 6.0)</w:t>
            </w:r>
          </w:p>
        </w:tc>
        <w:tc>
          <w:tcPr>
            <w:tcW w:type="dxa" w:w="38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Keselarasan janji digital pemerintah dengan realitas fisik lapangan (Kotler)</w:t>
            </w:r>
          </w:p>
        </w:tc>
        <w:tc>
          <w:tcPr>
            <w:tcW w:type="dxa" w:w="3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Evaluasi Phygital Gap: narasi 'Makan Bergizi' vs kata kunci 'Ompreng', 'Keracunan', 'Tempe Separo'</w:t>
            </w:r>
          </w:p>
        </w:tc>
      </w:tr>
    </w:tbl>
    <w:p>
      <w:pPr>
        <w:spacing w:after="300" w:before="80" w:line="276"/>
        <w:jc w:val="center"/>
      </w:pPr>
      <w:r>
        <w:rPr>
          <w:rFonts w:ascii="Times New Roman" w:cs="Times New Roman" w:eastAsia="Times New Roman" w:hAnsi="Times New Roman"/>
          <w:i/>
          <w:iCs/>
          <w:sz w:val="20"/>
          <w:szCs w:val="20"/>
        </w:rPr>
        <w:t xml:space="preserve">Tabel 1. Definisi Operasional Variabel Penelitian</w:t>
      </w:r>
    </w:p>
    <w:p>
      <w:pPr>
        <w:pStyle w:val="Heading1"/>
        <w:spacing w:after="160" w:before="360"/>
      </w:pPr>
      <w:r>
        <w:rPr>
          <w:rFonts w:ascii="Times New Roman" w:cs="Times New Roman" w:eastAsia="Times New Roman" w:hAnsi="Times New Roman"/>
          <w:b/>
          <w:bCs/>
          <w:sz w:val="24"/>
          <w:szCs w:val="24"/>
        </w:rPr>
        <w:t xml:space="preserve">4. HASIL DAN PEMBAHASAN</w:t>
      </w:r>
    </w:p>
    <w:p>
      <w:pPr>
        <w:pStyle w:val="Heading2"/>
        <w:spacing w:after="120" w:before="240"/>
      </w:pPr>
      <w:r>
        <w:rPr>
          <w:rFonts w:ascii="Times New Roman" w:cs="Times New Roman" w:eastAsia="Times New Roman" w:hAnsi="Times New Roman"/>
          <w:b/>
          <w:bCs/>
          <w:i/>
          <w:iCs/>
          <w:sz w:val="22"/>
          <w:szCs w:val="22"/>
        </w:rPr>
        <w:t xml:space="preserve">4.1 Karakteristik Data dan Topologi Jaringan</w:t>
      </w:r>
    </w:p>
    <w:p>
      <w:pPr>
        <w:spacing w:after="160" w:line="276"/>
        <w:jc w:val="both"/>
      </w:pPr>
      <w:r>
        <w:rPr>
          <w:rFonts w:ascii="Times New Roman" w:cs="Times New Roman" w:eastAsia="Times New Roman" w:hAnsi="Times New Roman"/>
          <w:sz w:val="22"/>
          <w:szCs w:val="22"/>
        </w:rPr>
        <w:t xml:space="preserve">Dari 5.310 cuitan yang dikumpulkan selama Maret–Mei 2026, terbentuk jaringan interaksi dengan 2.414 nodes (aktor) dan 3.483 edges (hubungan mention, retweet, reply). Nilai Modularity sebesar 0,7130 — jauh melampaui ambang batas signifikansi polarisasi 0,5 (Easley &amp; Kleinberg, 2010) — menjadi bukti empiris fragmentasi jaringan yang kuat. Densitas jaringan yang rendah menunjukkan bahwa meskipun melibatkan ribuan aktor, interaksi lintas kelompok tetap minim, mengindikasikan terbentuknya echo chamber yang masif di mana narasi kegagalan implementasi berputar dan menguat di dalam klaster kritis tanpa memperoleh klarifikasi memadai dari klaster pendukung. Temuan ini mendukung Hipotesis 2.</w:t>
      </w:r>
    </w:p>
    <w:p>
      <w:pPr>
        <w:pStyle w:val="Heading2"/>
        <w:spacing w:after="120" w:before="240"/>
      </w:pPr>
      <w:r>
        <w:rPr>
          <w:rFonts w:ascii="Times New Roman" w:cs="Times New Roman" w:eastAsia="Times New Roman" w:hAnsi="Times New Roman"/>
          <w:b/>
          <w:bCs/>
          <w:i/>
          <w:iCs/>
          <w:sz w:val="22"/>
          <w:szCs w:val="22"/>
        </w:rPr>
        <w:t xml:space="preserve">4.2 Klasifikasi Emosi dan Deteksi Sarkasme</w:t>
      </w:r>
    </w:p>
    <w:p>
      <w:pPr>
        <w:spacing w:after="160" w:line="276"/>
        <w:jc w:val="both"/>
      </w:pPr>
      <w:r>
        <w:rPr>
          <w:rFonts w:ascii="Times New Roman" w:cs="Times New Roman" w:eastAsia="Times New Roman" w:hAnsi="Times New Roman"/>
          <w:sz w:val="22"/>
          <w:szCs w:val="22"/>
        </w:rPr>
        <w:t xml:space="preserve">Model IndoBERT-base-p2 mencapai akurasi rata-rata 98,4% (weighted F1-score 0,984) pada tahap pengujian, dengan performa tertinggi pada kelas Bahagia dan Netral (F1-score 0,990) dan performa terendah pada kelas Tertarik (F1-score 0,965; lihat Tabel 2). Model berhasil mendeteksi bahwa 37–40% dari total cuitan mengandung unsur sarkasme, yang paling konsisten ditandai oleh inkongruensi antara teks berkonotasi positif dan emoji seperti 🙃, 🤡, dan 😊. Pola ini mengonfirmasi Hipotesis 1: sarkasme berfungsi sebagai mekanisme resistensi yang melewati filter sensor formal sambil membangun solidaritas antar-warganet, sejalan dengan Incongruity Theory (Camp, 2012).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400"/>
        <w:gridCol w:w="1400"/>
        <w:gridCol w:w="1600"/>
        <w:gridCol w:w="2000"/>
      </w:tblGrid>
      <w:tr>
        <w:trPr>
          <w:tblHeader/>
        </w:trPr>
        <w:tc>
          <w:tcPr>
            <w:tcW w:type="dxa" w:w="2626"/>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Kelas Emosi</w:t>
            </w:r>
          </w:p>
        </w:tc>
        <w:tc>
          <w:tcPr>
            <w:tcW w:type="dxa" w:w="14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Precision</w:t>
            </w:r>
          </w:p>
        </w:tc>
        <w:tc>
          <w:tcPr>
            <w:tcW w:type="dxa" w:w="14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Recall</w:t>
            </w:r>
          </w:p>
        </w:tc>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F1-Score</w:t>
            </w:r>
          </w:p>
        </w:tc>
        <w:tc>
          <w:tcPr>
            <w:tcW w:type="dxa" w:w="20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Sampel</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Marah (Anger)</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1.240</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Jijik (Disgust)</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415</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Takut (Fear)</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410</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Sedih (Sadness)</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330</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Bahagia (Joy)</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495</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Netral (Neutral)</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0,990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825</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Percaya (Trust)</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206</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Kaget (Surprise)</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124</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Tertarik (Anticipation)</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0,97</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0,965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82</w:t>
            </w:r>
          </w:p>
        </w:tc>
      </w:tr>
      <w:tr>
        <w:tc>
          <w:tcPr>
            <w:tcW w:type="dxa" w:w="26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Rata-rata Tertimbang</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0,985</w:t>
            </w:r>
          </w:p>
        </w:tc>
        <w:tc>
          <w:tcPr>
            <w:tcW w:type="dxa" w:w="14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0,984</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4.127</w:t>
            </w:r>
          </w:p>
        </w:tc>
      </w:tr>
    </w:tbl>
    <w:p>
      <w:pPr>
        <w:spacing w:after="300" w:before="80" w:line="276"/>
        <w:jc w:val="center"/>
      </w:pPr>
      <w:r>
        <w:rPr>
          <w:rFonts w:ascii="Times New Roman" w:cs="Times New Roman" w:eastAsia="Times New Roman" w:hAnsi="Times New Roman"/>
          <w:i/>
          <w:iCs/>
          <w:sz w:val="20"/>
          <w:szCs w:val="20"/>
        </w:rPr>
        <w:t xml:space="preserve">Tabel 2. Ringkasan Metrik Performa Model IndoBERT-base-p2</w:t>
      </w:r>
    </w:p>
    <w:p>
      <w:pPr>
        <w:spacing w:after="160" w:line="276"/>
        <w:jc w:val="both"/>
      </w:pPr>
      <w:r>
        <w:rPr>
          <w:rFonts w:ascii="Times New Roman" w:cs="Times New Roman" w:eastAsia="Times New Roman" w:hAnsi="Times New Roman"/>
          <w:sz w:val="22"/>
          <w:szCs w:val="22"/>
        </w:rPr>
        <w:t xml:space="preserve">Secara tematik, emosi Marah dominan pada cuitan tentang pemangkasan anggaran dan dugaan korupsi SPPG; emosi Jijik kuat pada cuitan mengenai menu “tempe separo” atau kualitas makanan buruk; emosi Takut terkait kekhawatiran beban utang negara dan risiko keracunan massal; sementara emosi Bahagia relatif terbatas pada klaster pendukung yang merayakan capaian 61,96 juta penerima manfaat.</w:t>
      </w:r>
    </w:p>
    <w:p>
      <w:pPr>
        <w:pStyle w:val="Heading2"/>
        <w:spacing w:after="120" w:before="240"/>
      </w:pPr>
      <w:r>
        <w:rPr>
          <w:rFonts w:ascii="Times New Roman" w:cs="Times New Roman" w:eastAsia="Times New Roman" w:hAnsi="Times New Roman"/>
          <w:b/>
          <w:bCs/>
          <w:i/>
          <w:iCs/>
          <w:sz w:val="22"/>
          <w:szCs w:val="22"/>
        </w:rPr>
        <w:t xml:space="preserve">4.3 Struktur Kekuasaan dan Aktor Dominan</w:t>
      </w:r>
    </w:p>
    <w:p>
      <w:pPr>
        <w:spacing w:after="160" w:line="276"/>
        <w:jc w:val="both"/>
      </w:pPr>
      <w:r>
        <w:rPr>
          <w:rFonts w:ascii="Times New Roman" w:cs="Times New Roman" w:eastAsia="Times New Roman" w:hAnsi="Times New Roman"/>
          <w:sz w:val="22"/>
          <w:szCs w:val="22"/>
        </w:rPr>
        <w:t xml:space="preserve">Analisis sentralitas (Tabel 3) mengidentifikasi akun elite politik sebagai episentrum narasi dengan Degree Centrality tertinggi, mengindikasikan posisinya sebagai target utama emosi publik. Akun media nasional menunjukkan Betweenness Centrality tertinggi (0,4210), memposisikannya sebagai information broker yang menjembatani klaster-klaster yang terpolarisasi. Akun lembaga resmi pemerintah menunjukkan Degree Centrality yang jauh lebih rendah dibandingkan akun tokoh publik personal, mengonfirmasi bahwa engagement terhadap sumber data teknis pemerintah kalah dibandingkan akun personal figur publik — sebuah temuan yang relevan bagi strategi komunikasi krisis berbasis KOL. Temuan ini mendukung Hipotesis 2, di mana narasi sarkasme dikendalikan oleh segelintir aktor sentral yang berfungsi sebagai jembatan emosional dalam jaringan.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800"/>
        <w:gridCol w:w="2026"/>
        <w:gridCol w:w="2000"/>
      </w:tblGrid>
      <w:tr>
        <w:trPr>
          <w:tblHeader/>
        </w:trPr>
        <w:tc>
          <w:tcPr>
            <w:tcW w:type="dxa" w:w="7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No.</w:t>
            </w:r>
          </w:p>
        </w:tc>
        <w:tc>
          <w:tcPr>
            <w:tcW w:type="dxa" w:w="25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Tipe Aktor</w:t>
            </w:r>
          </w:p>
        </w:tc>
        <w:tc>
          <w:tcPr>
            <w:tcW w:type="dxa" w:w="18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Degree Centrality</w:t>
            </w:r>
          </w:p>
        </w:tc>
        <w:tc>
          <w:tcPr>
            <w:tcW w:type="dxa" w:w="2026"/>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Betweenness Centrality</w:t>
            </w:r>
          </w:p>
        </w:tc>
        <w:tc>
          <w:tcPr>
            <w:tcW w:type="dxa" w:w="20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Peran dalam Jaringan</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25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Tokoh Publik/Pemerintah (akun 1)</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0,4823</w:t>
            </w:r>
          </w:p>
        </w:tc>
        <w:tc>
          <w:tcPr>
            <w:tcW w:type="dxa" w:w="20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0,3541</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Episentrum narasi kebijakan</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25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Tokoh Publik/Pemerintah (akun 2)</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0,4156</w:t>
            </w:r>
          </w:p>
        </w:tc>
        <w:tc>
          <w:tcPr>
            <w:tcW w:type="dxa" w:w="20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0,2987</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Koepisentrum narasi kebijakan</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25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Media Massa Nasional</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0,3892</w:t>
            </w:r>
          </w:p>
        </w:tc>
        <w:tc>
          <w:tcPr>
            <w:tcW w:type="dxa" w:w="20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0,4210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Information broker utama</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25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Lembaga Resmi Pemerintah</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0,2743</w:t>
            </w:r>
          </w:p>
        </w:tc>
        <w:tc>
          <w:tcPr>
            <w:tcW w:type="dxa" w:w="20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0,1823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Otoritas data teknis</w:t>
            </w:r>
          </w:p>
        </w:tc>
      </w:tr>
      <w:tr>
        <w:tc>
          <w:tcPr>
            <w:tcW w:type="dxa" w:w="7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25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Media Massa Nasional (lain)</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0,2591</w:t>
            </w:r>
          </w:p>
        </w:tc>
        <w:tc>
          <w:tcPr>
            <w:tcW w:type="dxa" w:w="2026"/>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0,3102</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Penguat narasi media</w:t>
            </w:r>
          </w:p>
        </w:tc>
      </w:tr>
    </w:tbl>
    <w:p>
      <w:pPr>
        <w:spacing w:after="300" w:before="80" w:line="276"/>
        <w:jc w:val="center"/>
      </w:pPr>
      <w:r>
        <w:rPr>
          <w:rFonts w:ascii="Times New Roman" w:cs="Times New Roman" w:eastAsia="Times New Roman" w:hAnsi="Times New Roman"/>
          <w:i/>
          <w:iCs/>
          <w:sz w:val="20"/>
          <w:szCs w:val="20"/>
        </w:rPr>
        <w:t xml:space="preserve">Tabel 3. Lima Aktor dengan Degree Centrality Tertinggi (ringkasan dari 20 aktor teratas)</w:t>
      </w:r>
    </w:p>
    <w:p>
      <w:pPr>
        <w:pStyle w:val="Heading2"/>
        <w:spacing w:after="120" w:before="240"/>
      </w:pPr>
      <w:r>
        <w:rPr>
          <w:rFonts w:ascii="Times New Roman" w:cs="Times New Roman" w:eastAsia="Times New Roman" w:hAnsi="Times New Roman"/>
          <w:b/>
          <w:bCs/>
          <w:i/>
          <w:iCs/>
          <w:sz w:val="22"/>
          <w:szCs w:val="22"/>
        </w:rPr>
        <w:t xml:space="preserve">4.4 Sintesis Marketing 6.0: Phygital Gap sebagai Akar Krisis Kepercayaan</w:t>
      </w:r>
    </w:p>
    <w:p>
      <w:pPr>
        <w:spacing w:after="160" w:line="276"/>
        <w:jc w:val="both"/>
      </w:pPr>
      <w:r>
        <w:rPr>
          <w:rFonts w:ascii="Times New Roman" w:cs="Times New Roman" w:eastAsia="Times New Roman" w:hAnsi="Times New Roman"/>
          <w:sz w:val="22"/>
          <w:szCs w:val="22"/>
        </w:rPr>
        <w:t xml:space="preserve">Sentimen negatif terkonsentrasi pada aspek logistik (40,2%) dan aspek anggaran (37,0%), sejalan dengan volume sarkasme 37–40% dan polarisasi jaringan tinggi (Modularity 0,7130). Ketiga indikator ini secara konsisten mengarah pada satu kesimpulan: pemerintah menghadapi krisis kepercayaan yang bersumber dari kegagalan mengelola phygital experience. Visualisasi menu di media sosial yang bertolak belakang dengan temuan lapangan seperti “tempe separo” dan insiden keracunan menciptakan jurang antara hiper-realitas digital dan integritas fisik program — inilah phygital gap dalam kerangka Marketing 6.0 (Kotler et al., 2021). Temuan ini mendukung Hipotesis 3 dan menegaskan bahwa kepercayaan publik yang telah terkikis sangat sulit dipulihkan hanya melalui saturasi konten institusional satu arah, melainkan memerlukan penyelarasan nyata antara janji digital dan realitas implementasi di lapangan.</w:t>
      </w:r>
    </w:p>
    <w:p>
      <w:pPr>
        <w:pStyle w:val="Heading1"/>
        <w:spacing w:after="160" w:before="360"/>
      </w:pPr>
      <w:r>
        <w:rPr>
          <w:rFonts w:ascii="Times New Roman" w:cs="Times New Roman" w:eastAsia="Times New Roman" w:hAnsi="Times New Roman"/>
          <w:b/>
          <w:bCs/>
          <w:sz w:val="24"/>
          <w:szCs w:val="24"/>
        </w:rPr>
        <w:t xml:space="preserve">5. KESIMPULAN</w:t>
      </w:r>
    </w:p>
    <w:p>
      <w:pPr>
        <w:spacing w:after="160" w:line="276"/>
        <w:jc w:val="both"/>
      </w:pPr>
      <w:r>
        <w:rPr>
          <w:rFonts w:ascii="Times New Roman" w:cs="Times New Roman" w:eastAsia="Times New Roman" w:hAnsi="Times New Roman"/>
          <w:sz w:val="22"/>
          <w:szCs w:val="22"/>
        </w:rPr>
        <w:t xml:space="preserve">Penelitian ini menyimpulkan empat hal utama. Pertama, sarkasme digital terbukti menjadi instrumen utama kritik publik terhadap kebijakan MBG, dengan prevalensi 37–40% dari total cuitan; inkongruensi antara teks positif dan emoji ironis menjadi mekanisme komunikasi resistensi yang efektif. Kedua, struktur jaringan terpolarisasi secara akut (Modularity 0,7130) dengan echo chamber yang terisolasi, di mana aktor elite politik menjadi episentrum narasi dan akun media nasional berperan sebagai information broker kunci antar-klaster. Ketiga, phygital gap terbukti signifikan, tercermin dari sentimen negatif pada aspek logistik (40,2%) dan anggaran (37,0%), sebagai indikasi kegagalan pemerintah menyelaraskan janji digital dengan realitas fisik implementasi. Keempat, pendekatan Computational Social Science yang mengintegrasikan IndoBERT dan SNA terbukti lebih tajam dalam memetakan resistensi publik dibandingkan analisis sentimen biner konvensional.</w:t>
      </w:r>
    </w:p>
    <w:p>
      <w:pPr>
        <w:spacing w:after="160" w:line="276"/>
        <w:jc w:val="both"/>
      </w:pPr>
      <w:r>
        <w:rPr>
          <w:rFonts w:ascii="Times New Roman" w:cs="Times New Roman" w:eastAsia="Times New Roman" w:hAnsi="Times New Roman"/>
          <w:sz w:val="22"/>
          <w:szCs w:val="22"/>
        </w:rPr>
        <w:t xml:space="preserve">Secara akademis, penelitian ini berkontribusi pada pengembangan kajian komunikasi digital melalui penerapan IndoBERT untuk analisis emosi granular berbahasa Indonesia, integrasi SNA dengan analisis sentimen berbasis aspek sebagai metodologi pemetaan resistensi kebijakan, dan adaptasi konsep phygital gap dari Marketing 6.0 ke ranah kebijakan publik. Secara praktis, temuan ini merekomendasikan agar Badan Gizi Nasional membangun kanal informasi transparan mengenai mekanisme pengalihan anggaran, mengimplementasikan sistem monitoring real-time berbasis data SNA untuk deteksi dini krisis komunikasi, mengalihkan strategi dari saturasi konten institusional menuju dialog dua arah dengan opinion leader kritis, serta memperbaiki kualitas layanan secara nyata yang dikomunikasikan melalui data terbuka.</w:t>
      </w:r>
    </w:p>
    <w:p>
      <w:pPr>
        <w:spacing w:after="160" w:line="276"/>
        <w:jc w:val="both"/>
      </w:pPr>
      <w:r>
        <w:rPr>
          <w:rFonts w:ascii="Times New Roman" w:cs="Times New Roman" w:eastAsia="Times New Roman" w:hAnsi="Times New Roman"/>
          <w:sz w:val="22"/>
          <w:szCs w:val="22"/>
        </w:rPr>
        <w:t xml:space="preserve">Penelitian ini memiliki keterbatasan: data terbatas pada platform X dan periode observasi tiga bulan, serta model IndoBERT belum diuji pada ekspresi campuran bahasa Indonesia-daerah. Penelitian selanjutnya disarankan memperluas periode observasi, mengembangkan model deteksi sarkasme multibahasa, dan melakukan perbandingan lintas platform (X, Instagram, TikTok) untuk memetakan variasi ekspresi sarkasme publik terhadap kebijakan gizi nasional.</w:t>
      </w:r>
    </w:p>
    <w:p>
      <w:pPr>
        <w:pStyle w:val="Heading1"/>
        <w:spacing w:after="160" w:before="360"/>
      </w:pPr>
      <w:r>
        <w:rPr>
          <w:rFonts w:ascii="Times New Roman" w:cs="Times New Roman" w:eastAsia="Times New Roman" w:hAnsi="Times New Roman"/>
          <w:b/>
          <w:bCs/>
          <w:sz w:val="24"/>
          <w:szCs w:val="24"/>
        </w:rPr>
        <w:t xml:space="preserve">DAFTAR PUSTAKA</w:t>
      </w:r>
    </w:p>
    <w:p>
      <w:pPr>
        <w:spacing w:after="160" w:line="276"/>
        <w:ind w:left="720" w:hanging="720"/>
        <w:jc w:val="both"/>
      </w:pPr>
      <w:r>
        <w:rPr>
          <w:rFonts w:ascii="Times New Roman" w:cs="Times New Roman" w:eastAsia="Times New Roman" w:hAnsi="Times New Roman"/>
          <w:sz w:val="22"/>
          <w:szCs w:val="22"/>
        </w:rPr>
        <w:t xml:space="preserve">Badan Gizi Nasional. (2025). Siaran pers: BGN-Komdigi perkuat komunikasi publik, kunci sukses Program MBG. https://www.bgn.go.id/news/siaran-pers/bgn-komdigi-perkuat-komunikasi-publik-kunci-sukses-program-mbg</w:t>
      </w:r>
    </w:p>
    <w:p>
      <w:pPr>
        <w:spacing w:after="160" w:line="276"/>
        <w:ind w:left="720" w:hanging="720"/>
        <w:jc w:val="both"/>
      </w:pPr>
      <w:r>
        <w:rPr>
          <w:rFonts w:ascii="Times New Roman" w:cs="Times New Roman" w:eastAsia="Times New Roman" w:hAnsi="Times New Roman"/>
          <w:sz w:val="22"/>
          <w:szCs w:val="22"/>
        </w:rPr>
        <w:t xml:space="preserve">Camp, E. (2012). Sarcasm, pretense, and the semantics/pragmatics distinction. Noûs, 46(4), 587–634. https://doi.org/10.1111/j.1468-0068.2010.00822.x</w:t>
      </w:r>
    </w:p>
    <w:p>
      <w:pPr>
        <w:spacing w:after="160" w:line="276"/>
        <w:ind w:left="720" w:hanging="720"/>
        <w:jc w:val="both"/>
      </w:pPr>
      <w:r>
        <w:rPr>
          <w:rFonts w:ascii="Times New Roman" w:cs="Times New Roman" w:eastAsia="Times New Roman" w:hAnsi="Times New Roman"/>
          <w:sz w:val="22"/>
          <w:szCs w:val="22"/>
        </w:rPr>
        <w:t xml:space="preserve">Chiorrini, A., Diamantini, C., Mircoli, A., &amp; Potena, D. (2021). Emotion and sentiment analysis of tweets using BERT. Journal of Computational Science, 51, 101336.</w:t>
      </w:r>
    </w:p>
    <w:p>
      <w:pPr>
        <w:spacing w:after="160" w:line="276"/>
        <w:ind w:left="720" w:hanging="720"/>
        <w:jc w:val="both"/>
      </w:pPr>
      <w:r>
        <w:rPr>
          <w:rFonts w:ascii="Times New Roman" w:cs="Times New Roman" w:eastAsia="Times New Roman" w:hAnsi="Times New Roman"/>
          <w:sz w:val="22"/>
          <w:szCs w:val="22"/>
        </w:rPr>
        <w:t xml:space="preserve">Easley, D., &amp; Kleinberg, J. (2010). Networks, crowds, and markets: Reasoning about a highly connected world. Cambridge University Press.</w:t>
      </w:r>
    </w:p>
    <w:p>
      <w:pPr>
        <w:spacing w:after="160" w:line="276"/>
        <w:ind w:left="720" w:hanging="720"/>
        <w:jc w:val="both"/>
      </w:pPr>
      <w:r>
        <w:rPr>
          <w:rFonts w:ascii="Times New Roman" w:cs="Times New Roman" w:eastAsia="Times New Roman" w:hAnsi="Times New Roman"/>
          <w:sz w:val="22"/>
          <w:szCs w:val="22"/>
        </w:rPr>
        <w:t xml:space="preserve">Fanesya, F., et al. (2019). Analisis sentimen menggunakan metode Naïve Bayes pada data teks bahasa Indonesia. Jurnal Ilmiah Komputer, 5(1), 22–29.</w:t>
      </w:r>
    </w:p>
    <w:p>
      <w:pPr>
        <w:spacing w:after="160" w:line="276"/>
        <w:ind w:left="720" w:hanging="720"/>
        <w:jc w:val="both"/>
      </w:pPr>
      <w:r>
        <w:rPr>
          <w:rFonts w:ascii="Times New Roman" w:cs="Times New Roman" w:eastAsia="Times New Roman" w:hAnsi="Times New Roman"/>
          <w:sz w:val="22"/>
          <w:szCs w:val="22"/>
        </w:rPr>
        <w:t xml:space="preserve">Kotler, P., Kartajaya, H., &amp; Setiawan, I. (2021). Marketing 6.0: The future is immersive. Wiley.</w:t>
      </w:r>
    </w:p>
    <w:p>
      <w:pPr>
        <w:spacing w:after="160" w:line="276"/>
        <w:ind w:left="720" w:hanging="720"/>
        <w:jc w:val="both"/>
      </w:pPr>
      <w:r>
        <w:rPr>
          <w:rFonts w:ascii="Times New Roman" w:cs="Times New Roman" w:eastAsia="Times New Roman" w:hAnsi="Times New Roman"/>
          <w:sz w:val="22"/>
          <w:szCs w:val="22"/>
        </w:rPr>
        <w:t xml:space="preserve">Koto, F., Rahimi, A., Lau, J. H., &amp; Baldwin, T. (2020). IndoLEM and IndoBERT: A benchmark dataset and pre-trained language model for Indonesian NLP. In Proceedings of the 28th International Conference on Computational Linguistics (COLING 2020) (pp. 757–770).</w:t>
      </w:r>
    </w:p>
    <w:p>
      <w:pPr>
        <w:spacing w:after="160" w:line="276"/>
        <w:ind w:left="720" w:hanging="720"/>
        <w:jc w:val="both"/>
      </w:pPr>
      <w:r>
        <w:rPr>
          <w:rFonts w:ascii="Times New Roman" w:cs="Times New Roman" w:eastAsia="Times New Roman" w:hAnsi="Times New Roman"/>
          <w:sz w:val="22"/>
          <w:szCs w:val="22"/>
        </w:rPr>
        <w:t xml:space="preserve">Papacharissi, Z. (2015). Affective publics: Sentiment, technology, and politics. Oxford University Press.</w:t>
      </w:r>
    </w:p>
    <w:p>
      <w:pPr>
        <w:spacing w:after="160" w:line="276"/>
        <w:ind w:left="720" w:hanging="720"/>
        <w:jc w:val="both"/>
      </w:pPr>
      <w:r>
        <w:rPr>
          <w:rFonts w:ascii="Times New Roman" w:cs="Times New Roman" w:eastAsia="Times New Roman" w:hAnsi="Times New Roman"/>
          <w:sz w:val="22"/>
          <w:szCs w:val="22"/>
        </w:rPr>
        <w:t xml:space="preserve">Riza, A., &amp; Charibaldi, N. (2021). Implementasi deteksi emosi pada teks bahasa Indonesia menggunakan FastText dan LSTM. Jurnal RESTI (Rekayasa Sistem dan Teknologi Informasi), 5(2), 244–251.</w:t>
      </w:r>
    </w:p>
    <w:p>
      <w:pPr>
        <w:spacing w:after="160" w:line="276"/>
        <w:ind w:left="720" w:hanging="720"/>
        <w:jc w:val="both"/>
      </w:pPr>
      <w:r>
        <w:rPr>
          <w:rFonts w:ascii="Times New Roman" w:cs="Times New Roman" w:eastAsia="Times New Roman" w:hAnsi="Times New Roman"/>
          <w:sz w:val="22"/>
          <w:szCs w:val="22"/>
        </w:rPr>
        <w:t xml:space="preserve">Slovic, P. (2016). The perception of risk. Routledge.</w:t>
      </w:r>
    </w:p>
    <w:p>
      <w:pPr>
        <w:spacing w:after="160" w:line="276"/>
        <w:ind w:left="720" w:hanging="720"/>
        <w:jc w:val="both"/>
      </w:pPr>
      <w:r>
        <w:rPr>
          <w:rFonts w:ascii="Times New Roman" w:cs="Times New Roman" w:eastAsia="Times New Roman" w:hAnsi="Times New Roman"/>
          <w:sz w:val="22"/>
          <w:szCs w:val="22"/>
        </w:rPr>
        <w:t xml:space="preserve">Sulafasyah, L. (2025). Social network analysis pada isu keracunan Program MBG [Manuscript in preparation].</w:t>
      </w:r>
    </w:p>
    <w:p>
      <w:pPr>
        <w:spacing w:after="160" w:line="276"/>
        <w:ind w:left="720" w:hanging="720"/>
        <w:jc w:val="both"/>
      </w:pPr>
      <w:r>
        <w:rPr>
          <w:rFonts w:ascii="Times New Roman" w:cs="Times New Roman" w:eastAsia="Times New Roman" w:hAnsi="Times New Roman"/>
          <w:sz w:val="22"/>
          <w:szCs w:val="22"/>
        </w:rPr>
        <w:t xml:space="preserve">Utz, S., Schultz, F., &amp; Glocka, S. (2013). Crisis communication online: How medium, crisis type and emotions affected public reactions in the Fukushima Daiichi nuclear disaster. Public Relations Review, 39(1), 40–46.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i/>
        <w:iCs/>
        <w:color w:val="666666"/>
        <w:sz w:val="16"/>
        <w:szCs w:val="16"/>
      </w:rPr>
      <w:t xml:space="preserve">Jurnal Ilmu Komunikasi — Vol. XX, No. 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2026-08-31T05:49:39.933Z</dcterms:created>
  <dcterms:modified xsi:type="dcterms:W3CDTF">2026-08-31T05:49:39.947Z</dcterms:modified>
</cp:coreProperties>
</file>

<file path=docProps/custom.xml><?xml version="1.0" encoding="utf-8"?>
<Properties xmlns="http://schemas.openxmlformats.org/officeDocument/2006/custom-properties" xmlns:vt="http://schemas.openxmlformats.org/officeDocument/2006/docPropsVTypes"/>
</file>