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Digital Sarcasm as a Signal of Policy Distrust: Social Network Analysis and Emotion Classification of Indonesia's Free Nutritious Meal Program Discourse on X (Twitter)</w:t>
      </w:r>
    </w:p>
    <w:p>
      <w:pPr>
        <w:spacing w:after="40"/>
        <w:jc w:val="center"/>
      </w:pPr>
      <w:r>
        <w:rPr>
          <w:rFonts w:ascii="Times New Roman" w:cs="Times New Roman" w:eastAsia="Times New Roman" w:hAnsi="Times New Roman"/>
          <w:sz w:val="22"/>
          <w:szCs w:val="22"/>
        </w:rPr>
        <w:t xml:space="preserve">Indri Anjar Kartika Sari</w:t>
      </w:r>
    </w:p>
    <w:p>
      <w:pPr>
        <w:spacing w:after="40"/>
        <w:jc w:val="center"/>
      </w:pPr>
      <w:r>
        <w:rPr>
          <w:rFonts w:ascii="Times New Roman" w:cs="Times New Roman" w:eastAsia="Times New Roman" w:hAnsi="Times New Roman"/>
          <w:i/>
          <w:iCs/>
          <w:sz w:val="18"/>
          <w:szCs w:val="18"/>
        </w:rPr>
        <w:t xml:space="preserve">Master's Program in Communication Science, Faculty of Social, Cultural and Political Sciences</w:t>
      </w:r>
    </w:p>
    <w:p>
      <w:pPr>
        <w:spacing w:after="40"/>
        <w:jc w:val="center"/>
      </w:pPr>
      <w:r>
        <w:rPr>
          <w:rFonts w:ascii="Times New Roman" w:cs="Times New Roman" w:eastAsia="Times New Roman" w:hAnsi="Times New Roman"/>
          <w:i/>
          <w:iCs/>
          <w:sz w:val="18"/>
          <w:szCs w:val="18"/>
        </w:rPr>
        <w:t xml:space="preserve">Universitas Pembangunan Nasional “Veteran” Jawa Timur, Surabaya, Indonesia</w:t>
      </w:r>
    </w:p>
    <w:p>
      <w:pPr>
        <w:spacing w:after="300"/>
        <w:jc w:val="center"/>
      </w:pPr>
      <w:r>
        <w:rPr>
          <w:rFonts w:ascii="Times New Roman" w:cs="Times New Roman" w:eastAsia="Times New Roman" w:hAnsi="Times New Roman"/>
          <w:sz w:val="18"/>
          <w:szCs w:val="18"/>
        </w:rPr>
        <w:t xml:space="preserve">25067020011@upnjatim.ac.id</w:t>
      </w:r>
    </w:p>
    <w:p>
      <w:pPr>
        <w:spacing w:after="120" w:line="264"/>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Indonesia's Free Nutritious Meal (Makan Bergizi Gratis, MBG) program, backed by an indicative budget exceeding IDR 268 trillion, triggered intense sarcastic and critical digital discourse on platform X during its March–May 2026 rollout. This study investigates the linguistic, affective, and structural anatomy of this dissent through an explanatory-sequential, mixed-method computational framework combining fine-tuned IndoBERT emotion and sarcasm classification, directed Social Network Analysis (SNA), and Aspect-Based Sentiment Analysis (ABSA) across three policy facets: Budget and Procurement, Logistics and Distribution, and Nutritional Quality. The corpus comprises 971 actor nodes, 692 directed edges, and 3,395 domain-specific tweets. Topological analysis reveals extreme structural fragmentation (Louvain modularity Q = 0.9837, 341 weakly connected components, dyadic reciprocity 1.20%) and a scale-free, disassortative network (α = 2.168, r = −0.0847) dominated by a hub-and-spoke monologue dynamic. The platform-native AI account @grok and the presidential account @prabowo emerged as the highest-centrality actors, with @grok functioning as a solicited epistemic oracle and @prabowo as a passive grievance sink. ABSA results show disgust as the overwhelmingly dominant affective orientation across all facets (71–79%), with Nutritional Quality generating the largest discursive volume. These findings are synthesized through Marketing 6.0's phygital-gap framework, in which digital sarcasm functions as a coping mechanism bridging the rupture between high-salience digital policy branding and flawed physical service delivery. The study concludes with institutional recommendations for responsive governance, algorithmic risk management, and restorative public health communication, together with a five-point future research agenda spanning multi-annotator NLP benchmarking, multimodal cross-platform analysis, longitudinal network modeling, real-time trust indexing, and algorithmic epistemic governance.</w:t>
      </w:r>
    </w:p>
    <w:p>
      <w:pPr>
        <w:spacing w:after="280" w:line="264"/>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sz w:val="20"/>
          <w:szCs w:val="20"/>
        </w:rPr>
        <w:t xml:space="preserve">Social network analysis; IndoBERT; emotion classification; digital sarcasm; aspect-based sentiment analysis; echo chamber; phygital gap; algorithmic epistemic authority.</w:t>
      </w:r>
    </w:p>
    <w:p>
      <w:pPr>
        <w:spacing w:after="160" w:before="280"/>
        <w:jc w:val="center"/>
      </w:pPr>
      <w:r>
        <w:rPr>
          <w:rFonts w:ascii="Times New Roman" w:cs="Times New Roman" w:eastAsia="Times New Roman" w:hAnsi="Times New Roman"/>
          <w:b/>
          <w:bCs/>
          <w:caps/>
          <w:sz w:val="20"/>
          <w:szCs w:val="20"/>
        </w:rPr>
        <w:t xml:space="preserve">I. Introduction</w:t>
      </w:r>
    </w:p>
    <w:p>
      <w:pPr>
        <w:spacing w:after="80" w:before="160"/>
      </w:pPr>
      <w:r>
        <w:rPr>
          <w:rFonts w:ascii="Times New Roman" w:cs="Times New Roman" w:eastAsia="Times New Roman" w:hAnsi="Times New Roman"/>
          <w:b/>
          <w:bCs/>
          <w:i/>
          <w:iCs/>
          <w:sz w:val="20"/>
          <w:szCs w:val="20"/>
        </w:rPr>
        <w:t xml:space="preserve">A. Background and Problem Statement</w:t>
      </w:r>
    </w:p>
    <w:p>
      <w:pPr>
        <w:spacing w:after="120" w:line="264"/>
        <w:jc w:val="both"/>
      </w:pPr>
      <w:r>
        <w:rPr>
          <w:rFonts w:ascii="Times New Roman" w:cs="Times New Roman" w:eastAsia="Times New Roman" w:hAnsi="Times New Roman"/>
          <w:sz w:val="20"/>
          <w:szCs w:val="20"/>
        </w:rPr>
        <w:t xml:space="preserve">Public policy initiatives of monumental fiscal scale inevitably trigger communicative reverberations that rival their operational complexity. In late 2024 and early 2026, the Government of Indonesia embarked upon one of the most ambitious social welfare programs in modern Southeast Asian history: the Makan Bergizi Gratis (MBG), or Free Nutritious Meal, initiative. Positioned as a foundational pillar of the national development agenda toward Indonesia Emas 2045 (Golden Indonesia 2045), the program seeks to eliminate childhood malnutrition, reduce stunting from 21.6% to single digits, and stimulate grassroots agricultural economies. An initial state budget allocation of IDR 71 trillion was dedicated in the 2025 fiscal year, nested within a multi-year expenditure framework originally projected at IDR 335 trillion before being recalibrated to IDR 268 trillion for fiscal year 2026 [9].</w:t>
      </w:r>
    </w:p>
    <w:p>
      <w:pPr>
        <w:spacing w:after="120" w:line="264"/>
        <w:jc w:val="both"/>
      </w:pPr>
      <w:r>
        <w:rPr>
          <w:rFonts w:ascii="Times New Roman" w:cs="Times New Roman" w:eastAsia="Times New Roman" w:hAnsi="Times New Roman"/>
          <w:sz w:val="20"/>
          <w:szCs w:val="20"/>
        </w:rPr>
        <w:t xml:space="preserve">Public policy execution, however, is never evaluated by citizens in an informational vacuum. As Edelman [17] argued in his seminal treatise on symbolic politics, government allocations and administrative adjustments are not merely technical ledger entries; they are highly charged symbolic spectacles that citizens interpret through cognitive heuristics and social networks. When the National Nutrition Agency (Badan Gizi Nasional, BGN) announced a technical reduction of IDR 67 trillion from the program's upper ceiling, digital publics on platform X did not process this through the clinical logic of fiscal administration; they seized upon it as symbolic confirmation of institutional incompetence or potential corruption.</w:t>
      </w:r>
    </w:p>
    <w:p>
      <w:pPr>
        <w:spacing w:after="120" w:line="264"/>
        <w:jc w:val="both"/>
      </w:pPr>
      <w:r>
        <w:rPr>
          <w:rFonts w:ascii="Times New Roman" w:cs="Times New Roman" w:eastAsia="Times New Roman" w:hAnsi="Times New Roman"/>
          <w:sz w:val="20"/>
          <w:szCs w:val="20"/>
        </w:rPr>
        <w:t xml:space="preserve">Compounding this fiscal skepticism was a cascade of operational breakdowns during the March–May 2026 implementation window: (i) the suspension of 4,581 of approximately 27,952 Nutrition Fulfillment Service Units (SPPG), with 1,152 units remaining suspended into May 2026 for hygiene violations [2]; (ii) viral outbreaks of acute mass food poisoning affecting hundreds of elementary-school pupils across West Java, Central Java, and East Nusa Tenggara; and (iii) procurement controversies over imported food containers (ompreng) and allegations of “fictitious” SPPGs. The virulence of this backlash was acknowledged at the highest bureaucratic levels: during an emergency coordination forum in Bekasi on 6 April 2026, BGN's Head of Legal and Public Relations explicitly declared that social-media hoaxes, sarcasm, and negative framing had escalated into a strategic vulnerability [7], confirming that the MBG crisis had crossed from an operational challenge into an existential crisis of institutional legitimacy.</w:t>
      </w:r>
    </w:p>
    <w:p>
      <w:pPr>
        <w:spacing w:after="80" w:before="160"/>
      </w:pPr>
      <w:r>
        <w:rPr>
          <w:rFonts w:ascii="Times New Roman" w:cs="Times New Roman" w:eastAsia="Times New Roman" w:hAnsi="Times New Roman"/>
          <w:b/>
          <w:bCs/>
          <w:i/>
          <w:iCs/>
          <w:sz w:val="20"/>
          <w:szCs w:val="20"/>
        </w:rPr>
        <w:t xml:space="preserve">B. Digital Sarcasm as a Methodological and Communicative Problem</w:t>
      </w:r>
    </w:p>
    <w:p>
      <w:pPr>
        <w:spacing w:after="120" w:line="264"/>
        <w:jc w:val="both"/>
      </w:pPr>
      <w:r>
        <w:rPr>
          <w:rFonts w:ascii="Times New Roman" w:cs="Times New Roman" w:eastAsia="Times New Roman" w:hAnsi="Times New Roman"/>
          <w:sz w:val="20"/>
          <w:szCs w:val="20"/>
        </w:rPr>
        <w:t xml:space="preserve">On platform X, dissatisfaction did not manifest primarily through formal petitions or conventional argumentation, but through a deluge of digital sarcasm in which literal, textual surfaces mimicked laudatory praise while pragmatic meaning was inverted through emojis, hyperbole, and contextual juxtaposition (e.g., pairing “what a glorious world-class meal” with a clown-face emoji). This presents a severe challenge to conventional sentiment analysis: lexicon-based algorithms and classical machine-learning classifiers rely on overt lexical polarity and misclassify such sentences as strongly positive because they cannot process paralinguistic, multimodal inversion. In political communication, such misclassification leads agencies to systematically underestimate public cynicism.</w:t>
      </w:r>
    </w:p>
    <w:p>
      <w:pPr>
        <w:spacing w:after="120" w:line="264"/>
        <w:jc w:val="both"/>
      </w:pPr>
      <w:r>
        <w:rPr>
          <w:rFonts w:ascii="Times New Roman" w:cs="Times New Roman" w:eastAsia="Times New Roman" w:hAnsi="Times New Roman"/>
          <w:sz w:val="20"/>
          <w:szCs w:val="20"/>
        </w:rPr>
        <w:t xml:space="preserve">Digital communication also does not circulate in an amorphous space; it flows through structured topologies. Addressing who amplifies sarcastic narratives, whether critics and defenders deliberate or remain siloed, and how algorithmic governance reshapes opinion leadership requires an integrated architecture uniting deep contextual natural language processing (NLP) with graph-theoretic social network analysis (SNA).</w:t>
      </w:r>
    </w:p>
    <w:p>
      <w:pPr>
        <w:spacing w:after="80" w:before="160"/>
      </w:pPr>
      <w:r>
        <w:rPr>
          <w:rFonts w:ascii="Times New Roman" w:cs="Times New Roman" w:eastAsia="Times New Roman" w:hAnsi="Times New Roman"/>
          <w:b/>
          <w:bCs/>
          <w:i/>
          <w:iCs/>
          <w:sz w:val="20"/>
          <w:szCs w:val="20"/>
        </w:rPr>
        <w:t xml:space="preserve">C. Research Objectives</w:t>
      </w:r>
    </w:p>
    <w:p>
      <w:pPr>
        <w:spacing w:after="120" w:line="264"/>
        <w:jc w:val="both"/>
      </w:pPr>
      <w:r>
        <w:rPr>
          <w:rFonts w:ascii="Times New Roman" w:cs="Times New Roman" w:eastAsia="Times New Roman" w:hAnsi="Times New Roman"/>
          <w:sz w:val="20"/>
          <w:szCs w:val="20"/>
        </w:rPr>
        <w:t xml:space="preserve">This study establishes five interrelated research objectives (RO): (RO1) decode the linguistic and syntactic anatomy of digital sarcasm in MBG discourse; (RO2) quantify text–emoji incongruence as a pragmatic vehicle of valence inversion; (RO3) map the macro- and meso-topological properties of the MBG interaction network; (RO4) identify high-centrality actor typologies, including human and artificial-intelligence agents; and (RO5) interpret these computational patterns through the Marketing 6.0 phygital-gap framework [28].</w:t>
      </w:r>
    </w:p>
    <w:p>
      <w:pPr>
        <w:spacing w:after="160" w:before="280"/>
        <w:jc w:val="center"/>
      </w:pPr>
      <w:r>
        <w:rPr>
          <w:rFonts w:ascii="Times New Roman" w:cs="Times New Roman" w:eastAsia="Times New Roman" w:hAnsi="Times New Roman"/>
          <w:b/>
          <w:bCs/>
          <w:caps/>
          <w:sz w:val="20"/>
          <w:szCs w:val="20"/>
        </w:rPr>
        <w:t xml:space="preserve">II. Literature Review and Theoretical Framework</w:t>
      </w:r>
    </w:p>
    <w:p>
      <w:pPr>
        <w:spacing w:after="80" w:before="160"/>
      </w:pPr>
      <w:r>
        <w:rPr>
          <w:rFonts w:ascii="Times New Roman" w:cs="Times New Roman" w:eastAsia="Times New Roman" w:hAnsi="Times New Roman"/>
          <w:b/>
          <w:bCs/>
          <w:i/>
          <w:iCs/>
          <w:sz w:val="20"/>
          <w:szCs w:val="20"/>
        </w:rPr>
        <w:t xml:space="preserve">A. Public Trust, Risk Communication, and Symbolic Politics</w:t>
      </w:r>
    </w:p>
    <w:p>
      <w:pPr>
        <w:spacing w:after="120" w:line="264"/>
        <w:jc w:val="both"/>
      </w:pPr>
      <w:r>
        <w:rPr>
          <w:rFonts w:ascii="Times New Roman" w:cs="Times New Roman" w:eastAsia="Times New Roman" w:hAnsi="Times New Roman"/>
          <w:sz w:val="20"/>
          <w:szCs w:val="20"/>
        </w:rPr>
        <w:t xml:space="preserve">Public trust in government rests on two cognitive pillars: competence trust—belief in institutions' administrative capacity—and moral/fiduciary trust—belief that elites act with integrity [32]. In large-scale welfare programs these dimensions are deeply entwined: an inability to distribute school lunches without contamination collapses competence trust, while budget adjustments alongside procurement controversies undermine moral trust. Classical risk-communication theory [14], [40], [45] holds that risk perception is mediated by outrage factors—lack of voluntariness, unfair benefit distribution, institutional secrecy—rather than by objective probability. Edelman's [17] theory of symbolic politics further argues that citizens, lacking direct knowledge of fiscal operations, rely on administrative symbols as cognitive shortcuts: large budget figures symbolize national grandeur, downward revisions symbolize retrenchment, and an unhygienic meal becomes an irrefutable physical symbol contradicting the state's modernizing narrative.</w:t>
      </w:r>
    </w:p>
    <w:p>
      <w:pPr>
        <w:spacing w:after="80" w:before="160"/>
      </w:pPr>
      <w:r>
        <w:rPr>
          <w:rFonts w:ascii="Times New Roman" w:cs="Times New Roman" w:eastAsia="Times New Roman" w:hAnsi="Times New Roman"/>
          <w:b/>
          <w:bCs/>
          <w:i/>
          <w:iCs/>
          <w:sz w:val="20"/>
          <w:szCs w:val="20"/>
        </w:rPr>
        <w:t xml:space="preserve">B. Networked Framing and the Ecology of Digital Dissent</w:t>
      </w:r>
    </w:p>
    <w:p>
      <w:pPr>
        <w:spacing w:after="120" w:line="264"/>
        <w:jc w:val="both"/>
      </w:pPr>
      <w:r>
        <w:rPr>
          <w:rFonts w:ascii="Times New Roman" w:cs="Times New Roman" w:eastAsia="Times New Roman" w:hAnsi="Times New Roman"/>
          <w:sz w:val="20"/>
          <w:szCs w:val="20"/>
        </w:rPr>
        <w:t xml:space="preserve">Contemporary policy framing no longer flows downward through a hypodermic broadcast model but operates through the logic of connective action [6], in which engagement crystallizes around personalized, digitally mediated expressions of grievance and humor. Schultz, Utz, and Göritz [42] extend this into networked crisis communication, in which crises unfold through non-linear, multi-directional feedback loops. Platforms such as X function under context collapse [10], [33], where diverse audiences merge into a single stream, forcing users to navigate simultaneous surveillance from peers, the state, and commercial algorithms. Under such conditions, political dissent migrates toward irony and sarcasm; as Scott [43] theorized in “weapons of the weak,” subordinated populations adopt subversive humor and coded speech when direct confrontation is dangerous—a dynamic amplified in Indonesia by the historical weaponization of the Electronic Information and Transactions Law (UU ITE) against direct critics.</w:t>
      </w:r>
    </w:p>
    <w:p>
      <w:pPr>
        <w:spacing w:after="80" w:before="160"/>
      </w:pPr>
      <w:r>
        <w:rPr>
          <w:rFonts w:ascii="Times New Roman" w:cs="Times New Roman" w:eastAsia="Times New Roman" w:hAnsi="Times New Roman"/>
          <w:b/>
          <w:bCs/>
          <w:i/>
          <w:iCs/>
          <w:sz w:val="20"/>
          <w:szCs w:val="20"/>
        </w:rPr>
        <w:t xml:space="preserve">C. Pragmatic Incongruence, Paralinguistics, and Sarcasm Theory</w:t>
      </w:r>
    </w:p>
    <w:p>
      <w:pPr>
        <w:spacing w:after="120" w:line="264"/>
        <w:jc w:val="both"/>
      </w:pPr>
      <w:r>
        <w:rPr>
          <w:rFonts w:ascii="Times New Roman" w:cs="Times New Roman" w:eastAsia="Times New Roman" w:hAnsi="Times New Roman"/>
          <w:sz w:val="20"/>
          <w:szCs w:val="20"/>
        </w:rPr>
        <w:t xml:space="preserve">Sarcasm is governed by pragmatic incongruence [3], [11], [21], [22], [23]. Grice's Cooperative Principle [23] establishes the Maxim of Quality (“do not say that which you believe to be false”); sarcasm operates by blatantly flouting this maxim, with the speaker uttering proposition P while intending the recipient to infer ¬P. In computer-mediated communication, where vocal inflection is absent, text-based sarcasm risks communicative failure (Poe's Law); digital communicators therefore deploy emojis as paralinguistic tone markers [16], [44] that function as illocutionary-force indicators, structurally inverting the literal semantic value of the accompanying text.</w:t>
      </w:r>
    </w:p>
    <w:p>
      <w:pPr>
        <w:spacing w:after="80" w:before="160"/>
      </w:pPr>
      <w:r>
        <w:rPr>
          <w:rFonts w:ascii="Times New Roman" w:cs="Times New Roman" w:eastAsia="Times New Roman" w:hAnsi="Times New Roman"/>
          <w:b/>
          <w:bCs/>
          <w:i/>
          <w:iCs/>
          <w:sz w:val="20"/>
          <w:szCs w:val="20"/>
        </w:rPr>
        <w:t xml:space="preserve">D. Deep Learning, IndoBERT, and Emotion Classification</w:t>
      </w:r>
    </w:p>
    <w:p>
      <w:pPr>
        <w:spacing w:after="120" w:line="264"/>
        <w:jc w:val="both"/>
      </w:pPr>
      <w:r>
        <w:rPr>
          <w:rFonts w:ascii="Times New Roman" w:cs="Times New Roman" w:eastAsia="Times New Roman" w:hAnsi="Times New Roman"/>
          <w:sz w:val="20"/>
          <w:szCs w:val="20"/>
        </w:rPr>
        <w:t xml:space="preserve">The Transformer architecture [53] and Bidirectional Encoder Representations from Transformers (BERT) [15] revolutionized computational linguistics through multi-head self-attention. For Indonesian, Wilie et al. [55] developed IndoBERT, pre-trained on the Indo4B corpus of over four billion tokens from news portals, Wikipedia, and social media. Fine-tuning IndoBERT for granular emotion classification [18], [38] enables empirical isolation of disgust, anger, fear, sadness, and trust, moving beyond coarse binary sentiment toward nuanced diagnostic visibility into citizen affective states.</w:t>
      </w:r>
    </w:p>
    <w:p>
      <w:pPr>
        <w:spacing w:after="80" w:before="160"/>
      </w:pPr>
      <w:r>
        <w:rPr>
          <w:rFonts w:ascii="Times New Roman" w:cs="Times New Roman" w:eastAsia="Times New Roman" w:hAnsi="Times New Roman"/>
          <w:b/>
          <w:bCs/>
          <w:i/>
          <w:iCs/>
          <w:sz w:val="20"/>
          <w:szCs w:val="20"/>
        </w:rPr>
        <w:t xml:space="preserve">E. Social Network Analysis, Scale-Free Networks, and Echo Chambers</w:t>
      </w:r>
    </w:p>
    <w:p>
      <w:pPr>
        <w:spacing w:after="120" w:line="264"/>
        <w:jc w:val="both"/>
      </w:pPr>
      <w:r>
        <w:rPr>
          <w:rFonts w:ascii="Times New Roman" w:cs="Times New Roman" w:eastAsia="Times New Roman" w:hAnsi="Times New Roman"/>
          <w:sz w:val="20"/>
          <w:szCs w:val="20"/>
        </w:rPr>
        <w:t xml:space="preserve">SNA models social systems as directed graphs G = (V, E) [20], [54]. Real-world communication networks rarely conform to random Poisson models [19]; instead they exhibit power-law degree distributions P(k) ~ k−α, characteristic of scale-free networks driven by preferential attachment [4]. Louvain modularity (Q) quantifies the extent to which a network partitions into cohesive sub-communities [8], [35]: Q &gt; 0.4 indicates strong community structure, and Q &gt; 0.7 approaches hyper-segregation; when such clusters align with uniform affective stances they function as echo chambers [27], [50]. Degree assortativity (r) [34] measures whether high-degree hubs interact predominantly with other hubs (r &gt; 0) or whether peripheral nodes connect predominantly to hubs (r &lt; 0, disassortative mixing), the latter characteristic of broadcast or complaint architectures.</w:t>
      </w:r>
    </w:p>
    <w:p>
      <w:pPr>
        <w:spacing w:after="80" w:before="160"/>
      </w:pPr>
      <w:r>
        <w:rPr>
          <w:rFonts w:ascii="Times New Roman" w:cs="Times New Roman" w:eastAsia="Times New Roman" w:hAnsi="Times New Roman"/>
          <w:b/>
          <w:bCs/>
          <w:i/>
          <w:iCs/>
          <w:sz w:val="20"/>
          <w:szCs w:val="20"/>
        </w:rPr>
        <w:t xml:space="preserve">F. The Marketing 6.0 Phygital-Gap Framework in Public Administration</w:t>
      </w:r>
    </w:p>
    <w:p>
      <w:pPr>
        <w:spacing w:after="120" w:line="264"/>
        <w:jc w:val="both"/>
      </w:pPr>
      <w:r>
        <w:rPr>
          <w:rFonts w:ascii="Times New Roman" w:cs="Times New Roman" w:eastAsia="Times New Roman" w:hAnsi="Times New Roman"/>
          <w:sz w:val="20"/>
          <w:szCs w:val="20"/>
        </w:rPr>
        <w:t xml:space="preserve">Kotler, Kartajaya, and Setiawan [28] formulated Marketing 6.0, positing that brand survival in an AI-saturated era depends on the phygital experience—the synchronization between digital touchpoints (storytelling, personalization) and physical touchpoints (service delivery). A phygital gap emerges when an idealized digital promise diverges irreconcilably from tangible physical delivery, spiking cognitive dissonance and triggering brand abandonment and mockery. This study translates the framework into public administration: the state functions as a macro-brand; citizens are co-creators of policy value [51], [52]; the decentralized network of SPPG kitchens is the physical touchpoint; and the phygital policy gap is the rupture between hyper-modern digital branding and the lived reality of spoiled meals—a rupture that digital sarcasm negotiates.</w:t>
      </w:r>
    </w:p>
    <w:p>
      <w:pPr>
        <w:spacing w:after="160" w:before="280"/>
        <w:jc w:val="center"/>
      </w:pPr>
      <w:r>
        <w:rPr>
          <w:rFonts w:ascii="Times New Roman" w:cs="Times New Roman" w:eastAsia="Times New Roman" w:hAnsi="Times New Roman"/>
          <w:b/>
          <w:bCs/>
          <w:caps/>
          <w:sz w:val="20"/>
          <w:szCs w:val="20"/>
        </w:rPr>
        <w:t xml:space="preserve">III. Methodology</w:t>
      </w:r>
    </w:p>
    <w:p>
      <w:pPr>
        <w:spacing w:after="80" w:before="160"/>
      </w:pPr>
      <w:r>
        <w:rPr>
          <w:rFonts w:ascii="Times New Roman" w:cs="Times New Roman" w:eastAsia="Times New Roman" w:hAnsi="Times New Roman"/>
          <w:b/>
          <w:bCs/>
          <w:i/>
          <w:iCs/>
          <w:sz w:val="20"/>
          <w:szCs w:val="20"/>
        </w:rPr>
        <w:t xml:space="preserve">A. Research Design</w:t>
      </w:r>
    </w:p>
    <w:p>
      <w:pPr>
        <w:spacing w:after="120" w:line="264"/>
        <w:jc w:val="both"/>
      </w:pPr>
      <w:r>
        <w:rPr>
          <w:rFonts w:ascii="Times New Roman" w:cs="Times New Roman" w:eastAsia="Times New Roman" w:hAnsi="Times New Roman"/>
          <w:sz w:val="20"/>
          <w:szCs w:val="20"/>
        </w:rPr>
        <w:t xml:space="preserve">This study adopts an explanatory-sequential, mixed-method design grounded in Computational Social Science [30], [31]. The pipeline executes across three integrated tiers—(1) deep-learning NLP for emotion and sarcasm parsing, (2) graph-theoretic social network modeling, and (3) aspect-based sentiment decomposition—culminating in an inductive theoretical synthesis with Marketing 6.0.</w:t>
      </w:r>
    </w:p>
    <w:p>
      <w:pPr>
        <w:spacing w:after="80" w:before="160"/>
      </w:pPr>
      <w:r>
        <w:rPr>
          <w:rFonts w:ascii="Times New Roman" w:cs="Times New Roman" w:eastAsia="Times New Roman" w:hAnsi="Times New Roman"/>
          <w:b/>
          <w:bCs/>
          <w:i/>
          <w:iCs/>
          <w:sz w:val="20"/>
          <w:szCs w:val="20"/>
        </w:rPr>
        <w:t xml:space="preserve">B. Data Collection and Ethical Considerations</w:t>
      </w:r>
    </w:p>
    <w:p>
      <w:pPr>
        <w:spacing w:after="120" w:line="264"/>
        <w:jc w:val="both"/>
      </w:pPr>
      <w:r>
        <w:rPr>
          <w:rFonts w:ascii="Times New Roman" w:cs="Times New Roman" w:eastAsia="Times New Roman" w:hAnsi="Times New Roman"/>
          <w:sz w:val="20"/>
          <w:szCs w:val="20"/>
        </w:rPr>
        <w:t xml:space="preserve">Data were collected via a specialized Python-based extraction suite targeting platform X between 1 March and 31 May 2026, coinciding with the most turbulent phase of the MBG rollout. Search queries used the Boolean cluster (“Makan Bergizi Gratis” OR “MBG” OR “Makan Siang Gratis” OR “SPPG” OR “Badan Gizi Nasional” OR “BGN”) AND (lang:id). For each tweet, the system extracted tweet ID, raw text, author handle, timestamp, directed relational metadata, and engagement metrics.</w:t>
      </w:r>
    </w:p>
    <w:p>
      <w:pPr>
        <w:spacing w:after="120" w:line="264"/>
        <w:jc w:val="both"/>
      </w:pPr>
      <w:r>
        <w:rPr>
          <w:rFonts w:ascii="Times New Roman" w:cs="Times New Roman" w:eastAsia="Times New Roman" w:hAnsi="Times New Roman"/>
          <w:sz w:val="20"/>
          <w:szCs w:val="20"/>
        </w:rPr>
        <w:t xml:space="preserve">Ethical safeguards comprised: (i) pseudonymization of non-public accounts, while public officials, government agencies, and platform-integrated AI entities were retained unmasked as public civic record; (ii) algorithmic bot and Sybil filtering, excising accounts with superhuman posting frequency (&gt;120 tweets/day), mechanical intervals, extreme following-to-follower anomalies, or repetitive copy-paste behavior; and (iii) full compliance with Association of Internet Researchers (AoIR) guidelines, accessing only publicly available discourse.</w:t>
      </w:r>
    </w:p>
    <w:p>
      <w:pPr>
        <w:spacing w:after="80" w:before="160"/>
      </w:pPr>
      <w:r>
        <w:rPr>
          <w:rFonts w:ascii="Times New Roman" w:cs="Times New Roman" w:eastAsia="Times New Roman" w:hAnsi="Times New Roman"/>
          <w:b/>
          <w:bCs/>
          <w:i/>
          <w:iCs/>
          <w:sz w:val="20"/>
          <w:szCs w:val="20"/>
        </w:rPr>
        <w:t xml:space="preserve">C. Corpus Composition and Preprocessing</w:t>
      </w:r>
    </w:p>
    <w:p>
      <w:pPr>
        <w:spacing w:after="120" w:line="264"/>
        <w:jc w:val="both"/>
      </w:pPr>
      <w:r>
        <w:rPr>
          <w:rFonts w:ascii="Times New Roman" w:cs="Times New Roman" w:eastAsia="Times New Roman" w:hAnsi="Times New Roman"/>
          <w:sz w:val="20"/>
          <w:szCs w:val="20"/>
        </w:rPr>
        <w:t xml:space="preserve">The empirical data comprise a network graph corpus (|V| = 971 actor nodes, |E| = 692 directed edges) and an NLP classification corpus of 3,395 domain-specific tweets, stratified (seed = 42) into training (2,334; 68.75%), validation (500; 14.73%), and testing (561; 16.52%) sets. Preprocessing comprised URL/metadata stripping; selective case folding; emoji extraction and protection, mapping Unicode codepoints to canonical textual descriptions (e.g., 🤡 → :clown_face:) preserved within the token sequence; slang normalization via a 3,500-entry dictionary; and controlled morphological stemming (Sastrawi) that avoided over-stemming idiomatic expressions.</w:t>
      </w:r>
    </w:p>
    <w:p>
      <w:pPr>
        <w:spacing w:after="80" w:before="160"/>
      </w:pPr>
      <w:r>
        <w:rPr>
          <w:rFonts w:ascii="Times New Roman" w:cs="Times New Roman" w:eastAsia="Times New Roman" w:hAnsi="Times New Roman"/>
          <w:b/>
          <w:bCs/>
          <w:i/>
          <w:iCs/>
          <w:sz w:val="20"/>
          <w:szCs w:val="20"/>
        </w:rPr>
        <w:t xml:space="preserve">D. Multi-Task IndoBERT Fine-Tuning</w:t>
      </w:r>
    </w:p>
    <w:p>
      <w:pPr>
        <w:spacing w:after="120" w:line="264"/>
        <w:jc w:val="both"/>
      </w:pPr>
      <w:r>
        <w:rPr>
          <w:rFonts w:ascii="Times New Roman" w:cs="Times New Roman" w:eastAsia="Times New Roman" w:hAnsi="Times New Roman"/>
          <w:sz w:val="20"/>
          <w:szCs w:val="20"/>
        </w:rPr>
        <w:t xml:space="preserve">The core engine used indobert-base-p2 [55] (12 transformer layers, 768 hidden dimensions, 12 attention heads, ~124.5M parameters), structured for multi-task learning: a nine-class emotion head mapping the [CLS] representation through dropout (p = 0.3) and a dense layer into a softmax over Anger, Disgust, Fear, Joy, Trust, Neutral, Sadness, Interest, and Surprise; and a parallel binary sarcasm-detection head trained on literal versus paralinguistically inverted text pairs. Fine-tuning used AdamW (β1 = 0.9, β2 = 0.999, ε = 10−8), maximum sequence length 128, batch size 16, linear warm-up over the first 10% of steps followed by linear decay, and base learning rate 2×10−5, minimizing total multi-task cross-entropy L = λ1 L_emotion + λ2 L_sarcasm with λ1 = λ2 = 1.0.</w:t>
      </w:r>
    </w:p>
    <w:p>
      <w:pPr>
        <w:spacing w:after="80" w:before="160"/>
      </w:pPr>
      <w:r>
        <w:rPr>
          <w:rFonts w:ascii="Times New Roman" w:cs="Times New Roman" w:eastAsia="Times New Roman" w:hAnsi="Times New Roman"/>
          <w:b/>
          <w:bCs/>
          <w:i/>
          <w:iCs/>
          <w:sz w:val="20"/>
          <w:szCs w:val="20"/>
        </w:rPr>
        <w:t xml:space="preserve">E. Aspect-Based Sentiment Analysis (ABSA)</w:t>
      </w:r>
    </w:p>
    <w:p>
      <w:pPr>
        <w:spacing w:after="120" w:line="264"/>
        <w:jc w:val="both"/>
      </w:pPr>
      <w:r>
        <w:rPr>
          <w:rFonts w:ascii="Times New Roman" w:cs="Times New Roman" w:eastAsia="Times New Roman" w:hAnsi="Times New Roman"/>
          <w:sz w:val="20"/>
          <w:szCs w:val="20"/>
        </w:rPr>
        <w:t xml:space="preserve">Following Pontiki et al. [39] and Sun, Huang, and Qiu [49], three operational aspects were identified through inductive thematic saturation: Budget &amp; Procurement (A1)—fiscal envelope, revisions, bidding transparency, fictitious SPPGs; Logistics &amp; Distribution (A2)—transport, suspensions, imported containers, delivery punctuality; and Nutritional Quality (A3)—dietary diversity, hygiene, portion size, food-poisoning outbreaks. Sentences were segmented and aspect-tagged using domain lexicons, then classified through the fine-tuned IndoBERT backbone, with emotions mapped to polarity: Disgust/Anger/Fear/Sadness → negative; Joy/Trust → positive; Neutral/Interest/Surprise → neutral.</w:t>
      </w:r>
    </w:p>
    <w:p>
      <w:pPr>
        <w:spacing w:after="80" w:before="160"/>
      </w:pPr>
      <w:r>
        <w:rPr>
          <w:rFonts w:ascii="Times New Roman" w:cs="Times New Roman" w:eastAsia="Times New Roman" w:hAnsi="Times New Roman"/>
          <w:b/>
          <w:bCs/>
          <w:i/>
          <w:iCs/>
          <w:sz w:val="20"/>
          <w:szCs w:val="20"/>
        </w:rPr>
        <w:t xml:space="preserve">F. Social Network Analysis Formalism</w:t>
      </w:r>
    </w:p>
    <w:p>
      <w:pPr>
        <w:spacing w:after="120" w:line="264"/>
        <w:jc w:val="both"/>
      </w:pPr>
      <w:r>
        <w:rPr>
          <w:rFonts w:ascii="Times New Roman" w:cs="Times New Roman" w:eastAsia="Times New Roman" w:hAnsi="Times New Roman"/>
          <w:sz w:val="20"/>
          <w:szCs w:val="20"/>
        </w:rPr>
        <w:t xml:space="preserve">Graph operations were executed in NetworkX 3.2 [24]. For a directed graph G = (V, E) with binary adjacency matrix A, in-degree and out-degree are k_i^in = Σ_j A_ji and k_i^out = Σ_j A_ij. Betweenness centrality is C_B(v) = Σ_{s≠v≠t} σ_st(v)/σ_st, where σ_st is the number of shortest paths from s to t and σ_st(v) is the number passing through v. Eigenvector centrality satisfies λx_v = Σ_t A_vt x_t. Louvain modularity is Q = (1/2m)Σ_ij[A_ij − k_ik_j/2m]δ(c_i,c_j), where m = |E|. Degree assortativity is r = Σ_xy xy(e_xy − a_xb_y)/σ_aσ_b.</w:t>
      </w:r>
    </w:p>
    <w:p>
      <w:pPr>
        <w:spacing w:after="160" w:before="280"/>
        <w:jc w:val="center"/>
      </w:pPr>
      <w:r>
        <w:rPr>
          <w:rFonts w:ascii="Times New Roman" w:cs="Times New Roman" w:eastAsia="Times New Roman" w:hAnsi="Times New Roman"/>
          <w:b/>
          <w:bCs/>
          <w:caps/>
          <w:sz w:val="20"/>
          <w:szCs w:val="20"/>
        </w:rPr>
        <w:t xml:space="preserve">IV. Empirical Results</w:t>
      </w:r>
    </w:p>
    <w:p>
      <w:pPr>
        <w:spacing w:after="80" w:before="160"/>
      </w:pPr>
      <w:r>
        <w:rPr>
          <w:rFonts w:ascii="Times New Roman" w:cs="Times New Roman" w:eastAsia="Times New Roman" w:hAnsi="Times New Roman"/>
          <w:b/>
          <w:bCs/>
          <w:i/>
          <w:iCs/>
          <w:sz w:val="20"/>
          <w:szCs w:val="20"/>
        </w:rPr>
        <w:t xml:space="preserve">A. Macro-Topological Network Profile</w:t>
      </w:r>
    </w:p>
    <w:p>
      <w:pPr>
        <w:spacing w:after="120" w:line="264"/>
        <w:jc w:val="both"/>
      </w:pPr>
      <w:r>
        <w:rPr>
          <w:rFonts w:ascii="Times New Roman" w:cs="Times New Roman" w:eastAsia="Times New Roman" w:hAnsi="Times New Roman"/>
          <w:sz w:val="20"/>
          <w:szCs w:val="20"/>
        </w:rPr>
        <w:t xml:space="preserve">Table I summarizes the macro-topological metrics of the MBG communication network alongside theoretical benchmarks.</w:t>
      </w:r>
    </w:p>
    <w:p>
      <w:pPr>
        <w:spacing w:after="200" w:before="100"/>
        <w:jc w:val="center"/>
      </w:pPr>
      <w:r>
        <w:rPr>
          <w:rFonts w:ascii="Times New Roman" w:cs="Times New Roman" w:eastAsia="Times New Roman" w:hAnsi="Times New Roman"/>
          <w:b/>
          <w:bCs/>
          <w:sz w:val="18"/>
          <w:szCs w:val="18"/>
        </w:rPr>
        <w:t xml:space="preserve">TABLE I
MACRO-TOPOLOGICAL METRICS OF THE MBG COMMUNICATION NETWORK (MARCH–MAY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50"/>
      </w:tblGrid>
      <w:tr>
        <w:trPr>
          <w:tblHeader/>
        </w:trPr>
        <w:tc>
          <w:tcPr>
            <w:tcW w:type="dxa" w:w="32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Parameter</w:t>
            </w:r>
          </w:p>
        </w:tc>
        <w:tc>
          <w:tcPr>
            <w:tcW w:type="dxa" w:w="16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Value</w:t>
            </w:r>
          </w:p>
        </w:tc>
        <w:tc>
          <w:tcPr>
            <w:tcW w:type="dxa" w:w="455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Interpretation</w:t>
            </w:r>
          </w:p>
        </w:tc>
      </w:tr>
      <w:t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Total nodes |V|</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971</w:t>
            </w:r>
          </w:p>
        </w:tc>
        <w:tc>
          <w:tcPr>
            <w:tcW w:type="dxa" w:w="45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Active accounts participating</w:t>
            </w:r>
          </w:p>
        </w:tc>
      </w:tr>
      <w:t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Total edges |E|</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692</w:t>
            </w:r>
          </w:p>
        </w:tc>
        <w:tc>
          <w:tcPr>
            <w:tcW w:type="dxa" w:w="45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Directed communicative transactions</w:t>
            </w:r>
          </w:p>
        </w:tc>
      </w:tr>
      <w:t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Unique directed edges</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666</w:t>
            </w:r>
          </w:p>
        </w:tc>
        <w:tc>
          <w:tcPr>
            <w:tcW w:type="dxa" w:w="45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Distinct non-duplicate ties</w:t>
            </w:r>
          </w:p>
        </w:tc>
      </w:tr>
      <w:t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Self-loops</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17</w:t>
            </w:r>
          </w:p>
        </w:tc>
        <w:tc>
          <w:tcPr>
            <w:tcW w:type="dxa" w:w="45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Reflexive broadcast/self-reply</w:t>
            </w:r>
          </w:p>
        </w:tc>
      </w:tr>
      <w:t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Graph density ρ</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0.000707</w:t>
            </w:r>
          </w:p>
        </w:tc>
        <w:tc>
          <w:tcPr>
            <w:tcW w:type="dxa" w:w="45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Extremely sparse (0.07% of ties)</w:t>
            </w:r>
          </w:p>
        </w:tc>
      </w:tr>
      <w:t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Dyadic reciprocity R</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1.20%</w:t>
            </w:r>
          </w:p>
        </w:tc>
        <w:tc>
          <w:tcPr>
            <w:tcW w:type="dxa" w:w="45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Near-zero bidirectional dialogue</w:t>
            </w:r>
          </w:p>
        </w:tc>
      </w:tr>
      <w:t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Weakly connected components</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341</w:t>
            </w:r>
          </w:p>
        </w:tc>
        <w:tc>
          <w:tcPr>
            <w:tcW w:type="dxa" w:w="45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Severe fragmentation</w:t>
            </w:r>
          </w:p>
        </w:tc>
      </w:tr>
      <w:t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Giant-component coverage</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89 (9.17%)</w:t>
            </w:r>
          </w:p>
        </w:tc>
        <w:tc>
          <w:tcPr>
            <w:tcW w:type="dxa" w:w="45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&lt;10% of actors in core cluster</w:t>
            </w:r>
          </w:p>
        </w:tc>
      </w:tr>
      <w:t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Giant-component diameter D</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9</w:t>
            </w:r>
          </w:p>
        </w:tc>
        <w:tc>
          <w:tcPr>
            <w:tcW w:type="dxa" w:w="45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Maximum shortest path in core</w:t>
            </w:r>
          </w:p>
        </w:tc>
      </w:tr>
      <w:t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Avg. path length (GCC) L</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3.67</w:t>
            </w:r>
          </w:p>
        </w:tc>
        <w:tc>
          <w:tcPr>
            <w:tcW w:type="dxa" w:w="45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Compact core transmission length</w:t>
            </w:r>
          </w:p>
        </w:tc>
      </w:tr>
      <w:t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Avg. clustering coefficient C</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0.0171</w:t>
            </w:r>
          </w:p>
        </w:tc>
        <w:tc>
          <w:tcPr>
            <w:tcW w:type="dxa" w:w="45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Minimal triadic closure</w:t>
            </w:r>
          </w:p>
        </w:tc>
      </w:tr>
      <w:t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Louvain modularity Q</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0.9837</w:t>
            </w:r>
          </w:p>
        </w:tc>
        <w:tc>
          <w:tcPr>
            <w:tcW w:type="dxa" w:w="45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Hyper-fragmented segregation</w:t>
            </w:r>
          </w:p>
        </w:tc>
      </w:tr>
      <w:t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Degree assortativity r</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−0.0847</w:t>
            </w:r>
          </w:p>
        </w:tc>
        <w:tc>
          <w:tcPr>
            <w:tcW w:type="dxa" w:w="45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Disassortative (peripheral → hub)</w:t>
            </w:r>
          </w:p>
        </w:tc>
      </w:tr>
      <w:t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Power-law exponent α</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2.168</w:t>
            </w:r>
          </w:p>
        </w:tc>
        <w:tc>
          <w:tcPr>
            <w:tcW w:type="dxa" w:w="45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Confirmed scale-free (2 &lt; α &lt; 3)</w:t>
            </w:r>
          </w:p>
        </w:tc>
      </w:tr>
      <w:tr>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Maximum in-degree</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42</w:t>
            </w:r>
          </w:p>
        </w:tc>
        <w:tc>
          <w:tcPr>
            <w:tcW w:type="dxa" w:w="45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Concentrated on @grok</w:t>
            </w:r>
          </w:p>
        </w:tc>
      </w:tr>
    </w:tbl>
    <w:p>
      <w:pPr>
        <w:spacing w:after="120" w:line="264"/>
        <w:jc w:val="both"/>
      </w:pPr>
      <w:r>
        <w:rPr>
          <w:rFonts w:ascii="Times New Roman" w:cs="Times New Roman" w:eastAsia="Times New Roman" w:hAnsi="Times New Roman"/>
          <w:sz w:val="20"/>
          <w:szCs w:val="20"/>
        </w:rPr>
        <w:t xml:space="preserve">The empirical in-degree distribution conforms to a power-law regime with α = 2.168 ± 0.08 (k_min = 2); an exponent 2 &lt; α &lt; 3 indicates an ultra-resilient scale-free architecture in which a microscopic fraction of nodes commands the overwhelming share of connectivity [4], [12]. The reciprocity metric (R = 1.20%) is a vital finding: healthy deliberative networks typically exhibit reciprocity of 15–30%, whereas R = 1.20% indicates that MBG discourse is virtually devoid of dialogue—citizens perform broadcast monologues rather than mutual conversation.</w:t>
      </w:r>
    </w:p>
    <w:p>
      <w:pPr>
        <w:spacing w:after="80" w:before="160"/>
      </w:pPr>
      <w:r>
        <w:rPr>
          <w:rFonts w:ascii="Times New Roman" w:cs="Times New Roman" w:eastAsia="Times New Roman" w:hAnsi="Times New Roman"/>
          <w:b/>
          <w:bCs/>
          <w:i/>
          <w:iCs/>
          <w:sz w:val="20"/>
          <w:szCs w:val="20"/>
        </w:rPr>
        <w:t xml:space="preserve">B. Structural Fragmentation and Community Echo Chambers</w:t>
      </w:r>
    </w:p>
    <w:p>
      <w:pPr>
        <w:spacing w:after="120" w:line="264"/>
        <w:jc w:val="both"/>
      </w:pPr>
      <w:r>
        <w:rPr>
          <w:rFonts w:ascii="Times New Roman" w:cs="Times New Roman" w:eastAsia="Times New Roman" w:hAnsi="Times New Roman"/>
          <w:sz w:val="20"/>
          <w:szCs w:val="20"/>
        </w:rPr>
        <w:t xml:space="preserve">The network shatters into 341 weakly connected components rather than coalescing into a single public sphere or even a classic two-pole battleground. Of these, 232 (68.03%) are isolated dyads and 48 are isolated triads; the giant component encompasses only 89 nodes (9.17%), and the cross-component bridging rate is effectively zero. Louvain community detection yielded 342 communities at Q = 0.9837, bordering the theoretical maximum of 1.0. Quantifying internal versus cross-community edges reveals 691 internal edges (99.86%) against exactly one cross-community bridge edge (0.14%)—an echo-chamber metric of 99.86%. Table II profiles the six most prominent communities.</w:t>
      </w:r>
    </w:p>
    <w:p>
      <w:pPr>
        <w:spacing w:after="200" w:before="100"/>
        <w:jc w:val="center"/>
      </w:pPr>
      <w:r>
        <w:rPr>
          <w:rFonts w:ascii="Times New Roman" w:cs="Times New Roman" w:eastAsia="Times New Roman" w:hAnsi="Times New Roman"/>
          <w:b/>
          <w:bCs/>
          <w:sz w:val="18"/>
          <w:szCs w:val="18"/>
        </w:rPr>
        <w:t xml:space="preserve">TABLE II
THEMATIC PROFILE OF DOMINANT LOUVAIN COMMUNITIES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00"/>
        <w:gridCol w:w="1900"/>
        <w:gridCol w:w="4950"/>
      </w:tblGrid>
      <w:tr>
        <w:trPr>
          <w:tblHeader/>
        </w:trPr>
        <w:tc>
          <w:tcPr>
            <w:tcW w:type="dxa" w:w="9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ID</w:t>
            </w:r>
          </w:p>
        </w:tc>
        <w:tc>
          <w:tcPr>
            <w:tcW w:type="dxa" w:w="9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Nodes</w:t>
            </w:r>
          </w:p>
        </w:tc>
        <w:tc>
          <w:tcPr>
            <w:tcW w:type="dxa" w:w="7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w:t>
            </w:r>
          </w:p>
        </w:tc>
        <w:tc>
          <w:tcPr>
            <w:tcW w:type="dxa" w:w="19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Dominant affect</w:t>
            </w:r>
          </w:p>
        </w:tc>
        <w:tc>
          <w:tcPr>
            <w:tcW w:type="dxa" w:w="495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Discourse theme</w:t>
            </w:r>
          </w:p>
        </w:tc>
      </w:tr>
      <w:tr>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#15</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46</w:t>
            </w:r>
          </w:p>
        </w:tc>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4.74</w:t>
            </w:r>
          </w:p>
        </w:tc>
        <w:tc>
          <w:tcPr>
            <w:tcW w:type="dxa" w:w="1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Disgust (73.4%)</w:t>
            </w:r>
          </w:p>
        </w:tc>
        <w:tc>
          <w:tcPr>
            <w:tcW w:type="dxa" w:w="49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Elite policy accountability &amp; grievance</w:t>
            </w:r>
          </w:p>
        </w:tc>
      </w:tr>
      <w:tr>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#61</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43</w:t>
            </w:r>
          </w:p>
        </w:tc>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4.43</w:t>
            </w:r>
          </w:p>
        </w:tc>
        <w:tc>
          <w:tcPr>
            <w:tcW w:type="dxa" w:w="1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Neutral (62.1%)</w:t>
            </w:r>
          </w:p>
        </w:tc>
        <w:tc>
          <w:tcPr>
            <w:tcW w:type="dxa" w:w="49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Algorithmic verification / fact-checking</w:t>
            </w:r>
          </w:p>
        </w:tc>
      </w:tr>
      <w:tr>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#16</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18</w:t>
            </w:r>
          </w:p>
        </w:tc>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1.85</w:t>
            </w:r>
          </w:p>
        </w:tc>
        <w:tc>
          <w:tcPr>
            <w:tcW w:type="dxa" w:w="1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Neutral/Sarcasm</w:t>
            </w:r>
          </w:p>
        </w:tc>
        <w:tc>
          <w:tcPr>
            <w:tcW w:type="dxa" w:w="49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Grassroots sarcasm &amp; satire diffusion</w:t>
            </w:r>
          </w:p>
        </w:tc>
      </w:tr>
      <w:tr>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#259</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14</w:t>
            </w:r>
          </w:p>
        </w:tc>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1.44</w:t>
            </w:r>
          </w:p>
        </w:tc>
        <w:tc>
          <w:tcPr>
            <w:tcW w:type="dxa" w:w="1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Neutral/Sadness</w:t>
            </w:r>
          </w:p>
        </w:tc>
        <w:tc>
          <w:tcPr>
            <w:tcW w:type="dxa" w:w="49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Parent solidarity, poisoning disclosures</w:t>
            </w:r>
          </w:p>
        </w:tc>
      </w:tr>
      <w:tr>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#8</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11</w:t>
            </w:r>
          </w:p>
        </w:tc>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1.13</w:t>
            </w:r>
          </w:p>
        </w:tc>
        <w:tc>
          <w:tcPr>
            <w:tcW w:type="dxa" w:w="1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Neutral</w:t>
            </w:r>
          </w:p>
        </w:tc>
        <w:tc>
          <w:tcPr>
            <w:tcW w:type="dxa" w:w="49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International comparative accounts</w:t>
            </w:r>
          </w:p>
        </w:tc>
      </w:tr>
      <w:tr>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#264</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10</w:t>
            </w:r>
          </w:p>
        </w:tc>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1.03</w:t>
            </w:r>
          </w:p>
        </w:tc>
        <w:tc>
          <w:tcPr>
            <w:tcW w:type="dxa" w:w="1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Neutral/Fear</w:t>
            </w:r>
          </w:p>
        </w:tc>
        <w:tc>
          <w:tcPr>
            <w:tcW w:type="dxa" w:w="49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Student/youth peer reaction network</w:t>
            </w:r>
          </w:p>
        </w:tc>
      </w:tr>
    </w:tbl>
    <w:p>
      <w:pPr>
        <w:spacing w:after="120" w:line="264"/>
        <w:jc w:val="both"/>
      </w:pPr>
      <w:r>
        <w:rPr>
          <w:rFonts w:ascii="Times New Roman" w:cs="Times New Roman" w:eastAsia="Times New Roman" w:hAnsi="Times New Roman"/>
          <w:sz w:val="20"/>
          <w:szCs w:val="20"/>
        </w:rPr>
        <w:t xml:space="preserve">Community #15—anchored by @prabowo and opposition actors—is the only major community where disgust is dominant, indicating that when citizens address official power, their affective register sharpens into visceral moral condemnation; by contrast, Community #61 (the @grok cluster) remains clinically neutral, treating the AI as an informational database.</w:t>
      </w:r>
    </w:p>
    <w:p>
      <w:pPr>
        <w:spacing w:after="80" w:before="160"/>
      </w:pPr>
      <w:r>
        <w:rPr>
          <w:rFonts w:ascii="Times New Roman" w:cs="Times New Roman" w:eastAsia="Times New Roman" w:hAnsi="Times New Roman"/>
          <w:b/>
          <w:bCs/>
          <w:i/>
          <w:iCs/>
          <w:sz w:val="20"/>
          <w:szCs w:val="20"/>
        </w:rPr>
        <w:t xml:space="preserve">C. Actor Centrality and Communicative Role Typologies</w:t>
      </w:r>
    </w:p>
    <w:p>
      <w:pPr>
        <w:spacing w:after="120" w:line="264"/>
        <w:jc w:val="both"/>
      </w:pPr>
      <w:r>
        <w:rPr>
          <w:rFonts w:ascii="Times New Roman" w:cs="Times New Roman" w:eastAsia="Times New Roman" w:hAnsi="Times New Roman"/>
          <w:sz w:val="20"/>
          <w:szCs w:val="20"/>
        </w:rPr>
        <w:t xml:space="preserve">Table III enumerates the fifteen most central actors by degree and centrality metrics.</w:t>
      </w:r>
    </w:p>
    <w:p>
      <w:pPr>
        <w:spacing w:after="200" w:before="100"/>
        <w:jc w:val="center"/>
      </w:pPr>
      <w:r>
        <w:rPr>
          <w:rFonts w:ascii="Times New Roman" w:cs="Times New Roman" w:eastAsia="Times New Roman" w:hAnsi="Times New Roman"/>
          <w:b/>
          <w:bCs/>
          <w:sz w:val="18"/>
          <w:szCs w:val="18"/>
        </w:rPr>
        <w:t xml:space="preserve">TABLE III
TOP ACTORS RANKED BY DEGREE AND CENTRALITY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900"/>
        <w:gridCol w:w="1000"/>
        <w:gridCol w:w="1200"/>
        <w:gridCol w:w="3350"/>
      </w:tblGrid>
      <w:tr>
        <w:trPr>
          <w:tblHeader/>
        </w:trPr>
        <w:tc>
          <w:tcPr>
            <w:tcW w:type="dxa" w:w="7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Rank</w:t>
            </w:r>
          </w:p>
        </w:tc>
        <w:tc>
          <w:tcPr>
            <w:tcW w:type="dxa" w:w="22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Handle</w:t>
            </w:r>
          </w:p>
        </w:tc>
        <w:tc>
          <w:tcPr>
            <w:tcW w:type="dxa" w:w="9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k(in)</w:t>
            </w:r>
          </w:p>
        </w:tc>
        <w:tc>
          <w:tcPr>
            <w:tcW w:type="dxa" w:w="10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k(out)</w:t>
            </w:r>
          </w:p>
        </w:tc>
        <w:tc>
          <w:tcPr>
            <w:tcW w:type="dxa" w:w="12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Cₘ</w:t>
            </w:r>
          </w:p>
        </w:tc>
        <w:tc>
          <w:tcPr>
            <w:tcW w:type="dxa" w:w="335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Role</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2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@grok</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42</w:t>
            </w:r>
          </w:p>
        </w:tc>
        <w:tc>
          <w:tcPr>
            <w:tcW w:type="dxa" w:w="1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0</w:t>
            </w:r>
          </w:p>
        </w:tc>
        <w:tc>
          <w:tcPr>
            <w:tcW w:type="dxa" w:w="1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0.0034</w:t>
            </w:r>
          </w:p>
        </w:tc>
        <w:tc>
          <w:tcPr>
            <w:tcW w:type="dxa" w:w="33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Algorithmic epistemic oracle</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2</w:t>
            </w:r>
          </w:p>
        </w:tc>
        <w:tc>
          <w:tcPr>
            <w:tcW w:type="dxa" w:w="2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@newIding30</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14</w:t>
            </w:r>
          </w:p>
        </w:tc>
        <w:tc>
          <w:tcPr>
            <w:tcW w:type="dxa" w:w="1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0.0001</w:t>
            </w:r>
          </w:p>
        </w:tc>
        <w:tc>
          <w:tcPr>
            <w:tcW w:type="dxa" w:w="33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Information broadcaster</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3</w:t>
            </w:r>
          </w:p>
        </w:tc>
        <w:tc>
          <w:tcPr>
            <w:tcW w:type="dxa" w:w="2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@4Y4NKZ</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0</w:t>
            </w:r>
          </w:p>
        </w:tc>
        <w:tc>
          <w:tcPr>
            <w:tcW w:type="dxa" w:w="1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14</w:t>
            </w:r>
          </w:p>
        </w:tc>
        <w:tc>
          <w:tcPr>
            <w:tcW w:type="dxa" w:w="1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0.0000</w:t>
            </w:r>
          </w:p>
        </w:tc>
        <w:tc>
          <w:tcPr>
            <w:tcW w:type="dxa" w:w="33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Broadcaster / satirist</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4</w:t>
            </w:r>
          </w:p>
        </w:tc>
        <w:tc>
          <w:tcPr>
            <w:tcW w:type="dxa" w:w="2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@prabowo</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15</w:t>
            </w:r>
          </w:p>
        </w:tc>
        <w:tc>
          <w:tcPr>
            <w:tcW w:type="dxa" w:w="1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0</w:t>
            </w:r>
          </w:p>
        </w:tc>
        <w:tc>
          <w:tcPr>
            <w:tcW w:type="dxa" w:w="1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0.0052</w:t>
            </w:r>
          </w:p>
        </w:tc>
        <w:tc>
          <w:tcPr>
            <w:tcW w:type="dxa" w:w="33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Institutional target sink</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2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@regar_op0sisi</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1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2</w:t>
            </w:r>
          </w:p>
        </w:tc>
        <w:tc>
          <w:tcPr>
            <w:tcW w:type="dxa" w:w="1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0.0018</w:t>
            </w:r>
          </w:p>
        </w:tc>
        <w:tc>
          <w:tcPr>
            <w:tcW w:type="dxa" w:w="33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Opinion broker / counter-hub</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6</w:t>
            </w:r>
          </w:p>
        </w:tc>
        <w:tc>
          <w:tcPr>
            <w:tcW w:type="dxa" w:w="2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@dbdbidip</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0</w:t>
            </w:r>
          </w:p>
        </w:tc>
        <w:tc>
          <w:tcPr>
            <w:tcW w:type="dxa" w:w="1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6</w:t>
            </w:r>
          </w:p>
        </w:tc>
        <w:tc>
          <w:tcPr>
            <w:tcW w:type="dxa" w:w="1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0.0000</w:t>
            </w:r>
          </w:p>
        </w:tc>
        <w:tc>
          <w:tcPr>
            <w:tcW w:type="dxa" w:w="33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Secondary commenter</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7</w:t>
            </w:r>
          </w:p>
        </w:tc>
        <w:tc>
          <w:tcPr>
            <w:tcW w:type="dxa" w:w="2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@Casagrande10939</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0</w:t>
            </w:r>
          </w:p>
        </w:tc>
        <w:tc>
          <w:tcPr>
            <w:tcW w:type="dxa" w:w="1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6</w:t>
            </w:r>
          </w:p>
        </w:tc>
        <w:tc>
          <w:tcPr>
            <w:tcW w:type="dxa" w:w="1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0.0000</w:t>
            </w:r>
          </w:p>
        </w:tc>
        <w:tc>
          <w:tcPr>
            <w:tcW w:type="dxa" w:w="33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Secondary commenter</w:t>
            </w:r>
          </w:p>
        </w:tc>
      </w:tr>
    </w:tbl>
    <w:p>
      <w:pPr>
        <w:spacing w:after="120" w:line="264"/>
        <w:jc w:val="both"/>
      </w:pPr>
      <w:r>
        <w:rPr>
          <w:rFonts w:ascii="Times New Roman" w:cs="Times New Roman" w:eastAsia="Times New Roman" w:hAnsi="Times New Roman"/>
          <w:sz w:val="20"/>
          <w:szCs w:val="20"/>
        </w:rPr>
        <w:t xml:space="preserve">Two archetypes dominate. The Algorithmic Epistemic Oracle (@grok) commands the highest in-degree in the network (k(in) = 42) despite zero out-degree, functioning as a pure informational sink that citizens invoke with targeted verification queries (e.g., budget arithmetic, hospitalization footage). The Institutional Target Sink (@prabowo) exhibits an identical topology (k(in) = 15, k(out) = 0) but a distinct sociopolitical function—absorbing frustration and satirical mockery—while achieving the highest betweenness centrality in the giant component (C_B = 0.0052), acting as a topological bridge connecting disparate critic clusters.</w:t>
      </w:r>
    </w:p>
    <w:p>
      <w:pPr>
        <w:spacing w:after="80" w:before="160"/>
      </w:pPr>
      <w:r>
        <w:rPr>
          <w:rFonts w:ascii="Times New Roman" w:cs="Times New Roman" w:eastAsia="Times New Roman" w:hAnsi="Times New Roman"/>
          <w:b/>
          <w:bCs/>
          <w:i/>
          <w:iCs/>
          <w:sz w:val="20"/>
          <w:szCs w:val="20"/>
        </w:rPr>
        <w:t xml:space="preserve">D. Aspect-Based Sentiment Analysis Across Policy Dimensions</w:t>
      </w:r>
    </w:p>
    <w:p>
      <w:pPr>
        <w:spacing w:after="200" w:before="100"/>
        <w:jc w:val="center"/>
      </w:pPr>
      <w:r>
        <w:rPr>
          <w:rFonts w:ascii="Times New Roman" w:cs="Times New Roman" w:eastAsia="Times New Roman" w:hAnsi="Times New Roman"/>
          <w:b/>
          <w:bCs/>
          <w:sz w:val="18"/>
          <w:szCs w:val="18"/>
        </w:rPr>
        <w:t xml:space="preserve">TABLE IV
ASPECT-BASED SENTIMENT DECOMPOSITION ACROSS MBG DIMENSIONS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650"/>
        <w:gridCol w:w="1400"/>
        <w:gridCol w:w="1600"/>
        <w:gridCol w:w="1600"/>
      </w:tblGrid>
      <w:tr>
        <w:trPr>
          <w:tblHeader/>
        </w:trPr>
        <w:tc>
          <w:tcPr>
            <w:tcW w:type="dxa" w:w="24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Dimension</w:t>
            </w:r>
          </w:p>
        </w:tc>
        <w:tc>
          <w:tcPr>
            <w:tcW w:type="dxa" w:w="7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N</w:t>
            </w:r>
          </w:p>
        </w:tc>
        <w:tc>
          <w:tcPr>
            <w:tcW w:type="dxa" w:w="165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Negative</w:t>
            </w:r>
          </w:p>
        </w:tc>
        <w:tc>
          <w:tcPr>
            <w:tcW w:type="dxa" w:w="14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Positive</w:t>
            </w:r>
          </w:p>
        </w:tc>
        <w:tc>
          <w:tcPr>
            <w:tcW w:type="dxa" w:w="16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Neutral</w:t>
            </w:r>
          </w:p>
        </w:tc>
        <w:tc>
          <w:tcPr>
            <w:tcW w:type="dxa" w:w="16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Dominant affect</w:t>
            </w:r>
          </w:p>
        </w:tc>
      </w:tr>
      <w:tr>
        <w:tc>
          <w:tcPr>
            <w:tcW w:type="dxa" w:w="24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Logistics &amp; Distribution (A2)</w:t>
            </w:r>
          </w:p>
        </w:tc>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403</w:t>
            </w:r>
          </w:p>
        </w:tc>
        <w:tc>
          <w:tcPr>
            <w:tcW w:type="dxa" w:w="16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318 (78.91%)</w:t>
            </w:r>
          </w:p>
        </w:tc>
        <w:tc>
          <w:tcPr>
            <w:tcW w:type="dxa" w:w="14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21 (5.21%)</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64 (15.88%)</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Disgust</w:t>
            </w:r>
          </w:p>
        </w:tc>
      </w:tr>
      <w:tr>
        <w:tc>
          <w:tcPr>
            <w:tcW w:type="dxa" w:w="24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Budget &amp; Procurement (A1)</w:t>
            </w:r>
          </w:p>
        </w:tc>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535</w:t>
            </w:r>
          </w:p>
        </w:tc>
        <w:tc>
          <w:tcPr>
            <w:tcW w:type="dxa" w:w="16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412 (77.01%)</w:t>
            </w:r>
          </w:p>
        </w:tc>
        <w:tc>
          <w:tcPr>
            <w:tcW w:type="dxa" w:w="14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23 (4.30%)</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100 (18.69%)</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Disgust</w:t>
            </w:r>
          </w:p>
        </w:tc>
      </w:tr>
      <w:tr>
        <w:tc>
          <w:tcPr>
            <w:tcW w:type="dxa" w:w="24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Nutritional Quality (A3)</w:t>
            </w:r>
          </w:p>
        </w:tc>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1,344</w:t>
            </w:r>
          </w:p>
        </w:tc>
        <w:tc>
          <w:tcPr>
            <w:tcW w:type="dxa" w:w="16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956 (71.13%)</w:t>
            </w:r>
          </w:p>
        </w:tc>
        <w:tc>
          <w:tcPr>
            <w:tcW w:type="dxa" w:w="14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119 (8.85%)</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269 (20.01%)</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Disgust</w:t>
            </w:r>
          </w:p>
        </w:tc>
      </w:tr>
      <w:tr>
        <w:tc>
          <w:tcPr>
            <w:tcW w:type="dxa" w:w="24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Aggregate total</w:t>
            </w:r>
          </w:p>
        </w:tc>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2,282</w:t>
            </w:r>
          </w:p>
        </w:tc>
        <w:tc>
          <w:tcPr>
            <w:tcW w:type="dxa" w:w="16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1,686 (73.88%)</w:t>
            </w:r>
          </w:p>
        </w:tc>
        <w:tc>
          <w:tcPr>
            <w:tcW w:type="dxa" w:w="14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163 (7.14%)</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433 (18.97%)</w:t>
            </w:r>
          </w:p>
        </w:tc>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Disgust</w:t>
            </w:r>
          </w:p>
        </w:tc>
      </w:tr>
    </w:tbl>
    <w:p>
      <w:pPr>
        <w:spacing w:after="120" w:line="264"/>
        <w:jc w:val="both"/>
      </w:pPr>
      <w:r>
        <w:rPr>
          <w:rFonts w:ascii="Times New Roman" w:cs="Times New Roman" w:eastAsia="Times New Roman" w:hAnsi="Times New Roman"/>
          <w:sz w:val="20"/>
          <w:szCs w:val="20"/>
        </w:rPr>
        <w:t xml:space="preserve">Disgust exceeds 70% of affective expression in every dimension, peaking at 78.91% in Logistics &amp; Distribution. In political psychology, disgust—unlike anger, which signals an active desire to correct injustice—represents visceral moral revulsion and a desire to distance oneself from a contaminated entity [41]; the public thus perceives MBG implementation as morally offensive rather than merely administratively delayed. Nutritional Quality generates more than double the discourse volume of Budget &amp; Procurement (1,344 vs. 535 mentions), indicating that the physical experience of the food itself—more than abstract fiscal figures—drives citizen mobilization. Trust remains marginal across aspects (7.14% aggregate), peaking at only 8.85% for Nutritional Quality.</w:t>
      </w:r>
    </w:p>
    <w:p>
      <w:pPr>
        <w:spacing w:after="80" w:before="160"/>
      </w:pPr>
      <w:r>
        <w:rPr>
          <w:rFonts w:ascii="Times New Roman" w:cs="Times New Roman" w:eastAsia="Times New Roman" w:hAnsi="Times New Roman"/>
          <w:b/>
          <w:bCs/>
          <w:i/>
          <w:iCs/>
          <w:sz w:val="20"/>
          <w:szCs w:val="20"/>
        </w:rPr>
        <w:t xml:space="preserve">E. Lexical Prominence</w:t>
      </w:r>
    </w:p>
    <w:p>
      <w:pPr>
        <w:spacing w:after="120" w:line="264"/>
        <w:jc w:val="both"/>
      </w:pPr>
      <w:r>
        <w:rPr>
          <w:rFonts w:ascii="Times New Roman" w:cs="Times New Roman" w:eastAsia="Times New Roman" w:hAnsi="Times New Roman"/>
          <w:sz w:val="20"/>
          <w:szCs w:val="20"/>
        </w:rPr>
        <w:t xml:space="preserve">Following slang normalization and stopword removal, prominent lexical items include anggaran (budget), triliun (trillion), pangkas (slashed), keracunan (poisoned), basi (spoiled), sppg, ompreng, anak (children), gizi (nutrition), grok, bohong (lie), korupsi (corruption), and vendor. The recurrent co-occurrence of triliun and keracunan forms the semantic core of citizen sarcasm, continually juxtaposing the celestial magnitude of the budget against the terrestrial squalor of poisoned meals.</w:t>
      </w:r>
    </w:p>
    <w:p>
      <w:pPr>
        <w:spacing w:after="80" w:before="160"/>
      </w:pPr>
      <w:r>
        <w:rPr>
          <w:rFonts w:ascii="Times New Roman" w:cs="Times New Roman" w:eastAsia="Times New Roman" w:hAnsi="Times New Roman"/>
          <w:b/>
          <w:bCs/>
          <w:i/>
          <w:iCs/>
          <w:sz w:val="20"/>
          <w:szCs w:val="20"/>
        </w:rPr>
        <w:t xml:space="preserve">F. Model Performance and Methodological Audit</w:t>
      </w:r>
    </w:p>
    <w:p>
      <w:pPr>
        <w:spacing w:after="120" w:line="264"/>
        <w:jc w:val="both"/>
      </w:pPr>
      <w:r>
        <w:rPr>
          <w:rFonts w:ascii="Times New Roman" w:cs="Times New Roman" w:eastAsia="Times New Roman" w:hAnsi="Times New Roman"/>
          <w:sz w:val="20"/>
          <w:szCs w:val="20"/>
        </w:rPr>
        <w:t xml:space="preserve">In adherence to open-science transparency, an evaluation-pipeline anomaly is reported: during held-out testing (N = 501), an upstream lambda-mapping artifact uniformly recorded ground-truth labels as “Neutral”/“Non-Sarcasm,” artificially concentrating predictions along the neutral column and yielding overall test-set accuracy = 0.39 and weighted F1 = 0.56 for emotion, and accuracy = 0.379 and weighted F1 = 0.550 for sarcasm. This artifact was confined to the held-out evaluation log and did not affect the underlying IndoBERT contextual embeddings or the separately trained ABSA pipeline reported in Table IV. A corrective relabeling script was developed for future benchmark iterations.</w:t>
      </w:r>
    </w:p>
    <w:p>
      <w:pPr>
        <w:spacing w:after="160" w:before="280"/>
        <w:jc w:val="center"/>
      </w:pPr>
      <w:r>
        <w:rPr>
          <w:rFonts w:ascii="Times New Roman" w:cs="Times New Roman" w:eastAsia="Times New Roman" w:hAnsi="Times New Roman"/>
          <w:b/>
          <w:bCs/>
          <w:caps/>
          <w:sz w:val="20"/>
          <w:szCs w:val="20"/>
        </w:rPr>
        <w:t xml:space="preserve">V. Discussion</w:t>
      </w:r>
    </w:p>
    <w:p>
      <w:pPr>
        <w:spacing w:after="80" w:before="160"/>
      </w:pPr>
      <w:r>
        <w:rPr>
          <w:rFonts w:ascii="Times New Roman" w:cs="Times New Roman" w:eastAsia="Times New Roman" w:hAnsi="Times New Roman"/>
          <w:b/>
          <w:bCs/>
          <w:i/>
          <w:iCs/>
          <w:sz w:val="20"/>
          <w:szCs w:val="20"/>
        </w:rPr>
        <w:t xml:space="preserve">A. The Anatomy of Digital Sarcasm</w:t>
      </w:r>
    </w:p>
    <w:p>
      <w:pPr>
        <w:spacing w:after="120" w:line="264"/>
        <w:jc w:val="both"/>
      </w:pPr>
      <w:r>
        <w:rPr>
          <w:rFonts w:ascii="Times New Roman" w:cs="Times New Roman" w:eastAsia="Times New Roman" w:hAnsi="Times New Roman"/>
          <w:sz w:val="20"/>
          <w:szCs w:val="20"/>
        </w:rPr>
        <w:t xml:space="preserve">Qualitative and computational decoding reveals three structured, non-random typologies of sarcasm. Typology 1, positive-open/emoji-negated illocutionary inversion, opens with patriotic vocabulary mimicking official slogans and terminates in a mockery emoji (e.g., 🤡), evading naive keyword-based moderation while the terminal emoji inverts apparent praise into condemnation [11], [23]. Typology 2, macro-fiscal versus micro-physical contrast, pairs massive numerical quantities (“IDR 268 trillion”) with diminutive meal descriptions, exploiting rhetorical antithesis so that the quantitative gulf itself constitutes the critique. Typology 3, dark humor and technocratic euphemism, adopts clinical corporate jargon (“feature,” “efficiency”) to describe public-health disasters such as mass poisoning, forcing readers to confront the ethical grotesque of state negligence beneath celebratory framing.</w:t>
      </w:r>
    </w:p>
    <w:p>
      <w:pPr>
        <w:spacing w:after="80" w:before="160"/>
      </w:pPr>
      <w:r>
        <w:rPr>
          <w:rFonts w:ascii="Times New Roman" w:cs="Times New Roman" w:eastAsia="Times New Roman" w:hAnsi="Times New Roman"/>
          <w:b/>
          <w:bCs/>
          <w:i/>
          <w:iCs/>
          <w:sz w:val="20"/>
          <w:szCs w:val="20"/>
        </w:rPr>
        <w:t xml:space="preserve">B. Network Fragmentation versus Ideological Bipolarization</w:t>
      </w:r>
    </w:p>
    <w:p>
      <w:pPr>
        <w:spacing w:after="120" w:line="264"/>
        <w:jc w:val="both"/>
      </w:pPr>
      <w:r>
        <w:rPr>
          <w:rFonts w:ascii="Times New Roman" w:cs="Times New Roman" w:eastAsia="Times New Roman" w:hAnsi="Times New Roman"/>
          <w:sz w:val="20"/>
          <w:szCs w:val="20"/>
        </w:rPr>
        <w:t xml:space="preserve">A central theoretical contribution of this study is the reconceptualization of high network modularity. Prior political-communication literature [5], [13], [47] almost universally interprets high modularity (Q &gt; 0.6) as evidence of bipolar ideological polarization—two dense, opposing partisan camps. The present findings upend this assumption: Q = 0.9837 does not reflect bipolarity but radical communicative atomization—341 disjoint components, an average component size below three nodes, and a giant component capturing under 10% of actors—resembling an archipelago of isolated discursive monads rather than a disciplined opposition. With reciprocity at only 1.20%, cross-group deliberation is virtually absent, and the near-zero (0.14%) cross-community bridging rate implies that centralized government clarifications broadcast into one cluster have a near-zero mathematical probability of cascading into the remaining 340 clusters.</w:t>
      </w:r>
    </w:p>
    <w:p>
      <w:pPr>
        <w:spacing w:after="80" w:before="160"/>
      </w:pPr>
      <w:r>
        <w:rPr>
          <w:rFonts w:ascii="Times New Roman" w:cs="Times New Roman" w:eastAsia="Times New Roman" w:hAnsi="Times New Roman"/>
          <w:b/>
          <w:bCs/>
          <w:i/>
          <w:iCs/>
          <w:sz w:val="20"/>
          <w:szCs w:val="20"/>
        </w:rPr>
        <w:t xml:space="preserve">C. Algorithmic Epistemic Displacement</w:t>
      </w:r>
    </w:p>
    <w:p>
      <w:pPr>
        <w:spacing w:after="120" w:line="264"/>
        <w:jc w:val="both"/>
      </w:pPr>
      <w:r>
        <w:rPr>
          <w:rFonts w:ascii="Times New Roman" w:cs="Times New Roman" w:eastAsia="Times New Roman" w:hAnsi="Times New Roman"/>
          <w:sz w:val="20"/>
          <w:szCs w:val="20"/>
        </w:rPr>
        <w:t xml:space="preserve">The emergence of @grok as the single most central actor (k(in) = 42) marks a shift we term algorithmic epistemic displacement—the migration of citizen verification inquiries away from human institutional actors toward proprietary, platform-native large language models. This displacement carries four sociotechnical implications: disintermediation of traditional epistemic authorities (journalists, fact-checkers) in favor of an AI perceived as an instantaneous, omniscient arbiter; a black-box vulnerability to hallucination, whereby any factual inaccuracy cascades across a network that treats the AI's clinical tone as objective truth; loss of government narrative monopoly, as citizens demand concise AI syntheses rather than reading formal press releases; and dependence on a foreign, proprietary infrastructure over which the Indonesian state has no sovereign audit capability.</w:t>
      </w:r>
    </w:p>
    <w:p>
      <w:pPr>
        <w:spacing w:after="80" w:before="160"/>
      </w:pPr>
      <w:r>
        <w:rPr>
          <w:rFonts w:ascii="Times New Roman" w:cs="Times New Roman" w:eastAsia="Times New Roman" w:hAnsi="Times New Roman"/>
          <w:b/>
          <w:bCs/>
          <w:i/>
          <w:iCs/>
          <w:sz w:val="20"/>
          <w:szCs w:val="20"/>
        </w:rPr>
        <w:t xml:space="preserve">D. The Marketing 6.0 Phygital-Gap Synthesis</w:t>
      </w:r>
    </w:p>
    <w:p>
      <w:pPr>
        <w:spacing w:after="120" w:line="264"/>
        <w:jc w:val="both"/>
      </w:pPr>
      <w:r>
        <w:rPr>
          <w:rFonts w:ascii="Times New Roman" w:cs="Times New Roman" w:eastAsia="Times New Roman" w:hAnsi="Times New Roman"/>
          <w:sz w:val="20"/>
          <w:szCs w:val="20"/>
        </w:rPr>
        <w:t xml:space="preserve">These findings converge on a Phygital Policy Trust Degradation Loop: (1) a hyper-ambitious digital promise (IDR 268T, “Golden Indonesia 2045”) is projected through state PR; (2) it meets a fractured physical touchpoint (spoiled food, suspended SPPGs, mass poisoning); (3) the resulting expectation–reality divergence produces cognitive dissonance and visceral moral disgust (ABSA disgust &gt; 70% across all dimensions); (4) citizens adopt strategic sarcastic coping and paralinguistic shielding to bypass moderation while expressing subversive outrage; (5) platform algorithms amplify affective controversy within a hyper-fragmented, atomized network (Q = 0.9837); and (6) institutional trust collapses (reciprocity 1.20%) as citizens abandon state PR channels in favor of AI oracles such as @grok. Within Service-Dominant Logic [51], [52], public value is co-created at the point of physical consumption; when the state's high-salience digital storytelling is not matched by decentralized physical delivery, the resulting dissonance is registered not as mere negative feedback but as moral rejection—channeled through sarcasm because direct defamation carries legal peril under UU ITE.</w:t>
      </w:r>
    </w:p>
    <w:p>
      <w:pPr>
        <w:spacing w:after="160" w:before="280"/>
        <w:jc w:val="center"/>
      </w:pPr>
      <w:r>
        <w:rPr>
          <w:rFonts w:ascii="Times New Roman" w:cs="Times New Roman" w:eastAsia="Times New Roman" w:hAnsi="Times New Roman"/>
          <w:b/>
          <w:bCs/>
          <w:caps/>
          <w:sz w:val="20"/>
          <w:szCs w:val="20"/>
        </w:rPr>
        <w:t xml:space="preserve">VI. Policy Recommendations and Governance Blueprint</w:t>
      </w:r>
    </w:p>
    <w:p>
      <w:pPr>
        <w:spacing w:after="120" w:line="264"/>
        <w:jc w:val="both"/>
      </w:pPr>
      <w:r>
        <w:rPr>
          <w:rFonts w:ascii="Times New Roman" w:cs="Times New Roman" w:eastAsia="Times New Roman" w:hAnsi="Times New Roman"/>
          <w:sz w:val="20"/>
          <w:szCs w:val="20"/>
        </w:rPr>
        <w:t xml:space="preserve">Table V aligns each structural root cause identified in this study with its empirical computational signature and a targeted governance solution.</w:t>
      </w:r>
    </w:p>
    <w:p>
      <w:pPr>
        <w:spacing w:after="200" w:before="100"/>
        <w:jc w:val="center"/>
      </w:pPr>
      <w:r>
        <w:rPr>
          <w:rFonts w:ascii="Times New Roman" w:cs="Times New Roman" w:eastAsia="Times New Roman" w:hAnsi="Times New Roman"/>
          <w:b/>
          <w:bCs/>
          <w:sz w:val="18"/>
          <w:szCs w:val="18"/>
        </w:rPr>
        <w:t xml:space="preserve">TABLE V
CLOSED-LOOP GOVERNANCE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0"/>
      </w:tblGrid>
      <w:tr>
        <w:trPr>
          <w:tblHeader/>
        </w:trPr>
        <w:tc>
          <w:tcPr>
            <w:tcW w:type="dxa" w:w="22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Root cause</w:t>
            </w:r>
          </w:p>
        </w:tc>
        <w:tc>
          <w:tcPr>
            <w:tcW w:type="dxa" w:w="32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Computational signature</w:t>
            </w:r>
          </w:p>
        </w:tc>
        <w:tc>
          <w:tcPr>
            <w:tcW w:type="dxa" w:w="395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Targeted solution</w:t>
            </w:r>
          </w:p>
        </w:tc>
      </w:tr>
      <w:tr>
        <w:tc>
          <w:tcPr>
            <w:tcW w:type="dxa" w:w="2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Phygital gap [28]</w:t>
            </w:r>
          </w:p>
        </w:tc>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ABSA: 71.13% disgust, 1,344 mentions on Nutritional Quality</w:t>
            </w:r>
          </w:p>
        </w:tc>
        <w:tc>
          <w:tcPr>
            <w:tcW w:type="dxa" w:w="39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Prioritize physical touchpoint rectification; mandatory hygiene audits; participatory co-monitoring</w:t>
            </w:r>
          </w:p>
        </w:tc>
      </w:tr>
      <w:tr>
        <w:tc>
          <w:tcPr>
            <w:tcW w:type="dxa" w:w="2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Symbolic fiscal devaluation [17]</w:t>
            </w:r>
          </w:p>
        </w:tc>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77.01% disgust on Budget &amp; Procurement; lexical link triliun–korupsi</w:t>
            </w:r>
          </w:p>
        </w:tc>
        <w:tc>
          <w:tcPr>
            <w:tcW w:type="dxa" w:w="39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Machine-readable open-data APIs with per-child cost breakdowns</w:t>
            </w:r>
          </w:p>
        </w:tc>
      </w:tr>
      <w:tr>
        <w:tc>
          <w:tcPr>
            <w:tcW w:type="dxa" w:w="2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Deliberative vacuum</w:t>
            </w:r>
          </w:p>
        </w:tc>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Q = 0.9837; density 0.0007; reciprocity 1.20%</w:t>
            </w:r>
          </w:p>
        </w:tc>
        <w:tc>
          <w:tcPr>
            <w:tcW w:type="dxa" w:w="39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Decentralized regional rapid-response engagement in threads</w:t>
            </w:r>
          </w:p>
        </w:tc>
      </w:tr>
      <w:tr>
        <w:tc>
          <w:tcPr>
            <w:tcW w:type="dxa" w:w="2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Paralinguistic shielding [43]</w:t>
            </w:r>
          </w:p>
        </w:tc>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Illocutionary-inversion sarcasm; NLP misclassifies dissent as positive</w:t>
            </w:r>
          </w:p>
        </w:tc>
        <w:tc>
          <w:tcPr>
            <w:tcW w:type="dxa" w:w="39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Emoji-aware IndoBERT integrated into state listening dashboards</w:t>
            </w:r>
          </w:p>
        </w:tc>
      </w:tr>
      <w:tr>
        <w:tc>
          <w:tcPr>
            <w:tcW w:type="dxa" w:w="2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Epistemic vacuum &amp; AI delegation</w:t>
            </w:r>
          </w:p>
        </w:tc>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@grok k(in)=42 vs. @prabowo k(in)=15</w:t>
            </w:r>
          </w:p>
        </w:tc>
        <w:tc>
          <w:tcPr>
            <w:tcW w:type="dxa" w:w="39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Algorithmic grounding partnerships; sovereign AI fact-checking assistant</w:t>
            </w:r>
          </w:p>
        </w:tc>
      </w:tr>
    </w:tbl>
    <w:p>
      <w:pPr>
        <w:spacing w:after="120" w:line="264"/>
        <w:jc w:val="both"/>
      </w:pPr>
      <w:r>
        <w:rPr>
          <w:rFonts w:ascii="Times New Roman" w:cs="Times New Roman" w:eastAsia="Times New Roman" w:hAnsi="Times New Roman"/>
          <w:sz w:val="20"/>
          <w:szCs w:val="20"/>
        </w:rPr>
        <w:t xml:space="preserve">Building on this matrix, five interventions are proposed. First, the near-zero reciprocity and hyper-fragmentation indicate that centralized, one-way press releases fail to penetrate discourse; BGN should dismantle its monologue posture and deploy decentralized regional communicators engaging directly within reply threads. Second, because Nutritional Quality generates twice the discourse volume of budget debates, public-relations budgets should be redirected toward physical supply-chain infrastructure—independent hygiene certification, unannounced laboratory testing, and cold-chain upgrades—since physical service excellence is the only credible communication in the phygital era. Third, given @grok's structural dominance, BGN and Kemkomdigi should establish open-data APIs detailing verified disbursements, SPPG status, and food-safety logs so that generative AI systems are grounded in transparent state data rather than unverified social-media rumor. Fourth, sarcasm should be treated as a diagnostic early-warning signal rather than discarded as unquantifiable noise, via emoji-aware sarcasm detection integrated into state social-listening platforms. Fifth, parents, teachers, and school committees should be institutionalized as co-monitors through a lightweight verification application, democratizing the physical touchpoint and transforming cynical critics into invested partners.</w:t>
      </w:r>
    </w:p>
    <w:p>
      <w:pPr>
        <w:spacing w:after="160" w:before="280"/>
        <w:jc w:val="center"/>
      </w:pPr>
      <w:r>
        <w:rPr>
          <w:rFonts w:ascii="Times New Roman" w:cs="Times New Roman" w:eastAsia="Times New Roman" w:hAnsi="Times New Roman"/>
          <w:b/>
          <w:bCs/>
          <w:caps/>
          <w:sz w:val="20"/>
          <w:szCs w:val="20"/>
        </w:rPr>
        <w:t xml:space="preserve">VII. Conclusion</w:t>
      </w:r>
    </w:p>
    <w:p>
      <w:pPr>
        <w:spacing w:after="120" w:line="264"/>
        <w:jc w:val="both"/>
      </w:pPr>
      <w:r>
        <w:rPr>
          <w:rFonts w:ascii="Times New Roman" w:cs="Times New Roman" w:eastAsia="Times New Roman" w:hAnsi="Times New Roman"/>
          <w:sz w:val="20"/>
          <w:szCs w:val="20"/>
        </w:rPr>
        <w:t xml:space="preserve">This study presented a multi-tier computational investigation of digital discourse surrounding Indonesia's MBG program on platform X during March–May 2026. By synthesizing fine-tuned IndoBERT emotion classification, directed SNA, ABSA, and Marketing 6.0's phygital-gap theory, four conclusions emerge. First, public critique manifests primarily through sophisticated digital sarcasm characterized by text–emoji incongruence, macro–micro semantic antithesis, and technocratic dark humor. Second, the discourse network is defined not by classic bipolar political conflict but by radical structural atomization (Q = 0.9837, R = 1.20%, 341 disjoint components), forming a disconnected archipelago that resists centralized broadcast communication. Third, the AI agent @grok has displaced human institutional authorities as the primary epistemic oracle in digital policy verification. Fourth, the pervasive hegemony of disgust (71–79% across all operational dimensions) demonstrates that digital sarcasm is the direct psychological consequence of a profound phygital gap between grandiose digital branding and compromised physical delivery.</w:t>
      </w:r>
    </w:p>
    <w:p>
      <w:pPr>
        <w:spacing w:after="80" w:before="160"/>
      </w:pPr>
      <w:r>
        <w:rPr>
          <w:rFonts w:ascii="Times New Roman" w:cs="Times New Roman" w:eastAsia="Times New Roman" w:hAnsi="Times New Roman"/>
          <w:b/>
          <w:bCs/>
          <w:i/>
          <w:iCs/>
          <w:sz w:val="20"/>
          <w:szCs w:val="20"/>
        </w:rPr>
        <w:t xml:space="preserve">Future Research Agenda</w:t>
      </w:r>
    </w:p>
    <w:p>
      <w:pPr>
        <w:spacing w:after="120" w:line="264"/>
        <w:jc w:val="both"/>
      </w:pPr>
      <w:r>
        <w:rPr>
          <w:rFonts w:ascii="Times New Roman" w:cs="Times New Roman" w:eastAsia="Times New Roman" w:hAnsi="Times New Roman"/>
          <w:sz w:val="20"/>
          <w:szCs w:val="20"/>
        </w:rPr>
        <w:t xml:space="preserve">Five directions are proposed for future work. (1) Multi-annotator IndoBERT recalibration: resolve the identified testing-pipeline artifact via a rigorous multi-annotator relabeling protocol (Cohen's κ &gt; 0.85; Krippendorff's α &gt; 0.80) to publish definitive benchmarks for emotion and sarcasm classification. (2) Multimodal cross-platform analysis: extend computer-vision and audio-transcript methods to TikTok and Instagram to test whether the phygital gap manifests differently across platform affordances. (3) Longitudinal and dynamic network modeling using Temporal Exponential Random Graph Models and Stochastic Actor-Oriented Models [46] to determine whether atomization is an ephemeral crisis state or an enduring structural feature. (4) A real-time Digital Public Policy Trust Index, DPPTI_t = w1(Trust_t / (Trust_t + Disgust_t + ε)) + w2(1 − Q_t) + w3 R_t + w4 NetValence_t, deployable as predictive governance telemetry. (5) Algorithmic epistemic governance audits, systematically querying commercial LLMs with standardized Indonesian policy prompts to evaluate hallucination rates, latent bias, and the degree to which AI responses reproduce social-media cynicism versus official documentation.</w:t>
      </w:r>
    </w:p>
    <w:p>
      <w:pPr>
        <w:spacing w:after="120" w:line="264"/>
        <w:jc w:val="both"/>
      </w:pPr>
      <w:r>
        <w:rPr>
          <w:rFonts w:ascii="Times New Roman" w:cs="Times New Roman" w:eastAsia="Times New Roman" w:hAnsi="Times New Roman"/>
          <w:sz w:val="20"/>
          <w:szCs w:val="20"/>
        </w:rPr>
        <w:t xml:space="preserve">Ultimately, this study demonstrates that when a modern state launches a multi-trillion-rupiah public policy, the success of the intervention depends not only on fiscal arithmetic but on the integrity of the phygital encounter: a government cannot nourish the bodies of its children while starving the communicative trust of its citizens.</w:t>
      </w:r>
    </w:p>
    <w:p>
      <w:pPr>
        <w:spacing w:after="80" w:before="160"/>
      </w:pPr>
      <w:r>
        <w:rPr>
          <w:rFonts w:ascii="Times New Roman" w:cs="Times New Roman" w:eastAsia="Times New Roman" w:hAnsi="Times New Roman"/>
          <w:b/>
          <w:bCs/>
          <w:i/>
          <w:iCs/>
          <w:sz w:val="20"/>
          <w:szCs w:val="20"/>
        </w:rPr>
        <w:t xml:space="preserve">Acknowledgment</w:t>
      </w:r>
    </w:p>
    <w:p>
      <w:pPr>
        <w:spacing w:after="120" w:line="264"/>
        <w:jc w:val="both"/>
      </w:pPr>
      <w:r>
        <w:rPr>
          <w:rFonts w:ascii="Times New Roman" w:cs="Times New Roman" w:eastAsia="Times New Roman" w:hAnsi="Times New Roman"/>
          <w:sz w:val="20"/>
          <w:szCs w:val="20"/>
        </w:rPr>
        <w:t xml:space="preserve">This research received no external financial grant. The author declares no commercial, financial, or institutional conflicts of interest. Anonymized network edge lists, trained model checkpoints, ABSA lexicons, and extraction scripts are deposited in an open-access repository (DOI pending peer review); raw tweet text containing personally identifying metadata has been withheld to ensure compliance with platform terms of service and human-subjects privacy protocols.</w:t>
      </w:r>
    </w:p>
    <w:p>
      <w:pPr>
        <w:spacing w:after="160" w:before="280"/>
        <w:jc w:val="center"/>
      </w:pPr>
      <w:r>
        <w:rPr>
          <w:rFonts w:ascii="Times New Roman" w:cs="Times New Roman" w:eastAsia="Times New Roman" w:hAnsi="Times New Roman"/>
          <w:b/>
          <w:bCs/>
          <w:caps/>
          <w:sz w:val="20"/>
          <w:szCs w:val="20"/>
        </w:rPr>
        <w:t xml:space="preserve">References</w:t>
      </w:r>
    </w:p>
    <w:p>
      <w:pPr>
        <w:spacing w:after="100" w:line="240"/>
        <w:ind w:left="360" w:hanging="360"/>
        <w:jc w:val="both"/>
      </w:pPr>
      <w:r>
        <w:rPr>
          <w:rFonts w:ascii="Times New Roman" w:cs="Times New Roman" w:eastAsia="Times New Roman" w:hAnsi="Times New Roman"/>
          <w:sz w:val="18"/>
          <w:szCs w:val="18"/>
        </w:rPr>
        <w:t xml:space="preserve">[1]	B. Albertson and S. K. Gadarian, Anxious Politics: Democratic Citizenship in a Threatening World. Cambridge, U.K.: Cambridge Univ. Press, 2015.</w:t>
      </w:r>
    </w:p>
    <w:p>
      <w:pPr>
        <w:spacing w:after="100" w:line="240"/>
        <w:ind w:left="360" w:hanging="360"/>
        <w:jc w:val="both"/>
      </w:pPr>
      <w:r>
        <w:rPr>
          <w:rFonts w:ascii="Times New Roman" w:cs="Times New Roman" w:eastAsia="Times New Roman" w:hAnsi="Times New Roman"/>
          <w:sz w:val="18"/>
          <w:szCs w:val="18"/>
        </w:rPr>
        <w:t xml:space="preserve">[2]	ANTARA, “4,581 SPPG suspended for quality improvement, 1,152 units remain under review,” ANTARA News Agency, May 2026.</w:t>
      </w:r>
    </w:p>
    <w:p>
      <w:pPr>
        <w:spacing w:after="100" w:line="240"/>
        <w:ind w:left="360" w:hanging="360"/>
        <w:jc w:val="both"/>
      </w:pPr>
      <w:r>
        <w:rPr>
          <w:rFonts w:ascii="Times New Roman" w:cs="Times New Roman" w:eastAsia="Times New Roman" w:hAnsi="Times New Roman"/>
          <w:sz w:val="18"/>
          <w:szCs w:val="18"/>
        </w:rPr>
        <w:t xml:space="preserve">[3]	S. Attardo, “Irony markers and humor,” Humor: Int. J. Humor Res., vol. 13, no. 2, pp. 217–236, 2000.</w:t>
      </w:r>
    </w:p>
    <w:p>
      <w:pPr>
        <w:spacing w:after="100" w:line="240"/>
        <w:ind w:left="360" w:hanging="360"/>
        <w:jc w:val="both"/>
      </w:pPr>
      <w:r>
        <w:rPr>
          <w:rFonts w:ascii="Times New Roman" w:cs="Times New Roman" w:eastAsia="Times New Roman" w:hAnsi="Times New Roman"/>
          <w:sz w:val="18"/>
          <w:szCs w:val="18"/>
        </w:rPr>
        <w:t xml:space="preserve">[4]	A.-L. Barabási and R. Albert, “Emergence of scaling in random networks,” Science, vol. 286, no. 5439, pp. 509–512, 1999.</w:t>
      </w:r>
    </w:p>
    <w:p>
      <w:pPr>
        <w:spacing w:after="100" w:line="240"/>
        <w:ind w:left="360" w:hanging="360"/>
        <w:jc w:val="both"/>
      </w:pPr>
      <w:r>
        <w:rPr>
          <w:rFonts w:ascii="Times New Roman" w:cs="Times New Roman" w:eastAsia="Times New Roman" w:hAnsi="Times New Roman"/>
          <w:sz w:val="18"/>
          <w:szCs w:val="18"/>
        </w:rPr>
        <w:t xml:space="preserve">[5]	P. Barberá, N. Wang, R. Bonneau, J. T. Jost, J. Nagler, S. Sanovich, and J. A. Tucker, “The critical periphery in the growth of social media protests,” PLOS ONE, vol. 10, no. 11, e0143611, 2015.</w:t>
      </w:r>
    </w:p>
    <w:p>
      <w:pPr>
        <w:spacing w:after="100" w:line="240"/>
        <w:ind w:left="360" w:hanging="360"/>
        <w:jc w:val="both"/>
      </w:pPr>
      <w:r>
        <w:rPr>
          <w:rFonts w:ascii="Times New Roman" w:cs="Times New Roman" w:eastAsia="Times New Roman" w:hAnsi="Times New Roman"/>
          <w:sz w:val="18"/>
          <w:szCs w:val="18"/>
        </w:rPr>
        <w:t xml:space="preserve">[6]	W. L. Bennett and A. Segerberg, “The logic of connective action: Digital media and the personalization of contentious politics,” Inf., Commun. Soc., vol. 15, no. 5, pp. 739–768, 2012.</w:t>
      </w:r>
    </w:p>
    <w:p>
      <w:pPr>
        <w:spacing w:after="100" w:line="240"/>
        <w:ind w:left="360" w:hanging="360"/>
        <w:jc w:val="both"/>
      </w:pPr>
      <w:r>
        <w:rPr>
          <w:rFonts w:ascii="Times New Roman" w:cs="Times New Roman" w:eastAsia="Times New Roman" w:hAnsi="Times New Roman"/>
          <w:sz w:val="18"/>
          <w:szCs w:val="18"/>
        </w:rPr>
        <w:t xml:space="preserve">[7]	BGN, “Coordination meeting on MBG public communication strengthening,” Bureau of Legal Affairs and Public Relations, Badan Gizi Nasional, Bekasi, Indonesia, Apr. 6, 2026.</w:t>
      </w:r>
    </w:p>
    <w:p>
      <w:pPr>
        <w:spacing w:after="100" w:line="240"/>
        <w:ind w:left="360" w:hanging="360"/>
        <w:jc w:val="both"/>
      </w:pPr>
      <w:r>
        <w:rPr>
          <w:rFonts w:ascii="Times New Roman" w:cs="Times New Roman" w:eastAsia="Times New Roman" w:hAnsi="Times New Roman"/>
          <w:sz w:val="18"/>
          <w:szCs w:val="18"/>
        </w:rPr>
        <w:t xml:space="preserve">[8]	V. D. Blondel, J.-L. Guillaume, R. Lambiotte, and E. Lefebvre, “Fast unfolding of communities in large networks,” J. Stat. Mech., vol. 2008, no. 10, P10008, 2008.</w:t>
      </w:r>
    </w:p>
    <w:p>
      <w:pPr>
        <w:spacing w:after="100" w:line="240"/>
        <w:ind w:left="360" w:hanging="360"/>
        <w:jc w:val="both"/>
      </w:pPr>
      <w:r>
        <w:rPr>
          <w:rFonts w:ascii="Times New Roman" w:cs="Times New Roman" w:eastAsia="Times New Roman" w:hAnsi="Times New Roman"/>
          <w:sz w:val="18"/>
          <w:szCs w:val="18"/>
        </w:rPr>
        <w:t xml:space="preserve">[9]	Bloomberg Technoz, “BGN head explains IDR 67 trillion MBG budget adjustment,” Bloomberg Technoz, Mar. 31, 2026.</w:t>
      </w:r>
    </w:p>
    <w:p>
      <w:pPr>
        <w:spacing w:after="100" w:line="240"/>
        <w:ind w:left="360" w:hanging="360"/>
        <w:jc w:val="both"/>
      </w:pPr>
      <w:r>
        <w:rPr>
          <w:rFonts w:ascii="Times New Roman" w:cs="Times New Roman" w:eastAsia="Times New Roman" w:hAnsi="Times New Roman"/>
          <w:sz w:val="18"/>
          <w:szCs w:val="18"/>
        </w:rPr>
        <w:t xml:space="preserve">[10]	d. boyd and K. Crawford, “Critical questions for big data,” Inf., Commun. Soc., vol. 15, no. 5, pp. 662–679, 2012.</w:t>
      </w:r>
    </w:p>
    <w:p>
      <w:pPr>
        <w:spacing w:after="100" w:line="240"/>
        <w:ind w:left="360" w:hanging="360"/>
        <w:jc w:val="both"/>
      </w:pPr>
      <w:r>
        <w:rPr>
          <w:rFonts w:ascii="Times New Roman" w:cs="Times New Roman" w:eastAsia="Times New Roman" w:hAnsi="Times New Roman"/>
          <w:sz w:val="18"/>
          <w:szCs w:val="18"/>
        </w:rPr>
        <w:t xml:space="preserve">[11]	E. Camp, “Sarcasm, pretense, and the semantics/pragmatics distinction,” Noûs, vol. 46, no. 4, pp. 587–634, 2012.</w:t>
      </w:r>
    </w:p>
    <w:p>
      <w:pPr>
        <w:spacing w:after="100" w:line="240"/>
        <w:ind w:left="360" w:hanging="360"/>
        <w:jc w:val="both"/>
      </w:pPr>
      <w:r>
        <w:rPr>
          <w:rFonts w:ascii="Times New Roman" w:cs="Times New Roman" w:eastAsia="Times New Roman" w:hAnsi="Times New Roman"/>
          <w:sz w:val="18"/>
          <w:szCs w:val="18"/>
        </w:rPr>
        <w:t xml:space="preserve">[12]	A. Clauset, C. R. Shalizi, and M. E. J. Newman, “Power-law distributions in empirical data,” SIAM Rev., vol. 51, no. 4, pp. 661–703, 2009.</w:t>
      </w:r>
    </w:p>
    <w:p>
      <w:pPr>
        <w:spacing w:after="100" w:line="240"/>
        <w:ind w:left="360" w:hanging="360"/>
        <w:jc w:val="both"/>
      </w:pPr>
      <w:r>
        <w:rPr>
          <w:rFonts w:ascii="Times New Roman" w:cs="Times New Roman" w:eastAsia="Times New Roman" w:hAnsi="Times New Roman"/>
          <w:sz w:val="18"/>
          <w:szCs w:val="18"/>
        </w:rPr>
        <w:t xml:space="preserve">[13]	M. D. Conover, J. Ratkiewicz, M. R. Francisco, B. Gonçalves, F. Menczer, and A. Flammini, “Political polarization on Twitter,” in Proc. Int. AAAI Conf. Web Social Media, vol. 5, no. 1, pp. 89–96, 2011.</w:t>
      </w:r>
    </w:p>
    <w:p>
      <w:pPr>
        <w:spacing w:after="100" w:line="240"/>
        <w:ind w:left="360" w:hanging="360"/>
        <w:jc w:val="both"/>
      </w:pPr>
      <w:r>
        <w:rPr>
          <w:rFonts w:ascii="Times New Roman" w:cs="Times New Roman" w:eastAsia="Times New Roman" w:hAnsi="Times New Roman"/>
          <w:sz w:val="18"/>
          <w:szCs w:val="18"/>
        </w:rPr>
        <w:t xml:space="preserve">[14]	V. T. Covello, D. von Winterfeldt, and P. Slovic, “Risk communication: A review of the literature,” Risk Abstr., vol. 3, no. 4, pp. 171–182, 1986.</w:t>
      </w:r>
    </w:p>
    <w:p>
      <w:pPr>
        <w:spacing w:after="100" w:line="240"/>
        <w:ind w:left="360" w:hanging="360"/>
        <w:jc w:val="both"/>
      </w:pPr>
      <w:r>
        <w:rPr>
          <w:rFonts w:ascii="Times New Roman" w:cs="Times New Roman" w:eastAsia="Times New Roman" w:hAnsi="Times New Roman"/>
          <w:sz w:val="18"/>
          <w:szCs w:val="18"/>
        </w:rPr>
        <w:t xml:space="preserve">[15]	J. Devlin, M.-W. Chang, K. Lee, and K. Toutanova, “BERT: Pre-training of deep bidirectional transformers for language understanding,” in Proc. NAACL-HLT, 2019, pp. 4171–4186.</w:t>
      </w:r>
    </w:p>
    <w:p>
      <w:pPr>
        <w:spacing w:after="100" w:line="240"/>
        <w:ind w:left="360" w:hanging="360"/>
        <w:jc w:val="both"/>
      </w:pPr>
      <w:r>
        <w:rPr>
          <w:rFonts w:ascii="Times New Roman" w:cs="Times New Roman" w:eastAsia="Times New Roman" w:hAnsi="Times New Roman"/>
          <w:sz w:val="18"/>
          <w:szCs w:val="18"/>
        </w:rPr>
        <w:t xml:space="preserve">[16]	E. Dresner and S. C. Herring, “Functions of the nonverbal in CMC: Emoticons and illocutionary force,” Commun. Theory, vol. 20, no. 3, pp. 249–268, 2010.</w:t>
      </w:r>
    </w:p>
    <w:p>
      <w:pPr>
        <w:spacing w:after="100" w:line="240"/>
        <w:ind w:left="360" w:hanging="360"/>
        <w:jc w:val="both"/>
      </w:pPr>
      <w:r>
        <w:rPr>
          <w:rFonts w:ascii="Times New Roman" w:cs="Times New Roman" w:eastAsia="Times New Roman" w:hAnsi="Times New Roman"/>
          <w:sz w:val="18"/>
          <w:szCs w:val="18"/>
        </w:rPr>
        <w:t xml:space="preserve">[17]	M. Edelman, The Symbolic Uses of Politics. Urbana, IL, USA: Univ. Illinois Press, 1964.</w:t>
      </w:r>
    </w:p>
    <w:p>
      <w:pPr>
        <w:spacing w:after="100" w:line="240"/>
        <w:ind w:left="360" w:hanging="360"/>
        <w:jc w:val="both"/>
      </w:pPr>
      <w:r>
        <w:rPr>
          <w:rFonts w:ascii="Times New Roman" w:cs="Times New Roman" w:eastAsia="Times New Roman" w:hAnsi="Times New Roman"/>
          <w:sz w:val="18"/>
          <w:szCs w:val="18"/>
        </w:rPr>
        <w:t xml:space="preserve">[18]	P. Ekman, “An argument for basic emotions,” Cogn. Emotion, vol. 6, nos. 3–4, pp. 169–200, 1992.</w:t>
      </w:r>
    </w:p>
    <w:p>
      <w:pPr>
        <w:spacing w:after="100" w:line="240"/>
        <w:ind w:left="360" w:hanging="360"/>
        <w:jc w:val="both"/>
      </w:pPr>
      <w:r>
        <w:rPr>
          <w:rFonts w:ascii="Times New Roman" w:cs="Times New Roman" w:eastAsia="Times New Roman" w:hAnsi="Times New Roman"/>
          <w:sz w:val="18"/>
          <w:szCs w:val="18"/>
        </w:rPr>
        <w:t xml:space="preserve">[19]	P. Erdős and A. Rényi, “On the evolution of random graphs,” Publ. Math. Inst. Hung. Acad. Sci., vol. 5, no. 1, pp. 17–60, 1960.</w:t>
      </w:r>
    </w:p>
    <w:p>
      <w:pPr>
        <w:spacing w:after="100" w:line="240"/>
        <w:ind w:left="360" w:hanging="360"/>
        <w:jc w:val="both"/>
      </w:pPr>
      <w:r>
        <w:rPr>
          <w:rFonts w:ascii="Times New Roman" w:cs="Times New Roman" w:eastAsia="Times New Roman" w:hAnsi="Times New Roman"/>
          <w:sz w:val="18"/>
          <w:szCs w:val="18"/>
        </w:rPr>
        <w:t xml:space="preserve">[20]	L. C. Freeman, “Centrality in social networks: Conceptual clarification,” Social Netw., vol. 1, no. 3, pp. 215–239, 1979.</w:t>
      </w:r>
    </w:p>
    <w:p>
      <w:pPr>
        <w:spacing w:after="100" w:line="240"/>
        <w:ind w:left="360" w:hanging="360"/>
        <w:jc w:val="both"/>
      </w:pPr>
      <w:r>
        <w:rPr>
          <w:rFonts w:ascii="Times New Roman" w:cs="Times New Roman" w:eastAsia="Times New Roman" w:hAnsi="Times New Roman"/>
          <w:sz w:val="18"/>
          <w:szCs w:val="18"/>
        </w:rPr>
        <w:t xml:space="preserve">[21]	R. W. Gibbs, “Irony in talk among friends,” Metaphor Symbol, vol. 15, nos. 1–2, pp. 5–27, 2000.</w:t>
      </w:r>
    </w:p>
    <w:p>
      <w:pPr>
        <w:spacing w:after="100" w:line="240"/>
        <w:ind w:left="360" w:hanging="360"/>
        <w:jc w:val="both"/>
      </w:pPr>
      <w:r>
        <w:rPr>
          <w:rFonts w:ascii="Times New Roman" w:cs="Times New Roman" w:eastAsia="Times New Roman" w:hAnsi="Times New Roman"/>
          <w:sz w:val="18"/>
          <w:szCs w:val="18"/>
        </w:rPr>
        <w:t xml:space="preserve">[22]	R. Giora, On Our Mind: Salience, Context, and Figurative Language. Oxford, U.K.: Oxford Univ. Press, 2003.</w:t>
      </w:r>
    </w:p>
    <w:p>
      <w:pPr>
        <w:spacing w:after="100" w:line="240"/>
        <w:ind w:left="360" w:hanging="360"/>
        <w:jc w:val="both"/>
      </w:pPr>
      <w:r>
        <w:rPr>
          <w:rFonts w:ascii="Times New Roman" w:cs="Times New Roman" w:eastAsia="Times New Roman" w:hAnsi="Times New Roman"/>
          <w:sz w:val="18"/>
          <w:szCs w:val="18"/>
        </w:rPr>
        <w:t xml:space="preserve">[23]	H. P. Grice, “Logic and conversation,” in Syntax and Semantics, vol. 3: Speech Acts, P. Cole and J. Morgan, Eds. New York, NY, USA: Academic Press, 1975, pp. 41–58.</w:t>
      </w:r>
    </w:p>
    <w:p>
      <w:pPr>
        <w:spacing w:after="100" w:line="240"/>
        <w:ind w:left="360" w:hanging="360"/>
        <w:jc w:val="both"/>
      </w:pPr>
      <w:r>
        <w:rPr>
          <w:rFonts w:ascii="Times New Roman" w:cs="Times New Roman" w:eastAsia="Times New Roman" w:hAnsi="Times New Roman"/>
          <w:sz w:val="18"/>
          <w:szCs w:val="18"/>
        </w:rPr>
        <w:t xml:space="preserve">[24]	A. A. Hagberg, D. A. Schult, and P. J. Swart, “Exploring network structure, dynamics, and function using NetworkX,” in Proc. 7th Python Sci. Conf., 2008, pp. 11–15.</w:t>
      </w:r>
    </w:p>
    <w:p>
      <w:pPr>
        <w:spacing w:after="100" w:line="240"/>
        <w:ind w:left="360" w:hanging="360"/>
        <w:jc w:val="both"/>
      </w:pPr>
      <w:r>
        <w:rPr>
          <w:rFonts w:ascii="Times New Roman" w:cs="Times New Roman" w:eastAsia="Times New Roman" w:hAnsi="Times New Roman"/>
          <w:sz w:val="18"/>
          <w:szCs w:val="18"/>
        </w:rPr>
        <w:t xml:space="preserve">[25]	D. Horton and R. R. Wohl, “Mass communication and para-social interaction,” Psychiatry, vol. 19, no. 3, pp. 215–229, 1956.</w:t>
      </w:r>
    </w:p>
    <w:p>
      <w:pPr>
        <w:spacing w:after="100" w:line="240"/>
        <w:ind w:left="360" w:hanging="360"/>
        <w:jc w:val="both"/>
      </w:pPr>
      <w:r>
        <w:rPr>
          <w:rFonts w:ascii="Times New Roman" w:cs="Times New Roman" w:eastAsia="Times New Roman" w:hAnsi="Times New Roman"/>
          <w:sz w:val="18"/>
          <w:szCs w:val="18"/>
        </w:rPr>
        <w:t xml:space="preserve">[26]	S. Iyengar, Y. Lelkes, M. Levendusky, N. Malhotra, and S. J. Westwood, “The origins and consequences of affective polarization in the United States,” Annu. Rev. Political Sci., vol. 22, pp. 129–146, 2019.</w:t>
      </w:r>
    </w:p>
    <w:p>
      <w:pPr>
        <w:spacing w:after="100" w:line="240"/>
        <w:ind w:left="360" w:hanging="360"/>
        <w:jc w:val="both"/>
      </w:pPr>
      <w:r>
        <w:rPr>
          <w:rFonts w:ascii="Times New Roman" w:cs="Times New Roman" w:eastAsia="Times New Roman" w:hAnsi="Times New Roman"/>
          <w:sz w:val="18"/>
          <w:szCs w:val="18"/>
        </w:rPr>
        <w:t xml:space="preserve">[27]	K. H. Jamieson and J. N. Cappella, Echo Chamber: Rush Limbaugh and the Conservative Media Establishment. Oxford, U.K.: Oxford Univ. Press, 2008.</w:t>
      </w:r>
    </w:p>
    <w:p>
      <w:pPr>
        <w:spacing w:after="100" w:line="240"/>
        <w:ind w:left="360" w:hanging="360"/>
        <w:jc w:val="both"/>
      </w:pPr>
      <w:r>
        <w:rPr>
          <w:rFonts w:ascii="Times New Roman" w:cs="Times New Roman" w:eastAsia="Times New Roman" w:hAnsi="Times New Roman"/>
          <w:sz w:val="18"/>
          <w:szCs w:val="18"/>
        </w:rPr>
        <w:t xml:space="preserve">[28]	P. Kotler, H. Kartajaya, and I. Setiawan, Marketing 6.0: The Future Is Immersive. Hoboken, NJ, USA: Wiley, 2023.</w:t>
      </w:r>
    </w:p>
    <w:p>
      <w:pPr>
        <w:spacing w:after="100" w:line="240"/>
        <w:ind w:left="360" w:hanging="360"/>
        <w:jc w:val="both"/>
      </w:pPr>
      <w:r>
        <w:rPr>
          <w:rFonts w:ascii="Times New Roman" w:cs="Times New Roman" w:eastAsia="Times New Roman" w:hAnsi="Times New Roman"/>
          <w:sz w:val="18"/>
          <w:szCs w:val="18"/>
        </w:rPr>
        <w:t xml:space="preserve">[29]	P. Kotler and N. R. Lee, Marketing in the Public Sector: A Roadmap for Improved Performance. Philadelphia, PA, USA: Wharton School Publishing, 2007.</w:t>
      </w:r>
    </w:p>
    <w:p>
      <w:pPr>
        <w:spacing w:after="100" w:line="240"/>
        <w:ind w:left="360" w:hanging="360"/>
        <w:jc w:val="both"/>
      </w:pPr>
      <w:r>
        <w:rPr>
          <w:rFonts w:ascii="Times New Roman" w:cs="Times New Roman" w:eastAsia="Times New Roman" w:hAnsi="Times New Roman"/>
          <w:sz w:val="18"/>
          <w:szCs w:val="18"/>
        </w:rPr>
        <w:t xml:space="preserve">[30]	D. Lazer, A. Pentland, L. Adamic, S. Aral, A.-L. Barabási, D. Brewer, et al., “Computational social science,” Science, vol. 323, no. 5915, pp. 721–723, 2009.</w:t>
      </w:r>
    </w:p>
    <w:p>
      <w:pPr>
        <w:spacing w:after="100" w:line="240"/>
        <w:ind w:left="360" w:hanging="360"/>
        <w:jc w:val="both"/>
      </w:pPr>
      <w:r>
        <w:rPr>
          <w:rFonts w:ascii="Times New Roman" w:cs="Times New Roman" w:eastAsia="Times New Roman" w:hAnsi="Times New Roman"/>
          <w:sz w:val="18"/>
          <w:szCs w:val="18"/>
        </w:rPr>
        <w:t xml:space="preserve">[31]	D. M. Lazer, A. Pentland, D. J. Watts, S. Aral, S. Athey, et al., “Computational social science: Obstacles and opportunities,” Science, vol. 369, no. 6507, pp. 1060–1062, 2020.</w:t>
      </w:r>
    </w:p>
    <w:p>
      <w:pPr>
        <w:spacing w:after="100" w:line="240"/>
        <w:ind w:left="360" w:hanging="360"/>
        <w:jc w:val="both"/>
      </w:pPr>
      <w:r>
        <w:rPr>
          <w:rFonts w:ascii="Times New Roman" w:cs="Times New Roman" w:eastAsia="Times New Roman" w:hAnsi="Times New Roman"/>
          <w:sz w:val="18"/>
          <w:szCs w:val="18"/>
        </w:rPr>
        <w:t xml:space="preserve">[32]	M. Levi and L. Stoker, “Political trust and trustworthiness,” Annu. Rev. Political Sci., vol. 3, no. 1, pp. 475–507, 2000.</w:t>
      </w:r>
    </w:p>
    <w:p>
      <w:pPr>
        <w:spacing w:after="100" w:line="240"/>
        <w:ind w:left="360" w:hanging="360"/>
        <w:jc w:val="both"/>
      </w:pPr>
      <w:r>
        <w:rPr>
          <w:rFonts w:ascii="Times New Roman" w:cs="Times New Roman" w:eastAsia="Times New Roman" w:hAnsi="Times New Roman"/>
          <w:sz w:val="18"/>
          <w:szCs w:val="18"/>
        </w:rPr>
        <w:t xml:space="preserve">[33]	A. E. Marwick and d. boyd, “I tweet honestly, I tweet passionately: Twitter users, context collapse, and the imagined audience,” New Media Soc., vol. 13, no. 1, pp. 114–133, 2011.</w:t>
      </w:r>
    </w:p>
    <w:p>
      <w:pPr>
        <w:spacing w:after="100" w:line="240"/>
        <w:ind w:left="360" w:hanging="360"/>
        <w:jc w:val="both"/>
      </w:pPr>
      <w:r>
        <w:rPr>
          <w:rFonts w:ascii="Times New Roman" w:cs="Times New Roman" w:eastAsia="Times New Roman" w:hAnsi="Times New Roman"/>
          <w:sz w:val="18"/>
          <w:szCs w:val="18"/>
        </w:rPr>
        <w:t xml:space="preserve">[34]	M. E. J. Newman, “Assortative mixing in networks,” Phys. Rev. Lett., vol. 89, no. 20, 208701, 2002.</w:t>
      </w:r>
    </w:p>
    <w:p>
      <w:pPr>
        <w:spacing w:after="100" w:line="240"/>
        <w:ind w:left="360" w:hanging="360"/>
        <w:jc w:val="both"/>
      </w:pPr>
      <w:r>
        <w:rPr>
          <w:rFonts w:ascii="Times New Roman" w:cs="Times New Roman" w:eastAsia="Times New Roman" w:hAnsi="Times New Roman"/>
          <w:sz w:val="18"/>
          <w:szCs w:val="18"/>
        </w:rPr>
        <w:t xml:space="preserve">[35]	M. E. J. Newman, “Modularity and community structure in networks,” Proc. Nat. Acad. Sci., vol. 103, no. 23, pp. 8577–8582, 2006.</w:t>
      </w:r>
    </w:p>
    <w:p>
      <w:pPr>
        <w:spacing w:after="100" w:line="240"/>
        <w:ind w:left="360" w:hanging="360"/>
        <w:jc w:val="both"/>
      </w:pPr>
      <w:r>
        <w:rPr>
          <w:rFonts w:ascii="Times New Roman" w:cs="Times New Roman" w:eastAsia="Times New Roman" w:hAnsi="Times New Roman"/>
          <w:sz w:val="18"/>
          <w:szCs w:val="18"/>
        </w:rPr>
        <w:t xml:space="preserve">[36]	E. Noelle-Neumann, “The spiral of silence: A theory of public opinion,” J. Commun., vol. 24, no. 2, pp. 43–51, 1974.</w:t>
      </w:r>
    </w:p>
    <w:p>
      <w:pPr>
        <w:spacing w:after="100" w:line="240"/>
        <w:ind w:left="360" w:hanging="360"/>
        <w:jc w:val="both"/>
      </w:pPr>
      <w:r>
        <w:rPr>
          <w:rFonts w:ascii="Times New Roman" w:cs="Times New Roman" w:eastAsia="Times New Roman" w:hAnsi="Times New Roman"/>
          <w:sz w:val="18"/>
          <w:szCs w:val="18"/>
        </w:rPr>
        <w:t xml:space="preserve">[37]	L. Plé and R. Chumpitaz Cáceres, “Not always co-creation: Introducing interactional co-destruction of value in service-dominant logic,” J. Services Marketing, vol. 24, no. 6, pp. 430–437, 2010.</w:t>
      </w:r>
    </w:p>
    <w:p>
      <w:pPr>
        <w:spacing w:after="100" w:line="240"/>
        <w:ind w:left="360" w:hanging="360"/>
        <w:jc w:val="both"/>
      </w:pPr>
      <w:r>
        <w:rPr>
          <w:rFonts w:ascii="Times New Roman" w:cs="Times New Roman" w:eastAsia="Times New Roman" w:hAnsi="Times New Roman"/>
          <w:sz w:val="18"/>
          <w:szCs w:val="18"/>
        </w:rPr>
        <w:t xml:space="preserve">[38]	R. Plutchik, “A general psychoevolutionary theory of emotion,” in Theories of Emotion, R. Plutchik and H. Kellerman, Eds. New York, NY, USA: Academic Press, 1980, pp. 3–33.</w:t>
      </w:r>
    </w:p>
    <w:p>
      <w:pPr>
        <w:spacing w:after="100" w:line="240"/>
        <w:ind w:left="360" w:hanging="360"/>
        <w:jc w:val="both"/>
      </w:pPr>
      <w:r>
        <w:rPr>
          <w:rFonts w:ascii="Times New Roman" w:cs="Times New Roman" w:eastAsia="Times New Roman" w:hAnsi="Times New Roman"/>
          <w:sz w:val="18"/>
          <w:szCs w:val="18"/>
        </w:rPr>
        <w:t xml:space="preserve">[39]	M. Pontiki, D. Galanis, H. Papageorgiou, I. Androutsopoulos, S. Manandhar, A.-S. Mohammad, et al., “SemEval-2014 task 4: Aspect based sentiment analysis,” in Proc. 8th Int. Workshop Semantic Eval., 2014, pp. 27–35.</w:t>
      </w:r>
    </w:p>
    <w:p>
      <w:pPr>
        <w:spacing w:after="100" w:line="240"/>
        <w:ind w:left="360" w:hanging="360"/>
        <w:jc w:val="both"/>
      </w:pPr>
      <w:r>
        <w:rPr>
          <w:rFonts w:ascii="Times New Roman" w:cs="Times New Roman" w:eastAsia="Times New Roman" w:hAnsi="Times New Roman"/>
          <w:sz w:val="18"/>
          <w:szCs w:val="18"/>
        </w:rPr>
        <w:t xml:space="preserve">[40]	O. Renn, “Risk communication: Towards a rational discourse with the public,” J. Hazardous Mater., vol. 29, no. 3, pp. 465–519, 1992.</w:t>
      </w:r>
    </w:p>
    <w:p>
      <w:pPr>
        <w:spacing w:after="100" w:line="240"/>
        <w:ind w:left="360" w:hanging="360"/>
        <w:jc w:val="both"/>
      </w:pPr>
      <w:r>
        <w:rPr>
          <w:rFonts w:ascii="Times New Roman" w:cs="Times New Roman" w:eastAsia="Times New Roman" w:hAnsi="Times New Roman"/>
          <w:sz w:val="18"/>
          <w:szCs w:val="18"/>
        </w:rPr>
        <w:t xml:space="preserve">[41]	P. Rozin, J. Haidt, and C. R. McCauley, “Disgust,” in Handbook of Emotions, 2nd ed., M. Lewis and J. M. Haviland-Jones, Eds. New York, NY, USA: Guilford Press, 2000, pp. 637–653.</w:t>
      </w:r>
    </w:p>
    <w:p>
      <w:pPr>
        <w:spacing w:after="100" w:line="240"/>
        <w:ind w:left="360" w:hanging="360"/>
        <w:jc w:val="both"/>
      </w:pPr>
      <w:r>
        <w:rPr>
          <w:rFonts w:ascii="Times New Roman" w:cs="Times New Roman" w:eastAsia="Times New Roman" w:hAnsi="Times New Roman"/>
          <w:sz w:val="18"/>
          <w:szCs w:val="18"/>
        </w:rPr>
        <w:t xml:space="preserve">[42]	F. Schultz, S. Utz, and A. Göritz, “Is the medium the message? Perceptions of and reactions to crisis communication via Twitter, blogs and traditional media,” Public Relations Rev., vol. 37, no. 1, pp. 20–27, 2011.</w:t>
      </w:r>
    </w:p>
    <w:p>
      <w:pPr>
        <w:spacing w:after="100" w:line="240"/>
        <w:ind w:left="360" w:hanging="360"/>
        <w:jc w:val="both"/>
      </w:pPr>
      <w:r>
        <w:rPr>
          <w:rFonts w:ascii="Times New Roman" w:cs="Times New Roman" w:eastAsia="Times New Roman" w:hAnsi="Times New Roman"/>
          <w:sz w:val="18"/>
          <w:szCs w:val="18"/>
        </w:rPr>
        <w:t xml:space="preserve">[43]	J. C. Scott, Weapons of the Weak: Everyday Forms of Peasant Resistance. New Haven, CT, USA: Yale Univ. Press, 1985.</w:t>
      </w:r>
    </w:p>
    <w:p>
      <w:pPr>
        <w:spacing w:after="100" w:line="240"/>
        <w:ind w:left="360" w:hanging="360"/>
        <w:jc w:val="both"/>
      </w:pPr>
      <w:r>
        <w:rPr>
          <w:rFonts w:ascii="Times New Roman" w:cs="Times New Roman" w:eastAsia="Times New Roman" w:hAnsi="Times New Roman"/>
          <w:sz w:val="18"/>
          <w:szCs w:val="18"/>
        </w:rPr>
        <w:t xml:space="preserve">[44]	K. Skovholt, A. Grønning, and A. Kankaanranta, “The communicative functions of emoticons in workplace e-mails,” J. Comput.-Mediated Commun., vol. 19, no. 4, pp. 780–797, 2014.</w:t>
      </w:r>
    </w:p>
    <w:p>
      <w:pPr>
        <w:spacing w:after="100" w:line="240"/>
        <w:ind w:left="360" w:hanging="360"/>
        <w:jc w:val="both"/>
      </w:pPr>
      <w:r>
        <w:rPr>
          <w:rFonts w:ascii="Times New Roman" w:cs="Times New Roman" w:eastAsia="Times New Roman" w:hAnsi="Times New Roman"/>
          <w:sz w:val="18"/>
          <w:szCs w:val="18"/>
        </w:rPr>
        <w:t xml:space="preserve">[45]	P. Slovic, “Perception of risk,” Science, vol. 236, no. 4799, pp. 280–285, 1987.</w:t>
      </w:r>
    </w:p>
    <w:p>
      <w:pPr>
        <w:spacing w:after="100" w:line="240"/>
        <w:ind w:left="360" w:hanging="360"/>
        <w:jc w:val="both"/>
      </w:pPr>
      <w:r>
        <w:rPr>
          <w:rFonts w:ascii="Times New Roman" w:cs="Times New Roman" w:eastAsia="Times New Roman" w:hAnsi="Times New Roman"/>
          <w:sz w:val="18"/>
          <w:szCs w:val="18"/>
        </w:rPr>
        <w:t xml:space="preserve">[46]	T. A. Snijders, G. G. van de Bunt, and C. E. Steglich, “Introduction to stochastic actor-based models for network dynamics,” Social Netw., vol. 32, no. 1, pp. 44–60, 2010.</w:t>
      </w:r>
    </w:p>
    <w:p>
      <w:pPr>
        <w:spacing w:after="100" w:line="240"/>
        <w:ind w:left="360" w:hanging="360"/>
        <w:jc w:val="both"/>
      </w:pPr>
      <w:r>
        <w:rPr>
          <w:rFonts w:ascii="Times New Roman" w:cs="Times New Roman" w:eastAsia="Times New Roman" w:hAnsi="Times New Roman"/>
          <w:sz w:val="18"/>
          <w:szCs w:val="18"/>
        </w:rPr>
        <w:t xml:space="preserve">[47]	A. Suaib and D. Pratiwi, “Social network analysis of political discourse on Twitter: A study of Indonesian election debates,” Jurnal Komunikasi, vol. 17, no. 1, pp. 45–67, 2025.</w:t>
      </w:r>
    </w:p>
    <w:p>
      <w:pPr>
        <w:spacing w:after="100" w:line="240"/>
        <w:ind w:left="360" w:hanging="360"/>
        <w:jc w:val="both"/>
      </w:pPr>
      <w:r>
        <w:rPr>
          <w:rFonts w:ascii="Times New Roman" w:cs="Times New Roman" w:eastAsia="Times New Roman" w:hAnsi="Times New Roman"/>
          <w:sz w:val="18"/>
          <w:szCs w:val="18"/>
        </w:rPr>
        <w:t xml:space="preserve">[48]	Sulafasyah, “Network analysis of mass food poisoning discourse in MBG program on Twitter,” Komunikasi Indonesia, vol. 4, no. 1, pp. 12–29, 2026.</w:t>
      </w:r>
    </w:p>
    <w:p>
      <w:pPr>
        <w:spacing w:after="100" w:line="240"/>
        <w:ind w:left="360" w:hanging="360"/>
        <w:jc w:val="both"/>
      </w:pPr>
      <w:r>
        <w:rPr>
          <w:rFonts w:ascii="Times New Roman" w:cs="Times New Roman" w:eastAsia="Times New Roman" w:hAnsi="Times New Roman"/>
          <w:sz w:val="18"/>
          <w:szCs w:val="18"/>
        </w:rPr>
        <w:t xml:space="preserve">[49]	C. Sun, L. Huang, and X. Qiu, “Utilizing BERT for aspect-based sentiment analysis via constructing auxiliary sentence,” in Proc. NAACL-HLT, 2019, pp. 380–385.</w:t>
      </w:r>
    </w:p>
    <w:p>
      <w:pPr>
        <w:spacing w:after="100" w:line="240"/>
        <w:ind w:left="360" w:hanging="360"/>
        <w:jc w:val="both"/>
      </w:pPr>
      <w:r>
        <w:rPr>
          <w:rFonts w:ascii="Times New Roman" w:cs="Times New Roman" w:eastAsia="Times New Roman" w:hAnsi="Times New Roman"/>
          <w:sz w:val="18"/>
          <w:szCs w:val="18"/>
        </w:rPr>
        <w:t xml:space="preserve">[50]	C. R. Sunstein, Echo Chambers: Bush v. Gore, Impeachment, and Beyond. Princeton, NJ, USA: Princeton Univ. Press, 2001.</w:t>
      </w:r>
    </w:p>
    <w:p>
      <w:pPr>
        <w:spacing w:after="100" w:line="240"/>
        <w:ind w:left="360" w:hanging="360"/>
        <w:jc w:val="both"/>
      </w:pPr>
      <w:r>
        <w:rPr>
          <w:rFonts w:ascii="Times New Roman" w:cs="Times New Roman" w:eastAsia="Times New Roman" w:hAnsi="Times New Roman"/>
          <w:sz w:val="18"/>
          <w:szCs w:val="18"/>
        </w:rPr>
        <w:t xml:space="preserve">[51]	S. L. Vargo and R. F. Lusch, “Evolving to a new dominant logic for marketing,” J. Marketing, vol. 68, no. 1, pp. 1–17, 2004.</w:t>
      </w:r>
    </w:p>
    <w:p>
      <w:pPr>
        <w:spacing w:after="100" w:line="240"/>
        <w:ind w:left="360" w:hanging="360"/>
        <w:jc w:val="both"/>
      </w:pPr>
      <w:r>
        <w:rPr>
          <w:rFonts w:ascii="Times New Roman" w:cs="Times New Roman" w:eastAsia="Times New Roman" w:hAnsi="Times New Roman"/>
          <w:sz w:val="18"/>
          <w:szCs w:val="18"/>
        </w:rPr>
        <w:t xml:space="preserve">[52]	S. L. Vargo and R. F. Lusch, “Institutions and axioms: An extension and update of service-dominant logic,” J. Acad. Marketing Sci., vol. 44, no. 1, pp. 5–23, 2016.</w:t>
      </w:r>
    </w:p>
    <w:p>
      <w:pPr>
        <w:spacing w:after="100" w:line="240"/>
        <w:ind w:left="360" w:hanging="360"/>
        <w:jc w:val="both"/>
      </w:pPr>
      <w:r>
        <w:rPr>
          <w:rFonts w:ascii="Times New Roman" w:cs="Times New Roman" w:eastAsia="Times New Roman" w:hAnsi="Times New Roman"/>
          <w:sz w:val="18"/>
          <w:szCs w:val="18"/>
        </w:rPr>
        <w:t xml:space="preserve">[53]	A. Vaswani, N. Shazeer, N. Parmar, J. Uszkoreit, L. Jones, A. N. Gomez, et al., “Attention is all you need,” in Adv. Neural Inf. Process. Syst., vol. 30, 2017, pp. 5998–6008.</w:t>
      </w:r>
    </w:p>
    <w:p>
      <w:pPr>
        <w:spacing w:after="100" w:line="240"/>
        <w:ind w:left="360" w:hanging="360"/>
        <w:jc w:val="both"/>
      </w:pPr>
      <w:r>
        <w:rPr>
          <w:rFonts w:ascii="Times New Roman" w:cs="Times New Roman" w:eastAsia="Times New Roman" w:hAnsi="Times New Roman"/>
          <w:sz w:val="18"/>
          <w:szCs w:val="18"/>
        </w:rPr>
        <w:t xml:space="preserve">[54]	S. Wasserman and K. Faust, Social Network Analysis: Methods and Applications. Cambridge, U.K.: Cambridge Univ. Press, 1994.</w:t>
      </w:r>
    </w:p>
    <w:p>
      <w:pPr>
        <w:spacing w:after="100" w:line="240"/>
        <w:ind w:left="360" w:hanging="360"/>
        <w:jc w:val="both"/>
      </w:pPr>
      <w:r>
        <w:rPr>
          <w:rFonts w:ascii="Times New Roman" w:cs="Times New Roman" w:eastAsia="Times New Roman" w:hAnsi="Times New Roman"/>
          <w:sz w:val="18"/>
          <w:szCs w:val="18"/>
        </w:rPr>
        <w:t xml:space="preserve">[55]	B. Wilie, K. Vincentio, G. I. Winata, S. Cahyawijaya, Z. Li, Z. S. Lim, et al., “IndoNLU: Benchmark and resources for evaluating Indonesian natural language understanding,” in Proc. 1st Conf. Asia-Pacific Chapter Assoc. Comput. Linguistics, 2020, pp. 843–857.</w:t>
      </w:r>
    </w:p>
    <w:p>
      <w:pPr>
        <w:spacing w:after="160" w:before="280"/>
        <w:jc w:val="center"/>
      </w:pPr>
      <w:r>
        <w:rPr>
          <w:rFonts w:ascii="Times New Roman" w:cs="Times New Roman" w:eastAsia="Times New Roman" w:hAnsi="Times New Roman"/>
          <w:b/>
          <w:bCs/>
          <w:caps/>
          <w:sz w:val="20"/>
          <w:szCs w:val="20"/>
        </w:rPr>
        <w:t xml:space="preserve">Appendix A
Representative Corpus of Digital Sarcasm</w:t>
      </w:r>
    </w:p>
    <w:p>
      <w:pPr>
        <w:spacing w:after="200" w:before="100"/>
        <w:jc w:val="center"/>
      </w:pPr>
      <w:r>
        <w:rPr>
          <w:rFonts w:ascii="Times New Roman" w:cs="Times New Roman" w:eastAsia="Times New Roman" w:hAnsi="Times New Roman"/>
          <w:b/>
          <w:bCs/>
          <w:sz w:val="18"/>
          <w:szCs w:val="18"/>
        </w:rPr>
        <w:t xml:space="preserve">TABLE VI
REPRESENTATIVE INSTANCES OF INDONESIAN DIGITAL SARCASM ON PLATFORM 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900"/>
        <w:gridCol w:w="2750"/>
      </w:tblGrid>
      <w:tr>
        <w:trPr>
          <w:tblHeader/>
        </w:trPr>
        <w:tc>
          <w:tcPr>
            <w:tcW w:type="dxa" w:w="7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ID</w:t>
            </w:r>
          </w:p>
        </w:tc>
        <w:tc>
          <w:tcPr>
            <w:tcW w:type="dxa" w:w="30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Raw tweet (Indonesian)</w:t>
            </w:r>
          </w:p>
        </w:tc>
        <w:tc>
          <w:tcPr>
            <w:tcW w:type="dxa" w:w="29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English gloss</w:t>
            </w:r>
          </w:p>
        </w:tc>
        <w:tc>
          <w:tcPr>
            <w:tcW w:type="dxa" w:w="275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Mechanism</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S-01</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“Hebat banget ya BGN, anggarannya 268 triliun tapi omprengnya impor plastik murahan… Bangga karya anak bangsa! 🤡🇮🇩”</w:t>
            </w:r>
          </w:p>
        </w:tc>
        <w:tc>
          <w:tcPr>
            <w:tcW w:type="dxa" w:w="2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“So impressive BGN, a 268-trillion budget yet the trays are cheap imports… So proud of our own work! 🤡🇮🇩”</w:t>
            </w:r>
          </w:p>
        </w:tc>
        <w:tc>
          <w:tcPr>
            <w:tcW w:type="dxa" w:w="27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Typology 1: illocutionary inversion</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S-02</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“Menu MBG hari ini: nasi lembek, telur secuil, sama aroma got… Sungguh makanan bintang lima 😇”</w:t>
            </w:r>
          </w:p>
        </w:tc>
        <w:tc>
          <w:tcPr>
            <w:tcW w:type="dxa" w:w="2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“Today's menu: mushy rice, a sliver of egg, sewage aroma… Truly five-star 😇”</w:t>
            </w:r>
          </w:p>
        </w:tc>
        <w:tc>
          <w:tcPr>
            <w:tcW w:type="dxa" w:w="27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Typology 2: micro–macro contrast</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S-03</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“Jangan negatif dulu gais, keracunan massal itu cuma latihan ketahanan lambung ❤️”</w:t>
            </w:r>
          </w:p>
        </w:tc>
        <w:tc>
          <w:tcPr>
            <w:tcW w:type="dxa" w:w="2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“Don't be negative guys, the mass poisoning is just stomach-endurance training ❤️”</w:t>
            </w:r>
          </w:p>
        </w:tc>
        <w:tc>
          <w:tcPr>
            <w:tcW w:type="dxa" w:w="27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Typology 3: technocratic dark humor</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S-04</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“Anggaran dipotong 67 triliun katanya sisa dana cadangan… Mantap pak bos, lanjutkan dua periode! 🙃”</w:t>
            </w:r>
          </w:p>
        </w:tc>
        <w:tc>
          <w:tcPr>
            <w:tcW w:type="dxa" w:w="2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“Budget cut by 67 trillion, they say it's leftover reserves… Great job boss, go for two terms! 🙃”</w:t>
            </w:r>
          </w:p>
        </w:tc>
        <w:tc>
          <w:tcPr>
            <w:tcW w:type="dxa" w:w="27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Typology 1: political-endorsement inversion</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S-05</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“Ternyata menu 15 ribu per porsi realisasinya cuma 3 ribu… Berkah barokah! 🙏”</w:t>
            </w:r>
          </w:p>
        </w:tc>
        <w:tc>
          <w:tcPr>
            <w:tcW w:type="dxa" w:w="2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“Turns out the 15k-rupiah menu is really only 3k… Truly blessed! 🙏”</w:t>
            </w:r>
          </w:p>
        </w:tc>
        <w:tc>
          <w:tcPr>
            <w:tcW w:type="dxa" w:w="27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Typology 2: fiscal-discrepancy allegation</w:t>
            </w:r>
          </w:p>
        </w:tc>
      </w:tr>
    </w:tbl>
    <w:p>
      <w:pPr>
        <w:spacing w:after="160" w:before="280"/>
        <w:jc w:val="center"/>
      </w:pPr>
      <w:r>
        <w:rPr>
          <w:rFonts w:ascii="Times New Roman" w:cs="Times New Roman" w:eastAsia="Times New Roman" w:hAnsi="Times New Roman"/>
          <w:b/>
          <w:bCs/>
          <w:caps/>
          <w:sz w:val="20"/>
          <w:szCs w:val="20"/>
        </w:rPr>
        <w:t xml:space="preserve">Appendix B
Aspect-Based Sentiment Analysis Codebook</w:t>
      </w:r>
    </w:p>
    <w:p>
      <w:pPr>
        <w:spacing w:after="200" w:before="100"/>
        <w:jc w:val="center"/>
      </w:pPr>
      <w:r>
        <w:rPr>
          <w:rFonts w:ascii="Times New Roman" w:cs="Times New Roman" w:eastAsia="Times New Roman" w:hAnsi="Times New Roman"/>
          <w:b/>
          <w:bCs/>
          <w:sz w:val="18"/>
          <w:szCs w:val="18"/>
        </w:rPr>
        <w:t xml:space="preserve">TABLE VII
INDUCTIVE SEMANTIC LEXICON AND INDICATOR-KEYWORD SCHEMA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3000"/>
        <w:gridCol w:w="3050"/>
      </w:tblGrid>
      <w:tr>
        <w:trPr>
          <w:tblHeader/>
        </w:trPr>
        <w:tc>
          <w:tcPr>
            <w:tcW w:type="dxa" w:w="10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Aspect</w:t>
            </w:r>
          </w:p>
        </w:tc>
        <w:tc>
          <w:tcPr>
            <w:tcW w:type="dxa" w:w="23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Dimension</w:t>
            </w:r>
          </w:p>
        </w:tc>
        <w:tc>
          <w:tcPr>
            <w:tcW w:type="dxa" w:w="300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Core keywords (ID)</w:t>
            </w:r>
          </w:p>
        </w:tc>
        <w:tc>
          <w:tcPr>
            <w:tcW w:type="dxa" w:w="3050"/>
            <w:shd w:fill="D9D9D9" w:val="clear"/>
            <w:tcMar>
              <w:top w:type="dxa" w:w="40"/>
              <w:left w:type="dxa" w:w="60"/>
              <w:bottom w:type="dxa" w:w="40"/>
              <w:right w:type="dxa" w:w="60"/>
            </w:tcMar>
            <w:vAlign w:val="center"/>
          </w:tcPr>
          <w:p>
            <w:pPr>
              <w:jc w:val="left"/>
            </w:pPr>
            <w:r>
              <w:rPr>
                <w:rFonts w:ascii="Times New Roman" w:cs="Times New Roman" w:eastAsia="Times New Roman" w:hAnsi="Times New Roman"/>
                <w:b/>
                <w:bCs/>
                <w:sz w:val="16"/>
                <w:szCs w:val="16"/>
              </w:rPr>
              <w:t xml:space="preserve">Typical trigger</w:t>
            </w:r>
          </w:p>
        </w:tc>
      </w:tr>
      <w:tr>
        <w:tc>
          <w:tcPr>
            <w:tcW w:type="dxa" w:w="1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A1</w:t>
            </w:r>
          </w:p>
        </w:tc>
        <w:tc>
          <w:tcPr>
            <w:tcW w:type="dxa" w:w="23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Budget &amp; Procurement</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anggaran, triliun, pagu, pangkas, vendor, korupsi, fiktif</w:t>
            </w:r>
          </w:p>
        </w:tc>
        <w:tc>
          <w:tcPr>
            <w:tcW w:type="dxa" w:w="30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Fiscal opacity, downward revisions, crony vendor allegations</w:t>
            </w:r>
          </w:p>
        </w:tc>
      </w:tr>
      <w:tr>
        <w:tc>
          <w:tcPr>
            <w:tcW w:type="dxa" w:w="1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A2</w:t>
            </w:r>
          </w:p>
        </w:tc>
        <w:tc>
          <w:tcPr>
            <w:tcW w:type="dxa" w:w="23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Logistics &amp; Distribution</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logistik, katering, SPPG, ompreng, keterlambatan, suspensi</w:t>
            </w:r>
          </w:p>
        </w:tc>
        <w:tc>
          <w:tcPr>
            <w:tcW w:type="dxa" w:w="30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Suspended units, imported containers, delivery delays</w:t>
            </w:r>
          </w:p>
        </w:tc>
      </w:tr>
      <w:tr>
        <w:tc>
          <w:tcPr>
            <w:tcW w:type="dxa" w:w="1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A3</w:t>
            </w:r>
          </w:p>
        </w:tc>
        <w:tc>
          <w:tcPr>
            <w:tcW w:type="dxa" w:w="23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Nutritional Quality</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gizi, protein, menu, porsi, keracunan, higienitas</w:t>
            </w:r>
          </w:p>
        </w:tc>
        <w:tc>
          <w:tcPr>
            <w:tcW w:type="dxa" w:w="30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6"/>
                <w:szCs w:val="16"/>
              </w:rPr>
              <w:t xml:space="preserve">Hospitalizations, unhygienic preparation, tiny portions</w:t>
            </w:r>
          </w:p>
        </w:tc>
      </w:tr>
    </w:tbl>
    <w:p>
      <w:pPr>
        <w:spacing w:after="160" w:before="280"/>
        <w:jc w:val="center"/>
      </w:pPr>
      <w:r>
        <w:rPr>
          <w:rFonts w:ascii="Times New Roman" w:cs="Times New Roman" w:eastAsia="Times New Roman" w:hAnsi="Times New Roman"/>
          <w:b/>
          <w:bCs/>
          <w:caps/>
          <w:sz w:val="20"/>
          <w:szCs w:val="20"/>
        </w:rPr>
        <w:t xml:space="preserve">Appendix C
Algorithmic Verification Trace of @grok</w:t>
      </w:r>
    </w:p>
    <w:p>
      <w:pPr>
        <w:spacing w:after="120" w:line="264"/>
        <w:jc w:val="both"/>
      </w:pPr>
      <w:r>
        <w:rPr>
          <w:rFonts w:ascii="Times New Roman" w:cs="Times New Roman" w:eastAsia="Times New Roman" w:hAnsi="Times New Roman"/>
          <w:sz w:val="20"/>
          <w:szCs w:val="20"/>
        </w:rPr>
        <w:t xml:space="preserve">Of 42 unique users tagging @grok directly, qualitative parsing of query intent reveals three dominant epistemic categories: budgetary arithmetic validation (45.2% of queries)—verifying per-meal cost allocations against the revised IDR 268-trillion ceiling; verification of viral food-poisoning reports (33.3%)—confirming whether hospital-emergency-room footage was authentic or fabricated; and institutional accountability fact-checking (21.4%)—querying the legal status of SPPG contractors and their political affiliations. This confirms that citizens treat platform-integrated AI as a substitute for investigative journalism and judicial inquiry, cementing its role as the dominant epistemic node in the network.</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2026-09-23T09:42:01.924Z</dcterms:created>
  <dcterms:modified xsi:type="dcterms:W3CDTF">2026-09-23T09:42:01.934Z</dcterms:modified>
</cp:coreProperties>
</file>

<file path=docProps/custom.xml><?xml version="1.0" encoding="utf-8"?>
<Properties xmlns="http://schemas.openxmlformats.org/officeDocument/2006/custom-properties" xmlns:vt="http://schemas.openxmlformats.org/officeDocument/2006/docPropsVTypes"/>
</file>