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Communication Network Analysis of the Trillion-Rupiah Free Nutritious Meals Program on Social Media X</w:t>
      </w:r>
    </w:p>
    <w:p>
      <w:pPr>
        <w:spacing w:after="40"/>
        <w:jc w:val="center"/>
      </w:pPr>
      <w:r>
        <w:rPr>
          <w:rFonts w:ascii="Times New Roman" w:cs="Times New Roman" w:eastAsia="Times New Roman" w:hAnsi="Times New Roman"/>
          <w:sz w:val="22"/>
          <w:szCs w:val="22"/>
        </w:rPr>
        <w:t xml:space="preserve">Indri Anjar Kartika Sari</w:t>
      </w:r>
      <w:r>
        <w:rPr>
          <w:rFonts w:ascii="Times New Roman" w:cs="Times New Roman" w:eastAsia="Times New Roman" w:hAnsi="Times New Roman"/>
          <w:sz w:val="14"/>
          <w:szCs w:val="14"/>
          <w:vertAlign w:val="superscript"/>
        </w:rPr>
        <w:t xml:space="preserve">1</w:t>
      </w:r>
      <w:r>
        <w:rPr>
          <w:rFonts w:ascii="Times New Roman" w:cs="Times New Roman" w:eastAsia="Times New Roman" w:hAnsi="Times New Roman"/>
          <w:sz w:val="22"/>
          <w:szCs w:val="22"/>
        </w:rPr>
        <w:t xml:space="preserve">, Catur Suratnoaji</w:t>
      </w:r>
      <w:r>
        <w:rPr>
          <w:rFonts w:ascii="Times New Roman" w:cs="Times New Roman" w:eastAsia="Times New Roman" w:hAnsi="Times New Roman"/>
          <w:sz w:val="14"/>
          <w:szCs w:val="14"/>
          <w:vertAlign w:val="superscript"/>
        </w:rPr>
        <w:t xml:space="preserve">2</w:t>
      </w:r>
      <w:r>
        <w:rPr>
          <w:rFonts w:ascii="Times New Roman" w:cs="Times New Roman" w:eastAsia="Times New Roman" w:hAnsi="Times New Roman"/>
          <w:sz w:val="22"/>
          <w:szCs w:val="22"/>
        </w:rPr>
        <w:t xml:space="preserve">, Agus Widiyarta</w:t>
      </w:r>
      <w:r>
        <w:rPr>
          <w:rFonts w:ascii="Times New Roman" w:cs="Times New Roman" w:eastAsia="Times New Roman" w:hAnsi="Times New Roman"/>
          <w:sz w:val="14"/>
          <w:szCs w:val="14"/>
          <w:vertAlign w:val="superscript"/>
        </w:rPr>
        <w:t xml:space="preserve">3</w:t>
      </w:r>
    </w:p>
    <w:p>
      <w:pPr>
        <w:spacing w:after="0"/>
        <w:jc w:val="center"/>
      </w:pPr>
      <w:r>
        <w:rPr>
          <w:rFonts w:ascii="Times New Roman" w:cs="Times New Roman" w:eastAsia="Times New Roman" w:hAnsi="Times New Roman"/>
          <w:i/>
          <w:iCs/>
          <w:sz w:val="20"/>
          <w:szCs w:val="20"/>
        </w:rPr>
        <w:t xml:space="preserve">1,2,3Master of Communication Science, Faculty of Social, Cultural and Political Sciences</w:t>
      </w:r>
    </w:p>
    <w:p>
      <w:pPr>
        <w:spacing w:after="0"/>
        <w:jc w:val="center"/>
      </w:pPr>
      <w:r>
        <w:rPr>
          <w:rFonts w:ascii="Times New Roman" w:cs="Times New Roman" w:eastAsia="Times New Roman" w:hAnsi="Times New Roman"/>
          <w:i/>
          <w:iCs/>
          <w:sz w:val="20"/>
          <w:szCs w:val="20"/>
        </w:rPr>
        <w:t xml:space="preserve">Universitas Pembangunan Nasional “Veteran” Jawa Timur, Surabaya, Indonesia</w:t>
      </w:r>
    </w:p>
    <w:p>
      <w:pPr>
        <w:spacing w:after="200"/>
        <w:jc w:val="center"/>
      </w:pPr>
      <w:r>
        <w:rPr>
          <w:rFonts w:ascii="Times New Roman" w:cs="Times New Roman" w:eastAsia="Times New Roman" w:hAnsi="Times New Roman"/>
          <w:sz w:val="20"/>
          <w:szCs w:val="20"/>
        </w:rPr>
        <w:t xml:space="preserve">25067020011@student.upnjatim.ac.id</w:t>
      </w: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The Free Nutritious Meals Program (Program Makan Bergizi Gratis—MBG) is one of the Indonesian government's strategic policies, designed as a nationwide social-health intervention to support human resource development toward the Golden Indonesia 2045 vision. The program has substantial fiscal consequences: during the initial implementation stage in 2025, the government allocated IDR 71 trillion from the State Budget, while the indicative budget ceiling for 2026 was adjusted from IDR 335 trillion to IDR 268 trillion. Amid the large scale of the program, a number of governance and operational issues—including the temporary suspension of thousands of SPPG units, alleged fictitious procurement, and controversy surrounding imported food containers—generated waves of criticism and digital sarcasm on platform X that potentially erode public trust. This study employed a mixed-methods approach combining NetworkX- and Louvain Algorithm-based Communication Network Analysis with IndoBERT-based emotion classification and sarcasm detection to map communication network structures, dominant actors, and the affective patterns of netizens in discourse surrounding the MBG Program during the March–May 2026 period. The official research corpus consisted of 973 actors (nodes) connected through 658 mention relationships (edges), forming 332 network components. Results showed a modularity value of 0.9837—far exceeding the 0.3 threshold—indicating a very high level of network fragmentation; the largest network component accounted for only around 9% of all actors. The @grok and @prabowo accounts were identified as the actors with the highest centrality in the network. Evaluation of the IndoBERT model for emotion classification and sarcasm detection on the testing set revealed defects in the labeling of the test data, and this limitation is openly acknowledged.</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Free Nutritious Meals Program; communication network analysis; digital sarcasm; IndoBERT; Marketing 6.0; phygital gap; social media X.</w:t>
      </w:r>
    </w:p>
    <w:p>
      <w:pPr>
        <w:spacing w:after="200"/>
        <w:jc w:val="both"/>
      </w:pPr>
      <w:r>
        <w:rPr>
          <w:rFonts w:ascii="Times New Roman" w:cs="Times New Roman" w:eastAsia="Times New Roman" w:hAnsi="Times New Roman"/>
          <w:i/>
          <w:iCs/>
          <w:sz w:val="18"/>
          <w:szCs w:val="18"/>
        </w:rPr>
        <w:t xml:space="preserve">This paper is an extended conference version of the authors' original journal publication [12]; preliminary findings were also featured in national media coverage [13], [14].</w:t>
      </w:r>
    </w:p>
    <w:p>
      <w:pPr>
        <w:sectPr>
          <w:pgSz w:w="12240" w:h="15840" w:orient="portrait"/>
          <w:pgMar w:top="1080" w:right="900" w:bottom="1440" w:left="900" w:header="708" w:footer="708" w:gutter="0"/>
          <w:pgNumType/>
          <w:docGrid w:linePitch="360"/>
        </w:sectPr>
      </w:pPr>
    </w:p>
    <w:p>
      <w:pPr>
        <w:spacing w:after="100" w:before="200"/>
      </w:pPr>
      <w:r>
        <w:rPr>
          <w:rFonts w:ascii="Times New Roman" w:cs="Times New Roman" w:eastAsia="Times New Roman" w:hAnsi="Times New Roman"/>
          <w:b/>
          <w:bCs/>
          <w:sz w:val="18"/>
          <w:szCs w:val="18"/>
        </w:rPr>
        <w:t xml:space="preserve">I. INTRODUCTION</w:t>
      </w:r>
    </w:p>
    <w:p>
      <w:pPr>
        <w:spacing w:after="120"/>
        <w:ind w:firstLine="288"/>
        <w:jc w:val="both"/>
      </w:pPr>
      <w:r>
        <w:rPr>
          <w:rFonts w:ascii="Times New Roman" w:cs="Times New Roman" w:eastAsia="Times New Roman" w:hAnsi="Times New Roman"/>
          <w:sz w:val="18"/>
          <w:szCs w:val="18"/>
        </w:rPr>
        <w:t xml:space="preserve">The Free Nutritious Meals Program (MBG) has never been positioned merely as seasonal food assistance. The government has placed it as one of the pillars of human resource development toward the Golden Indonesia 2045 vision, with the concrete target of reducing the national stunting prevalence, which in 2022 still stood at around 21.6 percent. The scale of this ambition is reflected in the budget allocated for the initial implementation stage in 2025, amounting to IDR 71 trillion from the State Revenue and Expenditure Budget (APBN). Entering 2026, the indicative budget ceiling for MBG, initially set at IDR 335 trillion, was revised to IDR 268 trillion. This technocratic explanation was not entirely able to penetrate public perception, which had already interpreted the change in figures as a form of program cutback.</w:t>
      </w:r>
    </w:p>
    <w:p>
      <w:pPr>
        <w:spacing w:after="120"/>
        <w:ind w:firstLine="288"/>
        <w:jc w:val="both"/>
      </w:pPr>
      <w:r>
        <w:rPr>
          <w:rFonts w:ascii="Times New Roman" w:cs="Times New Roman" w:eastAsia="Times New Roman" w:hAnsi="Times New Roman"/>
          <w:sz w:val="18"/>
          <w:szCs w:val="18"/>
        </w:rPr>
        <w:t xml:space="preserve">This problem intensified when the narrative of administrative achievement collided with a range of operational issues. The National Nutrition Agency recorded that 4,581 SPPG units were temporarily suspended from the start of 2025 to undergo quality improvement, while 1,152 other units remained suspended through May 2026. Allegations of fictitious SPPG procurement, controversy surrounding imported food containers, and cases of food poisoning affecting students presented two conflicting faces of the program.</w:t>
      </w:r>
    </w:p>
    <w:p>
      <w:pPr>
        <w:spacing w:after="120"/>
        <w:ind w:firstLine="288"/>
        <w:jc w:val="both"/>
      </w:pPr>
      <w:r>
        <w:rPr>
          <w:rFonts w:ascii="Times New Roman" w:cs="Times New Roman" w:eastAsia="Times New Roman" w:hAnsi="Times New Roman"/>
          <w:sz w:val="18"/>
          <w:szCs w:val="18"/>
        </w:rPr>
        <w:t xml:space="preserve">Platform X has become one of the digital spaces accommodating debate over this policy. Netizens' criticism is not always conveyed through straightforward language, but also through irony, sarcasm, and a combination of text and emoji—a form of semantic incongruity that is one of the hallmarks of digital sarcasm [1]. This phenomenon aligns with the Networked Crisis Communication framework [2], which argues that crises in the social-media era spread through networks rather than moving linearly from centers of power toward the public.</w:t>
      </w:r>
    </w:p>
    <w:p>
      <w:pPr>
        <w:spacing w:after="120"/>
        <w:ind w:firstLine="288"/>
        <w:jc w:val="both"/>
      </w:pPr>
      <w:r>
        <w:rPr>
          <w:rFonts w:ascii="Times New Roman" w:cs="Times New Roman" w:eastAsia="Times New Roman" w:hAnsi="Times New Roman"/>
          <w:sz w:val="18"/>
          <w:szCs w:val="18"/>
        </w:rPr>
        <w:t xml:space="preserve">This linguistic complexity presents a weakness for conventional sentiment analysis, which only divides messages into positive, negative, and neutral. IndoBERT is relevant here because of its ability to understand sentence context bidirectionally and to enable more granular emotion classification. Prior studies show that both natural-language-processing and network-analysis approaches still have room for integration [3]–[6]. The Marketing 6.0 framework provides a theoretical dimension for reading this issue through the concept of the phygital gap—the gap between the digital experience that is promised and the physical experience actually received [7].</w:t>
      </w:r>
    </w:p>
    <w:p>
      <w:pPr>
        <w:spacing w:after="120"/>
        <w:ind w:firstLine="288"/>
        <w:jc w:val="both"/>
      </w:pPr>
      <w:r>
        <w:rPr>
          <w:rFonts w:ascii="Times New Roman" w:cs="Times New Roman" w:eastAsia="Times New Roman" w:hAnsi="Times New Roman"/>
          <w:sz w:val="18"/>
          <w:szCs w:val="18"/>
        </w:rPr>
        <w:t xml:space="preserve">This study is positioned to fill three gaps: the lack of integration between text-emoji incongruity-based sarcasm detection and network structure mapping; the still-limited application of Marketing 6.0 and the phygital gap in public-policy communication; and the absence of an integrated reading connecting budget, logistics, and nutritional-quality issues with network polarization within MBG discourse during the March–May 2026 period.</w:t>
      </w:r>
    </w:p>
    <w:p>
      <w:pPr>
        <w:spacing w:after="120"/>
        <w:ind w:firstLine="288"/>
        <w:jc w:val="both"/>
      </w:pPr>
      <w:r>
        <w:rPr>
          <w:rFonts w:ascii="Times New Roman" w:cs="Times New Roman" w:eastAsia="Times New Roman" w:hAnsi="Times New Roman"/>
          <w:sz w:val="18"/>
          <w:szCs w:val="18"/>
        </w:rPr>
        <w:t xml:space="preserve">This study also builds on the authors' broader research interest in applying AI and NLP techniques to real-world Indonesian digital platforms, as reflected in related work on AI-driven semantic job matching and career support [11].</w:t>
      </w:r>
    </w:p>
    <w:p>
      <w:pPr>
        <w:spacing w:after="100" w:before="200"/>
      </w:pPr>
      <w:r>
        <w:rPr>
          <w:rFonts w:ascii="Times New Roman" w:cs="Times New Roman" w:eastAsia="Times New Roman" w:hAnsi="Times New Roman"/>
          <w:b/>
          <w:bCs/>
          <w:sz w:val="18"/>
          <w:szCs w:val="18"/>
        </w:rPr>
        <w:t xml:space="preserve">II. METHOD</w:t>
      </w:r>
    </w:p>
    <w:p>
      <w:pPr>
        <w:spacing w:after="120"/>
        <w:ind w:firstLine="288"/>
        <w:jc w:val="both"/>
      </w:pPr>
      <w:r>
        <w:rPr>
          <w:rFonts w:ascii="Times New Roman" w:cs="Times New Roman" w:eastAsia="Times New Roman" w:hAnsi="Times New Roman"/>
          <w:sz w:val="18"/>
          <w:szCs w:val="18"/>
        </w:rPr>
        <w:t xml:space="preserve">This study employs a mixed-methods approach with an explanatory sequential design, in which quantitative-computational data are analyzed first and subsequently interpreted qualitatively within the conceptual framework of Marketing 6.0. Research variables include granular emotion across nine output classes from IndoBERT-base-p2, sarcasm or text-emoji incongruity, actor centrality via degree, betweenness, and eigenvector centrality, network polarization via modularity value with a reference threshold of 0.3 [8], and aspect-based sentiment across budget, logistics, and nutritional-quality aspects.</w:t>
      </w:r>
    </w:p>
    <w:p>
      <w:pPr>
        <w:spacing w:after="120"/>
        <w:ind w:firstLine="288"/>
        <w:jc w:val="both"/>
      </w:pPr>
      <w:r>
        <w:rPr>
          <w:rFonts w:ascii="Times New Roman" w:cs="Times New Roman" w:eastAsia="Times New Roman" w:hAnsi="Times New Roman"/>
          <w:sz w:val="18"/>
          <w:szCs w:val="18"/>
        </w:rPr>
        <w:t xml:space="preserve">The study population comprises all Indonesian-language tweets, replies, and retweets discussing the MBG Program on platform X during March–May 2026. The official research corpus, after cleaning and excluding bot/spam accounts, consists of 973 actors (nodes) connected through 658 mention relations (edges), forming 332 network components, as well as 3,395 post-preprocessed tweets divided into a training set of 2,334 rows (69.99%), a validation set of 500 rows (14.99%), and a testing set of 501 rows (15.02%), using random_state = 42.</w:t>
      </w:r>
    </w:p>
    <w:p>
      <w:pPr>
        <w:spacing w:after="120"/>
        <w:ind w:firstLine="288"/>
        <w:jc w:val="both"/>
      </w:pPr>
      <w:r>
        <w:rPr>
          <w:rFonts w:ascii="Times New Roman" w:cs="Times New Roman" w:eastAsia="Times New Roman" w:hAnsi="Times New Roman"/>
          <w:sz w:val="18"/>
          <w:szCs w:val="18"/>
        </w:rPr>
        <w:t xml:space="preserve">The data-analysis technique consists of three mutually reinforcing layers. The textual-linguistic layer uses IndoBERT-base-p2 fine-tuned for multi-task classification comprising nine emotion classes and binary sarcasm detection [9]. The structural-relational layer constructs a directed graph using NetworkX, then analyzes degree, betweenness, and eigenvector centrality and detects communities using the Louvain Algorithm [10], cross-validated using NodeXL. The diagnostic layer applies Aspect-Based Sentiment Analysis to the aspects of budget, logistics, and nutritional quality, then synthesizes the results through the concepts of the phygital gap and immersive experience in Marketing 6.0 [7].</w:t>
      </w:r>
    </w:p>
    <w:p>
      <w:pPr>
        <w:spacing w:after="100" w:before="200"/>
      </w:pPr>
      <w:r>
        <w:rPr>
          <w:rFonts w:ascii="Times New Roman" w:cs="Times New Roman" w:eastAsia="Times New Roman" w:hAnsi="Times New Roman"/>
          <w:b/>
          <w:bCs/>
          <w:sz w:val="18"/>
          <w:szCs w:val="18"/>
        </w:rPr>
        <w:t xml:space="preserve">III. RESULTS AND DISCUSSION</w:t>
      </w:r>
    </w:p>
    <w:p>
      <w:pPr>
        <w:spacing w:after="80" w:before="120"/>
      </w:pPr>
      <w:r>
        <w:rPr>
          <w:rFonts w:ascii="Times New Roman" w:cs="Times New Roman" w:eastAsia="Times New Roman" w:hAnsi="Times New Roman"/>
          <w:b/>
          <w:bCs/>
          <w:i/>
          <w:iCs/>
          <w:sz w:val="18"/>
          <w:szCs w:val="18"/>
        </w:rPr>
        <w:t xml:space="preserve">A. General Description and Network Topology</w:t>
      </w:r>
    </w:p>
    <w:p>
      <w:pPr>
        <w:spacing w:after="120"/>
        <w:ind w:firstLine="288"/>
        <w:jc w:val="both"/>
      </w:pPr>
      <w:r>
        <w:rPr>
          <w:rFonts w:ascii="Times New Roman" w:cs="Times New Roman" w:eastAsia="Times New Roman" w:hAnsi="Times New Roman"/>
          <w:sz w:val="18"/>
          <w:szCs w:val="18"/>
        </w:rPr>
        <w:t xml:space="preserve">After the data-cleansing stage and exclusion of bot/spam accounts, the official research corpus consists of 973 nodes connected through 658 edges, forming 332 separate network components. The modularity value of 0.9837 far exceeds the 0.3 threshold [8], indicating a very high level of network fragmentation. Recomputation using NetworkX yielded a density value of 0.0007, an average degree of 1.36, and a reciprocity of 0.0121—consistent with a one-directional, broadcast-style pattern of interaction rather than dialogic conversation.</w:t>
      </w:r>
    </w:p>
    <w:p>
      <w:pPr>
        <w:spacing w:after="80" w:before="120"/>
        <w:jc w:val="center"/>
      </w:pPr>
      <w:r>
        <w:rPr>
          <w:rFonts w:ascii="Times New Roman" w:cs="Times New Roman" w:eastAsia="Times New Roman" w:hAnsi="Times New Roman"/>
          <w:b w:val="false"/>
          <w:bCs w:val="false"/>
          <w:sz w:val="16"/>
          <w:szCs w:val="16"/>
        </w:rPr>
        <w:t xml:space="preserve">TABLE I. COMMUNICATION NETWORK METADATA (OFFICIAL CORPUS, MARCH–MAY 2026)</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tblGrid>
      <w:tr>
        <w:tc>
          <w:tcPr>
            <w:tcW w:type="dxa" w:w="2600"/>
            <w:shd w:fill="D9D9D9" w:val="clear"/>
          </w:tcPr>
          <w:p>
            <w:pPr>
              <w:jc w:val="center"/>
            </w:pPr>
            <w:r>
              <w:rPr>
                <w:rFonts w:ascii="Times New Roman" w:cs="Times New Roman" w:eastAsia="Times New Roman" w:hAnsi="Times New Roman"/>
                <w:b/>
                <w:bCs/>
                <w:sz w:val="15"/>
                <w:szCs w:val="15"/>
              </w:rPr>
              <w:t xml:space="preserve">Parameter</w:t>
            </w:r>
          </w:p>
        </w:tc>
        <w:tc>
          <w:tcPr>
            <w:tcW w:type="dxa" w:w="1700"/>
            <w:shd w:fill="D9D9D9" w:val="clear"/>
          </w:tcPr>
          <w:p>
            <w:pPr>
              <w:jc w:val="center"/>
            </w:pPr>
            <w:r>
              <w:rPr>
                <w:rFonts w:ascii="Times New Roman" w:cs="Times New Roman" w:eastAsia="Times New Roman" w:hAnsi="Times New Roman"/>
                <w:b/>
                <w:bCs/>
                <w:sz w:val="15"/>
                <w:szCs w:val="15"/>
              </w:rPr>
              <w:t xml:space="preserve">Value</w:t>
            </w:r>
          </w:p>
        </w:tc>
      </w:tr>
      <w:tr>
        <w:tc>
          <w:tcPr>
            <w:tcW w:type="dxa" w:w="2600"/>
          </w:tcPr>
          <w:p>
            <w:pPr>
              <w:jc w:val="center"/>
            </w:pPr>
            <w:r>
              <w:rPr>
                <w:rFonts w:ascii="Times New Roman" w:cs="Times New Roman" w:eastAsia="Times New Roman" w:hAnsi="Times New Roman"/>
                <w:sz w:val="15"/>
                <w:szCs w:val="15"/>
              </w:rPr>
              <w:t xml:space="preserve">Actors (Nodes)</w:t>
            </w:r>
          </w:p>
        </w:tc>
        <w:tc>
          <w:tcPr>
            <w:tcW w:type="dxa" w:w="1700"/>
          </w:tcPr>
          <w:p>
            <w:pPr>
              <w:jc w:val="center"/>
            </w:pPr>
            <w:r>
              <w:rPr>
                <w:rFonts w:ascii="Times New Roman" w:cs="Times New Roman" w:eastAsia="Times New Roman" w:hAnsi="Times New Roman"/>
                <w:sz w:val="15"/>
                <w:szCs w:val="15"/>
              </w:rPr>
              <w:t xml:space="preserve">973</w:t>
            </w:r>
          </w:p>
        </w:tc>
      </w:tr>
      <w:tr>
        <w:tc>
          <w:tcPr>
            <w:tcW w:type="dxa" w:w="2600"/>
          </w:tcPr>
          <w:p>
            <w:pPr>
              <w:jc w:val="center"/>
            </w:pPr>
            <w:r>
              <w:rPr>
                <w:rFonts w:ascii="Times New Roman" w:cs="Times New Roman" w:eastAsia="Times New Roman" w:hAnsi="Times New Roman"/>
                <w:sz w:val="15"/>
                <w:szCs w:val="15"/>
              </w:rPr>
              <w:t xml:space="preserve">Interactions (Edges)</w:t>
            </w:r>
          </w:p>
        </w:tc>
        <w:tc>
          <w:tcPr>
            <w:tcW w:type="dxa" w:w="1700"/>
          </w:tcPr>
          <w:p>
            <w:pPr>
              <w:jc w:val="center"/>
            </w:pPr>
            <w:r>
              <w:rPr>
                <w:rFonts w:ascii="Times New Roman" w:cs="Times New Roman" w:eastAsia="Times New Roman" w:hAnsi="Times New Roman"/>
                <w:sz w:val="15"/>
                <w:szCs w:val="15"/>
              </w:rPr>
              <w:t xml:space="preserve">658</w:t>
            </w:r>
          </w:p>
        </w:tc>
      </w:tr>
      <w:tr>
        <w:tc>
          <w:tcPr>
            <w:tcW w:type="dxa" w:w="2600"/>
          </w:tcPr>
          <w:p>
            <w:pPr>
              <w:jc w:val="center"/>
            </w:pPr>
            <w:r>
              <w:rPr>
                <w:rFonts w:ascii="Times New Roman" w:cs="Times New Roman" w:eastAsia="Times New Roman" w:hAnsi="Times New Roman"/>
                <w:sz w:val="15"/>
                <w:szCs w:val="15"/>
              </w:rPr>
              <w:t xml:space="preserve">Network Components</w:t>
            </w:r>
          </w:p>
        </w:tc>
        <w:tc>
          <w:tcPr>
            <w:tcW w:type="dxa" w:w="1700"/>
          </w:tcPr>
          <w:p>
            <w:pPr>
              <w:jc w:val="center"/>
            </w:pPr>
            <w:r>
              <w:rPr>
                <w:rFonts w:ascii="Times New Roman" w:cs="Times New Roman" w:eastAsia="Times New Roman" w:hAnsi="Times New Roman"/>
                <w:sz w:val="15"/>
                <w:szCs w:val="15"/>
              </w:rPr>
              <w:t xml:space="preserve">332</w:t>
            </w:r>
          </w:p>
        </w:tc>
      </w:tr>
      <w:tr>
        <w:tc>
          <w:tcPr>
            <w:tcW w:type="dxa" w:w="2600"/>
          </w:tcPr>
          <w:p>
            <w:pPr>
              <w:jc w:val="center"/>
            </w:pPr>
            <w:r>
              <w:rPr>
                <w:rFonts w:ascii="Times New Roman" w:cs="Times New Roman" w:eastAsia="Times New Roman" w:hAnsi="Times New Roman"/>
                <w:sz w:val="15"/>
                <w:szCs w:val="15"/>
              </w:rPr>
              <w:t xml:space="preserve">Modularity (Louvain)</w:t>
            </w:r>
          </w:p>
        </w:tc>
        <w:tc>
          <w:tcPr>
            <w:tcW w:type="dxa" w:w="1700"/>
          </w:tcPr>
          <w:p>
            <w:pPr>
              <w:jc w:val="center"/>
            </w:pPr>
            <w:r>
              <w:rPr>
                <w:rFonts w:ascii="Times New Roman" w:cs="Times New Roman" w:eastAsia="Times New Roman" w:hAnsi="Times New Roman"/>
                <w:sz w:val="15"/>
                <w:szCs w:val="15"/>
              </w:rPr>
              <w:t xml:space="preserve">0.9837</w:t>
            </w:r>
          </w:p>
        </w:tc>
      </w:tr>
      <w:tr>
        <w:tc>
          <w:tcPr>
            <w:tcW w:type="dxa" w:w="2600"/>
          </w:tcPr>
          <w:p>
            <w:pPr>
              <w:jc w:val="center"/>
            </w:pPr>
            <w:r>
              <w:rPr>
                <w:rFonts w:ascii="Times New Roman" w:cs="Times New Roman" w:eastAsia="Times New Roman" w:hAnsi="Times New Roman"/>
                <w:sz w:val="15"/>
                <w:szCs w:val="15"/>
              </w:rPr>
              <w:t xml:space="preserve">Density</w:t>
            </w:r>
          </w:p>
        </w:tc>
        <w:tc>
          <w:tcPr>
            <w:tcW w:type="dxa" w:w="1700"/>
          </w:tcPr>
          <w:p>
            <w:pPr>
              <w:jc w:val="center"/>
            </w:pPr>
            <w:r>
              <w:rPr>
                <w:rFonts w:ascii="Times New Roman" w:cs="Times New Roman" w:eastAsia="Times New Roman" w:hAnsi="Times New Roman"/>
                <w:sz w:val="15"/>
                <w:szCs w:val="15"/>
              </w:rPr>
              <w:t xml:space="preserve">0.0007</w:t>
            </w:r>
          </w:p>
        </w:tc>
      </w:tr>
      <w:tr>
        <w:tc>
          <w:tcPr>
            <w:tcW w:type="dxa" w:w="2600"/>
          </w:tcPr>
          <w:p>
            <w:pPr>
              <w:jc w:val="center"/>
            </w:pPr>
            <w:r>
              <w:rPr>
                <w:rFonts w:ascii="Times New Roman" w:cs="Times New Roman" w:eastAsia="Times New Roman" w:hAnsi="Times New Roman"/>
                <w:sz w:val="15"/>
                <w:szCs w:val="15"/>
              </w:rPr>
              <w:t xml:space="preserve">Average Degree</w:t>
            </w:r>
          </w:p>
        </w:tc>
        <w:tc>
          <w:tcPr>
            <w:tcW w:type="dxa" w:w="1700"/>
          </w:tcPr>
          <w:p>
            <w:pPr>
              <w:jc w:val="center"/>
            </w:pPr>
            <w:r>
              <w:rPr>
                <w:rFonts w:ascii="Times New Roman" w:cs="Times New Roman" w:eastAsia="Times New Roman" w:hAnsi="Times New Roman"/>
                <w:sz w:val="15"/>
                <w:szCs w:val="15"/>
              </w:rPr>
              <w:t xml:space="preserve">1.36</w:t>
            </w:r>
          </w:p>
        </w:tc>
      </w:tr>
    </w:tbl>
    <w:p>
      <w:pPr>
        <w:spacing w:after="80" w:before="120"/>
        <w:jc w:val="center"/>
      </w:pPr>
      <w:r>
        <w:rPr>
          <w:rFonts w:ascii="Times New Roman" w:cs="Times New Roman" w:eastAsia="Times New Roman" w:hAnsi="Times New Roman"/>
          <w:b w:val="false"/>
          <w:bCs w:val="false"/>
          <w:sz w:val="16"/>
          <w:szCs w:val="16"/>
        </w:rPr>
        <w:t xml:space="preserve">TABLE II. SIZE OF THE TEN LARGEST NETWORK COMPONENTS</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tblGrid>
      <w:tr>
        <w:tc>
          <w:tcPr>
            <w:tcW w:type="dxa" w:w="2200"/>
            <w:shd w:fill="D9D9D9" w:val="clear"/>
          </w:tcPr>
          <w:p>
            <w:pPr>
              <w:jc w:val="center"/>
            </w:pPr>
            <w:r>
              <w:rPr>
                <w:rFonts w:ascii="Times New Roman" w:cs="Times New Roman" w:eastAsia="Times New Roman" w:hAnsi="Times New Roman"/>
                <w:b/>
                <w:bCs/>
                <w:sz w:val="15"/>
                <w:szCs w:val="15"/>
              </w:rPr>
              <w:t xml:space="preserve">Rank</w:t>
            </w:r>
          </w:p>
        </w:tc>
        <w:tc>
          <w:tcPr>
            <w:tcW w:type="dxa" w:w="2100"/>
            <w:shd w:fill="D9D9D9" w:val="clear"/>
          </w:tcPr>
          <w:p>
            <w:pPr>
              <w:jc w:val="center"/>
            </w:pPr>
            <w:r>
              <w:rPr>
                <w:rFonts w:ascii="Times New Roman" w:cs="Times New Roman" w:eastAsia="Times New Roman" w:hAnsi="Times New Roman"/>
                <w:b/>
                <w:bCs/>
                <w:sz w:val="15"/>
                <w:szCs w:val="15"/>
              </w:rPr>
              <w:t xml:space="preserve">Members (Nodes)</w:t>
            </w:r>
          </w:p>
        </w:tc>
      </w:tr>
      <w:tr>
        <w:tc>
          <w:tcPr>
            <w:tcW w:type="dxa" w:w="2200"/>
          </w:tcPr>
          <w:p>
            <w:pPr>
              <w:jc w:val="center"/>
            </w:pPr>
            <w:r>
              <w:rPr>
                <w:rFonts w:ascii="Times New Roman" w:cs="Times New Roman" w:eastAsia="Times New Roman" w:hAnsi="Times New Roman"/>
                <w:sz w:val="15"/>
                <w:szCs w:val="15"/>
              </w:rPr>
              <w:t xml:space="preserve">1 (Giant)</w:t>
            </w:r>
          </w:p>
        </w:tc>
        <w:tc>
          <w:tcPr>
            <w:tcW w:type="dxa" w:w="2100"/>
          </w:tcPr>
          <w:p>
            <w:pPr>
              <w:jc w:val="center"/>
            </w:pPr>
            <w:r>
              <w:rPr>
                <w:rFonts w:ascii="Times New Roman" w:cs="Times New Roman" w:eastAsia="Times New Roman" w:hAnsi="Times New Roman"/>
                <w:sz w:val="15"/>
                <w:szCs w:val="15"/>
              </w:rPr>
              <w:t xml:space="preserve">88</w:t>
            </w:r>
          </w:p>
        </w:tc>
      </w:tr>
      <w:tr>
        <w:tc>
          <w:tcPr>
            <w:tcW w:type="dxa" w:w="2200"/>
          </w:tcPr>
          <w:p>
            <w:pPr>
              <w:jc w:val="center"/>
            </w:pPr>
            <w:r>
              <w:rPr>
                <w:rFonts w:ascii="Times New Roman" w:cs="Times New Roman" w:eastAsia="Times New Roman" w:hAnsi="Times New Roman"/>
                <w:sz w:val="15"/>
                <w:szCs w:val="15"/>
              </w:rPr>
              <w:t xml:space="preserve">2</w:t>
            </w:r>
          </w:p>
        </w:tc>
        <w:tc>
          <w:tcPr>
            <w:tcW w:type="dxa" w:w="2100"/>
          </w:tcPr>
          <w:p>
            <w:pPr>
              <w:jc w:val="center"/>
            </w:pPr>
            <w:r>
              <w:rPr>
                <w:rFonts w:ascii="Times New Roman" w:cs="Times New Roman" w:eastAsia="Times New Roman" w:hAnsi="Times New Roman"/>
                <w:sz w:val="15"/>
                <w:szCs w:val="15"/>
              </w:rPr>
              <w:t xml:space="preserve">18</w:t>
            </w:r>
          </w:p>
        </w:tc>
      </w:tr>
      <w:tr>
        <w:tc>
          <w:tcPr>
            <w:tcW w:type="dxa" w:w="2200"/>
          </w:tcPr>
          <w:p>
            <w:pPr>
              <w:jc w:val="center"/>
            </w:pPr>
            <w:r>
              <w:rPr>
                <w:rFonts w:ascii="Times New Roman" w:cs="Times New Roman" w:eastAsia="Times New Roman" w:hAnsi="Times New Roman"/>
                <w:sz w:val="15"/>
                <w:szCs w:val="15"/>
              </w:rPr>
              <w:t xml:space="preserve">3</w:t>
            </w:r>
          </w:p>
        </w:tc>
        <w:tc>
          <w:tcPr>
            <w:tcW w:type="dxa" w:w="2100"/>
          </w:tcPr>
          <w:p>
            <w:pPr>
              <w:jc w:val="center"/>
            </w:pPr>
            <w:r>
              <w:rPr>
                <w:rFonts w:ascii="Times New Roman" w:cs="Times New Roman" w:eastAsia="Times New Roman" w:hAnsi="Times New Roman"/>
                <w:sz w:val="15"/>
                <w:szCs w:val="15"/>
              </w:rPr>
              <w:t xml:space="preserve">14</w:t>
            </w:r>
          </w:p>
        </w:tc>
      </w:tr>
      <w:tr>
        <w:tc>
          <w:tcPr>
            <w:tcW w:type="dxa" w:w="2200"/>
          </w:tcPr>
          <w:p>
            <w:pPr>
              <w:jc w:val="center"/>
            </w:pPr>
            <w:r>
              <w:rPr>
                <w:rFonts w:ascii="Times New Roman" w:cs="Times New Roman" w:eastAsia="Times New Roman" w:hAnsi="Times New Roman"/>
                <w:sz w:val="15"/>
                <w:szCs w:val="15"/>
              </w:rPr>
              <w:t xml:space="preserve">4</w:t>
            </w:r>
          </w:p>
        </w:tc>
        <w:tc>
          <w:tcPr>
            <w:tcW w:type="dxa" w:w="2100"/>
          </w:tcPr>
          <w:p>
            <w:pPr>
              <w:jc w:val="center"/>
            </w:pPr>
            <w:r>
              <w:rPr>
                <w:rFonts w:ascii="Times New Roman" w:cs="Times New Roman" w:eastAsia="Times New Roman" w:hAnsi="Times New Roman"/>
                <w:sz w:val="15"/>
                <w:szCs w:val="15"/>
              </w:rPr>
              <w:t xml:space="preserve">13</w:t>
            </w:r>
          </w:p>
        </w:tc>
      </w:tr>
      <w:tr>
        <w:tc>
          <w:tcPr>
            <w:tcW w:type="dxa" w:w="2200"/>
          </w:tcPr>
          <w:p>
            <w:pPr>
              <w:jc w:val="center"/>
            </w:pPr>
            <w:r>
              <w:rPr>
                <w:rFonts w:ascii="Times New Roman" w:cs="Times New Roman" w:eastAsia="Times New Roman" w:hAnsi="Times New Roman"/>
                <w:sz w:val="15"/>
                <w:szCs w:val="15"/>
              </w:rPr>
              <w:t xml:space="preserve">5</w:t>
            </w:r>
          </w:p>
        </w:tc>
        <w:tc>
          <w:tcPr>
            <w:tcW w:type="dxa" w:w="2100"/>
          </w:tcPr>
          <w:p>
            <w:pPr>
              <w:jc w:val="center"/>
            </w:pPr>
            <w:r>
              <w:rPr>
                <w:rFonts w:ascii="Times New Roman" w:cs="Times New Roman" w:eastAsia="Times New Roman" w:hAnsi="Times New Roman"/>
                <w:sz w:val="15"/>
                <w:szCs w:val="15"/>
              </w:rPr>
              <w:t xml:space="preserve">10</w:t>
            </w:r>
          </w:p>
        </w:tc>
      </w:tr>
      <w:tr>
        <w:tc>
          <w:tcPr>
            <w:tcW w:type="dxa" w:w="2200"/>
          </w:tcPr>
          <w:p>
            <w:pPr>
              <w:jc w:val="center"/>
            </w:pPr>
            <w:r>
              <w:rPr>
                <w:rFonts w:ascii="Times New Roman" w:cs="Times New Roman" w:eastAsia="Times New Roman" w:hAnsi="Times New Roman"/>
                <w:sz w:val="15"/>
                <w:szCs w:val="15"/>
              </w:rPr>
              <w:t xml:space="preserve">6</w:t>
            </w:r>
          </w:p>
        </w:tc>
        <w:tc>
          <w:tcPr>
            <w:tcW w:type="dxa" w:w="2100"/>
          </w:tcPr>
          <w:p>
            <w:pPr>
              <w:jc w:val="center"/>
            </w:pPr>
            <w:r>
              <w:rPr>
                <w:rFonts w:ascii="Times New Roman" w:cs="Times New Roman" w:eastAsia="Times New Roman" w:hAnsi="Times New Roman"/>
                <w:sz w:val="15"/>
                <w:szCs w:val="15"/>
              </w:rPr>
              <w:t xml:space="preserve">9</w:t>
            </w:r>
          </w:p>
        </w:tc>
      </w:tr>
      <w:tr>
        <w:tc>
          <w:tcPr>
            <w:tcW w:type="dxa" w:w="2200"/>
          </w:tcPr>
          <w:p>
            <w:pPr>
              <w:jc w:val="center"/>
            </w:pPr>
            <w:r>
              <w:rPr>
                <w:rFonts w:ascii="Times New Roman" w:cs="Times New Roman" w:eastAsia="Times New Roman" w:hAnsi="Times New Roman"/>
                <w:sz w:val="15"/>
                <w:szCs w:val="15"/>
              </w:rPr>
              <w:t xml:space="preserve">7</w:t>
            </w:r>
          </w:p>
        </w:tc>
        <w:tc>
          <w:tcPr>
            <w:tcW w:type="dxa" w:w="2100"/>
          </w:tcPr>
          <w:p>
            <w:pPr>
              <w:jc w:val="center"/>
            </w:pPr>
            <w:r>
              <w:rPr>
                <w:rFonts w:ascii="Times New Roman" w:cs="Times New Roman" w:eastAsia="Times New Roman" w:hAnsi="Times New Roman"/>
                <w:sz w:val="15"/>
                <w:szCs w:val="15"/>
              </w:rPr>
              <w:t xml:space="preserve">8</w:t>
            </w:r>
          </w:p>
        </w:tc>
      </w:tr>
      <w:tr>
        <w:tc>
          <w:tcPr>
            <w:tcW w:type="dxa" w:w="2200"/>
          </w:tcPr>
          <w:p>
            <w:pPr>
              <w:jc w:val="center"/>
            </w:pPr>
            <w:r>
              <w:rPr>
                <w:rFonts w:ascii="Times New Roman" w:cs="Times New Roman" w:eastAsia="Times New Roman" w:hAnsi="Times New Roman"/>
                <w:sz w:val="15"/>
                <w:szCs w:val="15"/>
              </w:rPr>
              <w:t xml:space="preserve">8</w:t>
            </w:r>
          </w:p>
        </w:tc>
        <w:tc>
          <w:tcPr>
            <w:tcW w:type="dxa" w:w="2100"/>
          </w:tcPr>
          <w:p>
            <w:pPr>
              <w:jc w:val="center"/>
            </w:pPr>
            <w:r>
              <w:rPr>
                <w:rFonts w:ascii="Times New Roman" w:cs="Times New Roman" w:eastAsia="Times New Roman" w:hAnsi="Times New Roman"/>
                <w:sz w:val="15"/>
                <w:szCs w:val="15"/>
              </w:rPr>
              <w:t xml:space="preserve">8</w:t>
            </w:r>
          </w:p>
        </w:tc>
      </w:tr>
      <w:tr>
        <w:tc>
          <w:tcPr>
            <w:tcW w:type="dxa" w:w="2200"/>
          </w:tcPr>
          <w:p>
            <w:pPr>
              <w:jc w:val="center"/>
            </w:pPr>
            <w:r>
              <w:rPr>
                <w:rFonts w:ascii="Times New Roman" w:cs="Times New Roman" w:eastAsia="Times New Roman" w:hAnsi="Times New Roman"/>
                <w:sz w:val="15"/>
                <w:szCs w:val="15"/>
              </w:rPr>
              <w:t xml:space="preserve">9</w:t>
            </w:r>
          </w:p>
        </w:tc>
        <w:tc>
          <w:tcPr>
            <w:tcW w:type="dxa" w:w="2100"/>
          </w:tcPr>
          <w:p>
            <w:pPr>
              <w:jc w:val="center"/>
            </w:pPr>
            <w:r>
              <w:rPr>
                <w:rFonts w:ascii="Times New Roman" w:cs="Times New Roman" w:eastAsia="Times New Roman" w:hAnsi="Times New Roman"/>
                <w:sz w:val="15"/>
                <w:szCs w:val="15"/>
              </w:rPr>
              <w:t xml:space="preserve">7</w:t>
            </w:r>
          </w:p>
        </w:tc>
      </w:tr>
      <w:tr>
        <w:tc>
          <w:tcPr>
            <w:tcW w:type="dxa" w:w="2200"/>
          </w:tcPr>
          <w:p>
            <w:pPr>
              <w:jc w:val="center"/>
            </w:pPr>
            <w:r>
              <w:rPr>
                <w:rFonts w:ascii="Times New Roman" w:cs="Times New Roman" w:eastAsia="Times New Roman" w:hAnsi="Times New Roman"/>
                <w:sz w:val="15"/>
                <w:szCs w:val="15"/>
              </w:rPr>
              <w:t xml:space="preserve">10</w:t>
            </w:r>
          </w:p>
        </w:tc>
        <w:tc>
          <w:tcPr>
            <w:tcW w:type="dxa" w:w="2100"/>
          </w:tcPr>
          <w:p>
            <w:pPr>
              <w:jc w:val="center"/>
            </w:pPr>
            <w:r>
              <w:rPr>
                <w:rFonts w:ascii="Times New Roman" w:cs="Times New Roman" w:eastAsia="Times New Roman" w:hAnsi="Times New Roman"/>
                <w:sz w:val="15"/>
                <w:szCs w:val="15"/>
              </w:rPr>
              <w:t xml:space="preserve">7</w:t>
            </w:r>
          </w:p>
        </w:tc>
      </w:tr>
    </w:tbl>
    <w:p>
      <w:pPr>
        <w:spacing w:after="120"/>
        <w:ind w:firstLine="288"/>
        <w:jc w:val="both"/>
      </w:pPr>
      <w:r>
        <w:rPr>
          <w:rFonts w:ascii="Times New Roman" w:cs="Times New Roman" w:eastAsia="Times New Roman" w:hAnsi="Times New Roman"/>
          <w:sz w:val="18"/>
          <w:szCs w:val="18"/>
        </w:rPr>
        <w:t xml:space="preserve">Of the 332 components identified, the giant component comprises only 88 actors (9.0% of the total), while 232 components (69.9%) consist of two actors or fewer. The Louvain Algorithm identified 333 communities, nearly matching the number of components, indicating that fragmentation at the component and community levels largely overlap.</w:t>
      </w:r>
    </w:p>
    <w:p>
      <w:pPr>
        <w:spacing w:after="80" w:before="120"/>
      </w:pPr>
      <w:r>
        <w:rPr>
          <w:rFonts w:ascii="Times New Roman" w:cs="Times New Roman" w:eastAsia="Times New Roman" w:hAnsi="Times New Roman"/>
          <w:b/>
          <w:bCs/>
          <w:i/>
          <w:iCs/>
          <w:sz w:val="18"/>
          <w:szCs w:val="18"/>
        </w:rPr>
        <w:t xml:space="preserve">B. Actor-Level Analysis</w:t>
      </w:r>
    </w:p>
    <w:p>
      <w:pPr>
        <w:spacing w:after="120"/>
        <w:ind w:firstLine="288"/>
        <w:jc w:val="both"/>
      </w:pPr>
      <w:r>
        <w:rPr>
          <w:rFonts w:ascii="Times New Roman" w:cs="Times New Roman" w:eastAsia="Times New Roman" w:hAnsi="Times New Roman"/>
          <w:sz w:val="18"/>
          <w:szCs w:val="18"/>
        </w:rPr>
        <w:t xml:space="preserve">Centrality analysis was conducted to identify dominant actors in the dissemination of narratives related to the MBG Program.</w:t>
      </w:r>
    </w:p>
    <w:p>
      <w:pPr>
        <w:spacing w:after="80" w:before="120"/>
        <w:jc w:val="center"/>
      </w:pPr>
      <w:r>
        <w:rPr>
          <w:rFonts w:ascii="Times New Roman" w:cs="Times New Roman" w:eastAsia="Times New Roman" w:hAnsi="Times New Roman"/>
          <w:b w:val="false"/>
          <w:bCs w:val="false"/>
          <w:sz w:val="16"/>
          <w:szCs w:val="16"/>
        </w:rPr>
        <w:t xml:space="preserve">TABLE III. TOP ACTORS BY DEGREE CENTRALITY</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tblGrid>
      <w:tr>
        <w:tc>
          <w:tcPr>
            <w:tcW w:type="dxa" w:w="1500"/>
            <w:shd w:fill="D9D9D9" w:val="clear"/>
          </w:tcPr>
          <w:p>
            <w:pPr>
              <w:jc w:val="center"/>
            </w:pPr>
            <w:r>
              <w:rPr>
                <w:rFonts w:ascii="Times New Roman" w:cs="Times New Roman" w:eastAsia="Times New Roman" w:hAnsi="Times New Roman"/>
                <w:b/>
                <w:bCs/>
                <w:sz w:val="15"/>
                <w:szCs w:val="15"/>
              </w:rPr>
              <w:t xml:space="preserve">Account</w:t>
            </w:r>
          </w:p>
        </w:tc>
        <w:tc>
          <w:tcPr>
            <w:tcW w:type="dxa" w:w="1100"/>
            <w:shd w:fill="D9D9D9" w:val="clear"/>
          </w:tcPr>
          <w:p>
            <w:pPr>
              <w:jc w:val="center"/>
            </w:pPr>
            <w:r>
              <w:rPr>
                <w:rFonts w:ascii="Times New Roman" w:cs="Times New Roman" w:eastAsia="Times New Roman" w:hAnsi="Times New Roman"/>
                <w:b/>
                <w:bCs/>
                <w:sz w:val="15"/>
                <w:szCs w:val="15"/>
              </w:rPr>
              <w:t xml:space="preserve">Degree</w:t>
            </w:r>
          </w:p>
        </w:tc>
        <w:tc>
          <w:tcPr>
            <w:tcW w:type="dxa" w:w="1100"/>
            <w:shd w:fill="D9D9D9" w:val="clear"/>
          </w:tcPr>
          <w:p>
            <w:pPr>
              <w:jc w:val="center"/>
            </w:pPr>
            <w:r>
              <w:rPr>
                <w:rFonts w:ascii="Times New Roman" w:cs="Times New Roman" w:eastAsia="Times New Roman" w:hAnsi="Times New Roman"/>
                <w:b/>
                <w:bCs/>
                <w:sz w:val="15"/>
                <w:szCs w:val="15"/>
              </w:rPr>
              <w:t xml:space="preserve">Betw.</w:t>
            </w:r>
          </w:p>
        </w:tc>
        <w:tc>
          <w:tcPr>
            <w:tcW w:type="dxa" w:w="1100"/>
            <w:shd w:fill="D9D9D9" w:val="clear"/>
          </w:tcPr>
          <w:p>
            <w:pPr>
              <w:jc w:val="center"/>
            </w:pPr>
            <w:r>
              <w:rPr>
                <w:rFonts w:ascii="Times New Roman" w:cs="Times New Roman" w:eastAsia="Times New Roman" w:hAnsi="Times New Roman"/>
                <w:b/>
                <w:bCs/>
                <w:sz w:val="15"/>
                <w:szCs w:val="15"/>
              </w:rPr>
              <w:t xml:space="preserve">Eigen.</w:t>
            </w:r>
          </w:p>
        </w:tc>
      </w:tr>
      <w:tr>
        <w:tc>
          <w:tcPr>
            <w:tcW w:type="dxa" w:w="1500"/>
          </w:tcPr>
          <w:p>
            <w:pPr>
              <w:jc w:val="center"/>
            </w:pPr>
            <w:r>
              <w:rPr>
                <w:rFonts w:ascii="Times New Roman" w:cs="Times New Roman" w:eastAsia="Times New Roman" w:hAnsi="Times New Roman"/>
                <w:sz w:val="15"/>
                <w:szCs w:val="15"/>
              </w:rPr>
              <w:t xml:space="preserve">grok</w:t>
            </w:r>
          </w:p>
        </w:tc>
        <w:tc>
          <w:tcPr>
            <w:tcW w:type="dxa" w:w="1100"/>
          </w:tcPr>
          <w:p>
            <w:pPr>
              <w:jc w:val="center"/>
            </w:pPr>
            <w:r>
              <w:rPr>
                <w:rFonts w:ascii="Times New Roman" w:cs="Times New Roman" w:eastAsia="Times New Roman" w:hAnsi="Times New Roman"/>
                <w:sz w:val="15"/>
                <w:szCs w:val="15"/>
              </w:rPr>
              <w:t xml:space="preserve">0.0432</w:t>
            </w:r>
          </w:p>
        </w:tc>
        <w:tc>
          <w:tcPr>
            <w:tcW w:type="dxa" w:w="1100"/>
          </w:tcPr>
          <w:p>
            <w:pPr>
              <w:jc w:val="center"/>
            </w:pPr>
            <w:r>
              <w:rPr>
                <w:rFonts w:ascii="Times New Roman" w:cs="Times New Roman" w:eastAsia="Times New Roman" w:hAnsi="Times New Roman"/>
                <w:sz w:val="15"/>
                <w:szCs w:val="15"/>
              </w:rPr>
              <w:t xml:space="preserve">0.0058</w:t>
            </w:r>
          </w:p>
        </w:tc>
        <w:tc>
          <w:tcPr>
            <w:tcW w:type="dxa" w:w="1100"/>
          </w:tcPr>
          <w:p>
            <w:pPr>
              <w:jc w:val="center"/>
            </w:pPr>
            <w:r>
              <w:rPr>
                <w:rFonts w:ascii="Times New Roman" w:cs="Times New Roman" w:eastAsia="Times New Roman" w:hAnsi="Times New Roman"/>
                <w:sz w:val="15"/>
                <w:szCs w:val="15"/>
              </w:rPr>
              <w:t xml:space="preserve">0.7049</w:t>
            </w:r>
          </w:p>
        </w:tc>
      </w:tr>
      <w:tr>
        <w:tc>
          <w:tcPr>
            <w:tcW w:type="dxa" w:w="1500"/>
          </w:tcPr>
          <w:p>
            <w:pPr>
              <w:jc w:val="center"/>
            </w:pPr>
            <w:r>
              <w:rPr>
                <w:rFonts w:ascii="Times New Roman" w:cs="Times New Roman" w:eastAsia="Times New Roman" w:hAnsi="Times New Roman"/>
                <w:sz w:val="15"/>
                <w:szCs w:val="15"/>
              </w:rPr>
              <w:t xml:space="preserve">prabowo</w:t>
            </w:r>
          </w:p>
        </w:tc>
        <w:tc>
          <w:tcPr>
            <w:tcW w:type="dxa" w:w="1100"/>
          </w:tcPr>
          <w:p>
            <w:pPr>
              <w:jc w:val="center"/>
            </w:pPr>
            <w:r>
              <w:rPr>
                <w:rFonts w:ascii="Times New Roman" w:cs="Times New Roman" w:eastAsia="Times New Roman" w:hAnsi="Times New Roman"/>
                <w:sz w:val="15"/>
                <w:szCs w:val="15"/>
              </w:rPr>
              <w:t xml:space="preserve">0.0154</w:t>
            </w:r>
          </w:p>
        </w:tc>
        <w:tc>
          <w:tcPr>
            <w:tcW w:type="dxa" w:w="1100"/>
          </w:tcPr>
          <w:p>
            <w:pPr>
              <w:jc w:val="center"/>
            </w:pPr>
            <w:r>
              <w:rPr>
                <w:rFonts w:ascii="Times New Roman" w:cs="Times New Roman" w:eastAsia="Times New Roman" w:hAnsi="Times New Roman"/>
                <w:sz w:val="15"/>
                <w:szCs w:val="15"/>
              </w:rPr>
              <w:t xml:space="preserve">0.0052</w:t>
            </w:r>
          </w:p>
        </w:tc>
        <w:tc>
          <w:tcPr>
            <w:tcW w:type="dxa" w:w="1100"/>
          </w:tcPr>
          <w:p>
            <w:pPr>
              <w:jc w:val="center"/>
            </w:pPr>
            <w:r>
              <w:rPr>
                <w:rFonts w:ascii="Times New Roman" w:cs="Times New Roman" w:eastAsia="Times New Roman" w:hAnsi="Times New Roman"/>
                <w:sz w:val="15"/>
                <w:szCs w:val="15"/>
              </w:rPr>
              <w:t xml:space="preserve">0.0302</w:t>
            </w:r>
          </w:p>
        </w:tc>
      </w:tr>
      <w:tr>
        <w:tc>
          <w:tcPr>
            <w:tcW w:type="dxa" w:w="1500"/>
          </w:tcPr>
          <w:p>
            <w:pPr>
              <w:jc w:val="center"/>
            </w:pPr>
            <w:r>
              <w:rPr>
                <w:rFonts w:ascii="Times New Roman" w:cs="Times New Roman" w:eastAsia="Times New Roman" w:hAnsi="Times New Roman"/>
                <w:sz w:val="15"/>
                <w:szCs w:val="15"/>
              </w:rPr>
              <w:t xml:space="preserve">4Y4NKZ</w:t>
            </w:r>
          </w:p>
        </w:tc>
        <w:tc>
          <w:tcPr>
            <w:tcW w:type="dxa" w:w="1100"/>
          </w:tcPr>
          <w:p>
            <w:pPr>
              <w:jc w:val="center"/>
            </w:pPr>
            <w:r>
              <w:rPr>
                <w:rFonts w:ascii="Times New Roman" w:cs="Times New Roman" w:eastAsia="Times New Roman" w:hAnsi="Times New Roman"/>
                <w:sz w:val="15"/>
                <w:szCs w:val="15"/>
              </w:rPr>
              <w:t xml:space="preserve">0.0175</w:t>
            </w:r>
          </w:p>
        </w:tc>
        <w:tc>
          <w:tcPr>
            <w:tcW w:type="dxa" w:w="1100"/>
          </w:tcPr>
          <w:p>
            <w:pPr>
              <w:jc w:val="center"/>
            </w:pPr>
            <w:r>
              <w:rPr>
                <w:rFonts w:ascii="Times New Roman" w:cs="Times New Roman" w:eastAsia="Times New Roman" w:hAnsi="Times New Roman"/>
                <w:sz w:val="15"/>
                <w:szCs w:val="15"/>
              </w:rPr>
              <w:t xml:space="preserve">0.0002</w:t>
            </w:r>
          </w:p>
        </w:tc>
        <w:tc>
          <w:tcPr>
            <w:tcW w:type="dxa" w:w="1100"/>
          </w:tcPr>
          <w:p>
            <w:pPr>
              <w:jc w:val="center"/>
            </w:pPr>
            <w:r>
              <w:rPr>
                <w:rFonts w:ascii="Times New Roman" w:cs="Times New Roman" w:eastAsia="Times New Roman" w:hAnsi="Times New Roman"/>
                <w:sz w:val="15"/>
                <w:szCs w:val="15"/>
              </w:rPr>
              <w:t xml:space="preserve">0.0015</w:t>
            </w:r>
          </w:p>
        </w:tc>
      </w:tr>
      <w:tr>
        <w:tc>
          <w:tcPr>
            <w:tcW w:type="dxa" w:w="1500"/>
          </w:tcPr>
          <w:p>
            <w:pPr>
              <w:jc w:val="center"/>
            </w:pPr>
            <w:r>
              <w:rPr>
                <w:rFonts w:ascii="Times New Roman" w:cs="Times New Roman" w:eastAsia="Times New Roman" w:hAnsi="Times New Roman"/>
                <w:sz w:val="15"/>
                <w:szCs w:val="15"/>
              </w:rPr>
              <w:t xml:space="preserve">newIding30</w:t>
            </w:r>
          </w:p>
        </w:tc>
        <w:tc>
          <w:tcPr>
            <w:tcW w:type="dxa" w:w="1100"/>
          </w:tcPr>
          <w:p>
            <w:pPr>
              <w:jc w:val="center"/>
            </w:pPr>
            <w:r>
              <w:rPr>
                <w:rFonts w:ascii="Times New Roman" w:cs="Times New Roman" w:eastAsia="Times New Roman" w:hAnsi="Times New Roman"/>
                <w:sz w:val="15"/>
                <w:szCs w:val="15"/>
              </w:rPr>
              <w:t xml:space="preserve">0.0165</w:t>
            </w:r>
          </w:p>
        </w:tc>
        <w:tc>
          <w:tcPr>
            <w:tcW w:type="dxa" w:w="1100"/>
          </w:tcPr>
          <w:p>
            <w:pPr>
              <w:jc w:val="center"/>
            </w:pPr>
            <w:r>
              <w:rPr>
                <w:rFonts w:ascii="Times New Roman" w:cs="Times New Roman" w:eastAsia="Times New Roman" w:hAnsi="Times New Roman"/>
                <w:sz w:val="15"/>
                <w:szCs w:val="15"/>
              </w:rPr>
              <w:t xml:space="preserve">0.0001</w:t>
            </w:r>
          </w:p>
        </w:tc>
        <w:tc>
          <w:tcPr>
            <w:tcW w:type="dxa" w:w="1100"/>
          </w:tcPr>
          <w:p>
            <w:pPr>
              <w:jc w:val="center"/>
            </w:pPr>
            <w:r>
              <w:rPr>
                <w:rFonts w:ascii="Times New Roman" w:cs="Times New Roman" w:eastAsia="Times New Roman" w:hAnsi="Times New Roman"/>
                <w:sz w:val="15"/>
                <w:szCs w:val="15"/>
              </w:rPr>
              <w:t xml:space="preserve">0.0014</w:t>
            </w:r>
          </w:p>
        </w:tc>
      </w:tr>
      <w:tr>
        <w:tc>
          <w:tcPr>
            <w:tcW w:type="dxa" w:w="1500"/>
          </w:tcPr>
          <w:p>
            <w:pPr>
              <w:jc w:val="center"/>
            </w:pPr>
            <w:r>
              <w:rPr>
                <w:rFonts w:ascii="Times New Roman" w:cs="Times New Roman" w:eastAsia="Times New Roman" w:hAnsi="Times New Roman"/>
                <w:sz w:val="15"/>
                <w:szCs w:val="15"/>
              </w:rPr>
              <w:t xml:space="preserve">dbdbidip</w:t>
            </w:r>
          </w:p>
        </w:tc>
        <w:tc>
          <w:tcPr>
            <w:tcW w:type="dxa" w:w="1100"/>
          </w:tcPr>
          <w:p>
            <w:pPr>
              <w:jc w:val="center"/>
            </w:pPr>
            <w:r>
              <w:rPr>
                <w:rFonts w:ascii="Times New Roman" w:cs="Times New Roman" w:eastAsia="Times New Roman" w:hAnsi="Times New Roman"/>
                <w:sz w:val="15"/>
                <w:szCs w:val="15"/>
              </w:rPr>
              <w:t xml:space="preserve">0.0134</w:t>
            </w:r>
          </w:p>
        </w:tc>
        <w:tc>
          <w:tcPr>
            <w:tcW w:type="dxa" w:w="1100"/>
          </w:tcPr>
          <w:p>
            <w:pPr>
              <w:jc w:val="center"/>
            </w:pPr>
            <w:r>
              <w:rPr>
                <w:rFonts w:ascii="Times New Roman" w:cs="Times New Roman" w:eastAsia="Times New Roman" w:hAnsi="Times New Roman"/>
                <w:sz w:val="15"/>
                <w:szCs w:val="15"/>
              </w:rPr>
              <w:t xml:space="preserve">0.0002</w:t>
            </w:r>
          </w:p>
        </w:tc>
        <w:tc>
          <w:tcPr>
            <w:tcW w:type="dxa" w:w="1100"/>
          </w:tcPr>
          <w:p>
            <w:pPr>
              <w:jc w:val="center"/>
            </w:pPr>
            <w:r>
              <w:rPr>
                <w:rFonts w:ascii="Times New Roman" w:cs="Times New Roman" w:eastAsia="Times New Roman" w:hAnsi="Times New Roman"/>
                <w:sz w:val="15"/>
                <w:szCs w:val="15"/>
              </w:rPr>
              <w:t xml:space="preserve">0.0000</w:t>
            </w:r>
          </w:p>
        </w:tc>
      </w:tr>
    </w:tbl>
    <w:p>
      <w:pPr>
        <w:spacing w:after="120" w:before="80"/>
        <w:jc w:val="center"/>
      </w:pPr>
      <w:r>
        <w:rPr>
          <w:rFonts w:ascii="Times New Roman" w:cs="Times New Roman" w:eastAsia="Times New Roman" w:hAnsi="Times New Roman"/>
          <w:i/>
          <w:iCs/>
          <w:sz w:val="16"/>
          <w:szCs w:val="16"/>
        </w:rPr>
        <w:t xml:space="preserve">Fig. 1. Information-power anatomy map and echo chamber detection (Louvain Algorithm).</w:t>
      </w:r>
    </w:p>
    <w:p>
      <w:pPr>
        <w:spacing w:after="120"/>
        <w:ind w:firstLine="288"/>
        <w:jc w:val="both"/>
      </w:pPr>
      <w:r>
        <w:rPr>
          <w:rFonts w:ascii="Times New Roman" w:cs="Times New Roman" w:eastAsia="Times New Roman" w:hAnsi="Times New Roman"/>
          <w:sz w:val="18"/>
          <w:szCs w:val="18"/>
        </w:rPr>
        <w:t xml:space="preserve">Account @grok ranks first in degree centrality (0.0432) and also has the highest eigenvector centrality (0.7049), indicating its role as the most frequently invoked reference for public verification of claims. Account @prabowo, as the holder of the highest policy authority, has the second-highest betweenness centrality (0.0052) within the giant component, indicating an epicenter of public emotion.</w:t>
      </w:r>
    </w:p>
    <w:p>
      <w:pPr>
        <w:spacing w:after="120" w:before="80"/>
        <w:jc w:val="center"/>
      </w:pPr>
      <w:r>
        <w:rPr>
          <w:rFonts w:ascii="Times New Roman" w:cs="Times New Roman" w:eastAsia="Times New Roman" w:hAnsi="Times New Roman"/>
          <w:i/>
          <w:iCs/>
          <w:sz w:val="16"/>
          <w:szCs w:val="16"/>
        </w:rPr>
        <w:t xml:space="preserve">Fig. 2. Top 10 most-mentioned (tagged) accounts.</w:t>
      </w:r>
    </w:p>
    <w:p>
      <w:pPr>
        <w:spacing w:after="80" w:before="120"/>
      </w:pPr>
      <w:r>
        <w:rPr>
          <w:rFonts w:ascii="Times New Roman" w:cs="Times New Roman" w:eastAsia="Times New Roman" w:hAnsi="Times New Roman"/>
          <w:b/>
          <w:bCs/>
          <w:i/>
          <w:iCs/>
          <w:sz w:val="18"/>
          <w:szCs w:val="18"/>
        </w:rPr>
        <w:t xml:space="preserve">C. Emotion and Sarcasm Model Evaluation</w:t>
      </w:r>
    </w:p>
    <w:p>
      <w:pPr>
        <w:spacing w:after="120"/>
        <w:ind w:firstLine="288"/>
        <w:jc w:val="both"/>
      </w:pPr>
      <w:r>
        <w:rPr>
          <w:rFonts w:ascii="Times New Roman" w:cs="Times New Roman" w:eastAsia="Times New Roman" w:hAnsi="Times New Roman"/>
          <w:sz w:val="18"/>
          <w:szCs w:val="18"/>
        </w:rPr>
        <w:t xml:space="preserve">The fine-tuned IndoBERT model was evaluated on the testing set (n = 501). Evaluation metrics include accuracy, precision, recall, and F1-score. Table IV presents the results.</w:t>
      </w:r>
    </w:p>
    <w:p>
      <w:pPr>
        <w:spacing w:after="80" w:before="120"/>
        <w:jc w:val="center"/>
      </w:pPr>
      <w:r>
        <w:rPr>
          <w:rFonts w:ascii="Times New Roman" w:cs="Times New Roman" w:eastAsia="Times New Roman" w:hAnsi="Times New Roman"/>
          <w:b w:val="false"/>
          <w:bCs w:val="false"/>
          <w:sz w:val="16"/>
          <w:szCs w:val="16"/>
        </w:rPr>
        <w:t xml:space="preserve">TABLE IV. EVALUATION METRICS OF INDOBERT ON THE TESTING SET (n = 501)</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tblGrid>
      <w:tr>
        <w:tc>
          <w:tcPr>
            <w:tcW w:type="dxa" w:w="2000"/>
            <w:shd w:fill="D9D9D9" w:val="clear"/>
          </w:tcPr>
          <w:p>
            <w:pPr>
              <w:jc w:val="center"/>
            </w:pPr>
            <w:r>
              <w:rPr>
                <w:rFonts w:ascii="Times New Roman" w:cs="Times New Roman" w:eastAsia="Times New Roman" w:hAnsi="Times New Roman"/>
                <w:b/>
                <w:bCs/>
                <w:sz w:val="15"/>
                <w:szCs w:val="15"/>
              </w:rPr>
              <w:t xml:space="preserve">Metric</w:t>
            </w:r>
          </w:p>
        </w:tc>
        <w:tc>
          <w:tcPr>
            <w:tcW w:type="dxa" w:w="1400"/>
            <w:shd w:fill="D9D9D9" w:val="clear"/>
          </w:tcPr>
          <w:p>
            <w:pPr>
              <w:jc w:val="center"/>
            </w:pPr>
            <w:r>
              <w:rPr>
                <w:rFonts w:ascii="Times New Roman" w:cs="Times New Roman" w:eastAsia="Times New Roman" w:hAnsi="Times New Roman"/>
                <w:b/>
                <w:bCs/>
                <w:sz w:val="15"/>
                <w:szCs w:val="15"/>
              </w:rPr>
              <w:t xml:space="preserve">Emotion (9-class)</w:t>
            </w:r>
          </w:p>
        </w:tc>
        <w:tc>
          <w:tcPr>
            <w:tcW w:type="dxa" w:w="1400"/>
            <w:shd w:fill="D9D9D9" w:val="clear"/>
          </w:tcPr>
          <w:p>
            <w:pPr>
              <w:jc w:val="center"/>
            </w:pPr>
            <w:r>
              <w:rPr>
                <w:rFonts w:ascii="Times New Roman" w:cs="Times New Roman" w:eastAsia="Times New Roman" w:hAnsi="Times New Roman"/>
                <w:b/>
                <w:bCs/>
                <w:sz w:val="15"/>
                <w:szCs w:val="15"/>
              </w:rPr>
              <w:t xml:space="preserve">Sarcasm (Binary)</w:t>
            </w:r>
          </w:p>
        </w:tc>
      </w:tr>
      <w:tr>
        <w:tc>
          <w:tcPr>
            <w:tcW w:type="dxa" w:w="2000"/>
          </w:tcPr>
          <w:p>
            <w:pPr>
              <w:jc w:val="center"/>
            </w:pPr>
            <w:r>
              <w:rPr>
                <w:rFonts w:ascii="Times New Roman" w:cs="Times New Roman" w:eastAsia="Times New Roman" w:hAnsi="Times New Roman"/>
                <w:sz w:val="15"/>
                <w:szCs w:val="15"/>
              </w:rPr>
              <w:t xml:space="preserve">Accuracy</w:t>
            </w:r>
          </w:p>
        </w:tc>
        <w:tc>
          <w:tcPr>
            <w:tcW w:type="dxa" w:w="1400"/>
          </w:tcPr>
          <w:p>
            <w:pPr>
              <w:jc w:val="center"/>
            </w:pPr>
            <w:r>
              <w:rPr>
                <w:rFonts w:ascii="Times New Roman" w:cs="Times New Roman" w:eastAsia="Times New Roman" w:hAnsi="Times New Roman"/>
                <w:sz w:val="15"/>
                <w:szCs w:val="15"/>
              </w:rPr>
              <w:t xml:space="preserve">0.3900</w:t>
            </w:r>
          </w:p>
        </w:tc>
        <w:tc>
          <w:tcPr>
            <w:tcW w:type="dxa" w:w="1400"/>
          </w:tcPr>
          <w:p>
            <w:pPr>
              <w:jc w:val="center"/>
            </w:pPr>
            <w:r>
              <w:rPr>
                <w:rFonts w:ascii="Times New Roman" w:cs="Times New Roman" w:eastAsia="Times New Roman" w:hAnsi="Times New Roman"/>
                <w:sz w:val="15"/>
                <w:szCs w:val="15"/>
              </w:rPr>
              <w:t xml:space="preserve">0.3792</w:t>
            </w:r>
          </w:p>
        </w:tc>
      </w:tr>
      <w:tr>
        <w:tc>
          <w:tcPr>
            <w:tcW w:type="dxa" w:w="2000"/>
          </w:tcPr>
          <w:p>
            <w:pPr>
              <w:jc w:val="center"/>
            </w:pPr>
            <w:r>
              <w:rPr>
                <w:rFonts w:ascii="Times New Roman" w:cs="Times New Roman" w:eastAsia="Times New Roman" w:hAnsi="Times New Roman"/>
                <w:sz w:val="15"/>
                <w:szCs w:val="15"/>
              </w:rPr>
              <w:t xml:space="preserve">Precision (Macro)</w:t>
            </w:r>
          </w:p>
        </w:tc>
        <w:tc>
          <w:tcPr>
            <w:tcW w:type="dxa" w:w="1400"/>
          </w:tcPr>
          <w:p>
            <w:pPr>
              <w:jc w:val="center"/>
            </w:pPr>
            <w:r>
              <w:rPr>
                <w:rFonts w:ascii="Times New Roman" w:cs="Times New Roman" w:eastAsia="Times New Roman" w:hAnsi="Times New Roman"/>
                <w:sz w:val="15"/>
                <w:szCs w:val="15"/>
              </w:rPr>
              <w:t xml:space="preserve">0.1111</w:t>
            </w:r>
          </w:p>
        </w:tc>
        <w:tc>
          <w:tcPr>
            <w:tcW w:type="dxa" w:w="1400"/>
          </w:tcPr>
          <w:p>
            <w:pPr>
              <w:jc w:val="center"/>
            </w:pPr>
            <w:r>
              <w:rPr>
                <w:rFonts w:ascii="Times New Roman" w:cs="Times New Roman" w:eastAsia="Times New Roman" w:hAnsi="Times New Roman"/>
                <w:sz w:val="15"/>
                <w:szCs w:val="15"/>
              </w:rPr>
              <w:t xml:space="preserve">0.5000</w:t>
            </w:r>
          </w:p>
        </w:tc>
      </w:tr>
      <w:tr>
        <w:tc>
          <w:tcPr>
            <w:tcW w:type="dxa" w:w="2000"/>
          </w:tcPr>
          <w:p>
            <w:pPr>
              <w:jc w:val="center"/>
            </w:pPr>
            <w:r>
              <w:rPr>
                <w:rFonts w:ascii="Times New Roman" w:cs="Times New Roman" w:eastAsia="Times New Roman" w:hAnsi="Times New Roman"/>
                <w:sz w:val="15"/>
                <w:szCs w:val="15"/>
              </w:rPr>
              <w:t xml:space="preserve">Recall (Macro)</w:t>
            </w:r>
          </w:p>
        </w:tc>
        <w:tc>
          <w:tcPr>
            <w:tcW w:type="dxa" w:w="1400"/>
          </w:tcPr>
          <w:p>
            <w:pPr>
              <w:jc w:val="center"/>
            </w:pPr>
            <w:r>
              <w:rPr>
                <w:rFonts w:ascii="Times New Roman" w:cs="Times New Roman" w:eastAsia="Times New Roman" w:hAnsi="Times New Roman"/>
                <w:sz w:val="15"/>
                <w:szCs w:val="15"/>
              </w:rPr>
              <w:t xml:space="preserve">0.0433</w:t>
            </w:r>
          </w:p>
        </w:tc>
        <w:tc>
          <w:tcPr>
            <w:tcW w:type="dxa" w:w="1400"/>
          </w:tcPr>
          <w:p>
            <w:pPr>
              <w:jc w:val="center"/>
            </w:pPr>
            <w:r>
              <w:rPr>
                <w:rFonts w:ascii="Times New Roman" w:cs="Times New Roman" w:eastAsia="Times New Roman" w:hAnsi="Times New Roman"/>
                <w:sz w:val="15"/>
                <w:szCs w:val="15"/>
              </w:rPr>
              <w:t xml:space="preserve">0.1896</w:t>
            </w:r>
          </w:p>
        </w:tc>
      </w:tr>
      <w:tr>
        <w:tc>
          <w:tcPr>
            <w:tcW w:type="dxa" w:w="2000"/>
          </w:tcPr>
          <w:p>
            <w:pPr>
              <w:jc w:val="center"/>
            </w:pPr>
            <w:r>
              <w:rPr>
                <w:rFonts w:ascii="Times New Roman" w:cs="Times New Roman" w:eastAsia="Times New Roman" w:hAnsi="Times New Roman"/>
                <w:sz w:val="15"/>
                <w:szCs w:val="15"/>
              </w:rPr>
              <w:t xml:space="preserve">F1-Score (Macro)</w:t>
            </w:r>
          </w:p>
        </w:tc>
        <w:tc>
          <w:tcPr>
            <w:tcW w:type="dxa" w:w="1400"/>
          </w:tcPr>
          <w:p>
            <w:pPr>
              <w:jc w:val="center"/>
            </w:pPr>
            <w:r>
              <w:rPr>
                <w:rFonts w:ascii="Times New Roman" w:cs="Times New Roman" w:eastAsia="Times New Roman" w:hAnsi="Times New Roman"/>
                <w:sz w:val="15"/>
                <w:szCs w:val="15"/>
              </w:rPr>
              <w:t xml:space="preserve">0.0624</w:t>
            </w:r>
          </w:p>
        </w:tc>
        <w:tc>
          <w:tcPr>
            <w:tcW w:type="dxa" w:w="1400"/>
          </w:tcPr>
          <w:p>
            <w:pPr>
              <w:jc w:val="center"/>
            </w:pPr>
            <w:r>
              <w:rPr>
                <w:rFonts w:ascii="Times New Roman" w:cs="Times New Roman" w:eastAsia="Times New Roman" w:hAnsi="Times New Roman"/>
                <w:sz w:val="15"/>
                <w:szCs w:val="15"/>
              </w:rPr>
              <w:t xml:space="preserve">0.2749</w:t>
            </w:r>
          </w:p>
        </w:tc>
      </w:tr>
      <w:tr>
        <w:tc>
          <w:tcPr>
            <w:tcW w:type="dxa" w:w="2000"/>
          </w:tcPr>
          <w:p>
            <w:pPr>
              <w:jc w:val="center"/>
            </w:pPr>
            <w:r>
              <w:rPr>
                <w:rFonts w:ascii="Times New Roman" w:cs="Times New Roman" w:eastAsia="Times New Roman" w:hAnsi="Times New Roman"/>
                <w:sz w:val="15"/>
                <w:szCs w:val="15"/>
              </w:rPr>
              <w:t xml:space="preserve">Precision (Weighted)</w:t>
            </w:r>
          </w:p>
        </w:tc>
        <w:tc>
          <w:tcPr>
            <w:tcW w:type="dxa" w:w="1400"/>
          </w:tcPr>
          <w:p>
            <w:pPr>
              <w:jc w:val="center"/>
            </w:pPr>
            <w:r>
              <w:rPr>
                <w:rFonts w:ascii="Times New Roman" w:cs="Times New Roman" w:eastAsia="Times New Roman" w:hAnsi="Times New Roman"/>
                <w:sz w:val="15"/>
                <w:szCs w:val="15"/>
              </w:rPr>
              <w:t xml:space="preserve">1.0000</w:t>
            </w:r>
          </w:p>
        </w:tc>
        <w:tc>
          <w:tcPr>
            <w:tcW w:type="dxa" w:w="1400"/>
          </w:tcPr>
          <w:p>
            <w:pPr>
              <w:jc w:val="center"/>
            </w:pPr>
            <w:r>
              <w:rPr>
                <w:rFonts w:ascii="Times New Roman" w:cs="Times New Roman" w:eastAsia="Times New Roman" w:hAnsi="Times New Roman"/>
                <w:sz w:val="15"/>
                <w:szCs w:val="15"/>
              </w:rPr>
              <w:t xml:space="preserve">1.0000</w:t>
            </w:r>
          </w:p>
        </w:tc>
      </w:tr>
      <w:tr>
        <w:tc>
          <w:tcPr>
            <w:tcW w:type="dxa" w:w="2000"/>
          </w:tcPr>
          <w:p>
            <w:pPr>
              <w:jc w:val="center"/>
            </w:pPr>
            <w:r>
              <w:rPr>
                <w:rFonts w:ascii="Times New Roman" w:cs="Times New Roman" w:eastAsia="Times New Roman" w:hAnsi="Times New Roman"/>
                <w:sz w:val="15"/>
                <w:szCs w:val="15"/>
              </w:rPr>
              <w:t xml:space="preserve">Recall (Weighted)</w:t>
            </w:r>
          </w:p>
        </w:tc>
        <w:tc>
          <w:tcPr>
            <w:tcW w:type="dxa" w:w="1400"/>
          </w:tcPr>
          <w:p>
            <w:pPr>
              <w:jc w:val="center"/>
            </w:pPr>
            <w:r>
              <w:rPr>
                <w:rFonts w:ascii="Times New Roman" w:cs="Times New Roman" w:eastAsia="Times New Roman" w:hAnsi="Times New Roman"/>
                <w:sz w:val="15"/>
                <w:szCs w:val="15"/>
              </w:rPr>
              <w:t xml:space="preserve">0.3900</w:t>
            </w:r>
          </w:p>
        </w:tc>
        <w:tc>
          <w:tcPr>
            <w:tcW w:type="dxa" w:w="1400"/>
          </w:tcPr>
          <w:p>
            <w:pPr>
              <w:jc w:val="center"/>
            </w:pPr>
            <w:r>
              <w:rPr>
                <w:rFonts w:ascii="Times New Roman" w:cs="Times New Roman" w:eastAsia="Times New Roman" w:hAnsi="Times New Roman"/>
                <w:sz w:val="15"/>
                <w:szCs w:val="15"/>
              </w:rPr>
              <w:t xml:space="preserve">0.3792</w:t>
            </w:r>
          </w:p>
        </w:tc>
      </w:tr>
      <w:tr>
        <w:tc>
          <w:tcPr>
            <w:tcW w:type="dxa" w:w="2000"/>
          </w:tcPr>
          <w:p>
            <w:pPr>
              <w:jc w:val="center"/>
            </w:pPr>
            <w:r>
              <w:rPr>
                <w:rFonts w:ascii="Times New Roman" w:cs="Times New Roman" w:eastAsia="Times New Roman" w:hAnsi="Times New Roman"/>
                <w:sz w:val="15"/>
                <w:szCs w:val="15"/>
              </w:rPr>
              <w:t xml:space="preserve">F1-Score (Weighted)</w:t>
            </w:r>
          </w:p>
        </w:tc>
        <w:tc>
          <w:tcPr>
            <w:tcW w:type="dxa" w:w="1400"/>
          </w:tcPr>
          <w:p>
            <w:pPr>
              <w:jc w:val="center"/>
            </w:pPr>
            <w:r>
              <w:rPr>
                <w:rFonts w:ascii="Times New Roman" w:cs="Times New Roman" w:eastAsia="Times New Roman" w:hAnsi="Times New Roman"/>
                <w:sz w:val="15"/>
                <w:szCs w:val="15"/>
              </w:rPr>
              <w:t xml:space="preserve">0.5612</w:t>
            </w:r>
          </w:p>
        </w:tc>
        <w:tc>
          <w:tcPr>
            <w:tcW w:type="dxa" w:w="1400"/>
          </w:tcPr>
          <w:p>
            <w:pPr>
              <w:jc w:val="center"/>
            </w:pPr>
            <w:r>
              <w:rPr>
                <w:rFonts w:ascii="Times New Roman" w:cs="Times New Roman" w:eastAsia="Times New Roman" w:hAnsi="Times New Roman"/>
                <w:sz w:val="15"/>
                <w:szCs w:val="15"/>
              </w:rPr>
              <w:t xml:space="preserve">0.5499</w:t>
            </w:r>
          </w:p>
        </w:tc>
      </w:tr>
    </w:tbl>
    <w:p>
      <w:pPr>
        <w:spacing w:after="120"/>
        <w:ind w:firstLine="288"/>
        <w:jc w:val="both"/>
      </w:pPr>
      <w:r>
        <w:rPr>
          <w:rFonts w:ascii="Times New Roman" w:cs="Times New Roman" w:eastAsia="Times New Roman" w:hAnsi="Times New Roman"/>
          <w:sz w:val="18"/>
          <w:szCs w:val="18"/>
        </w:rPr>
        <w:t xml:space="preserve">The model achieved an accuracy of 0.3900 for nine-class emotion classification and 0.3792 for binary sarcasm detection. However, precision, recall, and F1-score must be interpreted with caution. The testing set contained only one actual label per task: “Neutral” for emotion and “Non-Sarcasm” for sarcasm. As a result, the weighted averages are dominated by the majority class, while the macro averages are distorted by zero divisions for absent classes. These values therefore reflect a defect in the test-data labeling process rather than the model's true generalization capacity.</w:t>
      </w:r>
    </w:p>
    <w:p>
      <w:pPr>
        <w:spacing w:after="120"/>
        <w:ind w:firstLine="288"/>
        <w:jc w:val="both"/>
      </w:pPr>
      <w:r>
        <w:rPr>
          <w:rFonts w:ascii="Times New Roman" w:cs="Times New Roman" w:eastAsia="Times New Roman" w:hAnsi="Times New Roman"/>
          <w:sz w:val="18"/>
          <w:szCs w:val="18"/>
        </w:rPr>
        <w:t xml:space="preserve">Exploratory keyword-based labeling across the entire dataset of 3,395 tweets indicates that 1,945 tweets (57.3%) contained sarcastic patterns, while 1,450 tweets (42.7%) did not. This reinforces the argument that sarcasm is the dominant mode netizens use to voice criticism of the MBG Program.</w:t>
      </w:r>
    </w:p>
    <w:p>
      <w:pPr>
        <w:spacing w:after="120"/>
        <w:ind w:firstLine="288"/>
        <w:jc w:val="both"/>
      </w:pPr>
      <w:r>
        <w:rPr>
          <w:rFonts w:ascii="Times New Roman" w:cs="Times New Roman" w:eastAsia="Times New Roman" w:hAnsi="Times New Roman"/>
          <w:sz w:val="18"/>
          <w:szCs w:val="18"/>
        </w:rPr>
        <w:t xml:space="preserve">A repair script has been developed, and retraining with a class-stratified cross-validation scheme is planned as future work. After label repair, macro-average and weighted-average precision, recall, F1-score, and overall accuracy will be recomputed and reported as the valid model performance.</w:t>
      </w:r>
    </w:p>
    <w:p>
      <w:pPr>
        <w:spacing w:after="100" w:before="200"/>
      </w:pPr>
      <w:r>
        <w:rPr>
          <w:rFonts w:ascii="Times New Roman" w:cs="Times New Roman" w:eastAsia="Times New Roman" w:hAnsi="Times New Roman"/>
          <w:b/>
          <w:bCs/>
          <w:sz w:val="18"/>
          <w:szCs w:val="18"/>
        </w:rPr>
        <w:t xml:space="preserve">IV. CONCLUSION</w:t>
      </w:r>
    </w:p>
    <w:p>
      <w:pPr>
        <w:spacing w:after="120"/>
        <w:ind w:firstLine="288"/>
        <w:jc w:val="both"/>
      </w:pPr>
      <w:r>
        <w:rPr>
          <w:rFonts w:ascii="Times New Roman" w:cs="Times New Roman" w:eastAsia="Times New Roman" w:hAnsi="Times New Roman"/>
          <w:sz w:val="18"/>
          <w:szCs w:val="18"/>
        </w:rPr>
        <w:t xml:space="preserve">The structure of the MBG discourse communication network (973 nodes, 658 edges) shows a very high level of fragmentation (modularity 0.9837), broken into hundreds of small, mostly isolated components rather than two large opposing camps. The accounts @grok and @prabowo are the actors with the highest centrality, occupying epicenter positions in the flow of claim verification and policy-authority reference. Evaluation of the IndoBERT model for emotion and sarcasm classification cannot yet be used as a basis for substantive conclusions due to a labeling defect in the test data—a limitation openly acknowledged and forming the agenda for further research through model retraining with class-stratified sampling.</w:t>
      </w:r>
    </w:p>
    <w:p>
      <w:pPr>
        <w:spacing w:after="100" w:before="200"/>
      </w:pPr>
      <w:r>
        <w:rPr>
          <w:rFonts w:ascii="Times New Roman" w:cs="Times New Roman" w:eastAsia="Times New Roman" w:hAnsi="Times New Roman"/>
          <w:b/>
          <w:bCs/>
          <w:sz w:val="18"/>
          <w:szCs w:val="18"/>
        </w:rPr>
        <w:t xml:space="preserve">ACKNOWLEDGMENT</w:t>
      </w:r>
    </w:p>
    <w:p>
      <w:pPr>
        <w:spacing w:after="120"/>
        <w:ind w:firstLine="288"/>
        <w:jc w:val="both"/>
      </w:pPr>
      <w:r>
        <w:rPr>
          <w:rFonts w:ascii="Times New Roman" w:cs="Times New Roman" w:eastAsia="Times New Roman" w:hAnsi="Times New Roman"/>
          <w:sz w:val="18"/>
          <w:szCs w:val="18"/>
        </w:rPr>
        <w:t xml:space="preserve">The authors thank the Master of Communication Science Study Program, Faculty of Social, Cultural and Political Sciences, Universitas Pembangunan Nasional “Veteran” Jawa Timur, for its support of this research. The authors also acknowledge Portal JTV [13] and Netral News [14] for their media coverage of these findings, which highlighted the study's relevance to public discourse on the MBG Program.</w:t>
      </w:r>
    </w:p>
    <w:p>
      <w:pPr>
        <w:spacing w:after="100" w:before="200"/>
      </w:pPr>
      <w:r>
        <w:rPr>
          <w:rFonts w:ascii="Times New Roman" w:cs="Times New Roman" w:eastAsia="Times New Roman" w:hAnsi="Times New Roman"/>
          <w:b/>
          <w:bCs/>
          <w:sz w:val="18"/>
          <w:szCs w:val="18"/>
        </w:rPr>
        <w:t xml:space="preserve">REFERENCES</w:t>
      </w:r>
    </w:p>
    <w:p>
      <w:pPr>
        <w:spacing w:after="60"/>
        <w:jc w:val="both"/>
      </w:pPr>
      <w:r>
        <w:rPr>
          <w:rFonts w:ascii="Times New Roman" w:cs="Times New Roman" w:eastAsia="Times New Roman" w:hAnsi="Times New Roman"/>
          <w:sz w:val="16"/>
          <w:szCs w:val="16"/>
        </w:rPr>
        <w:t xml:space="preserve">[1] E. Camp, “Sarcasm, pretense, and the semantics/pragmatics distinction,” Noûs, vol. 46, no. 4, pp. 587–634, 2012.</w:t>
      </w:r>
    </w:p>
    <w:p>
      <w:pPr>
        <w:spacing w:after="60"/>
        <w:jc w:val="both"/>
      </w:pPr>
      <w:r>
        <w:rPr>
          <w:rFonts w:ascii="Times New Roman" w:cs="Times New Roman" w:eastAsia="Times New Roman" w:hAnsi="Times New Roman"/>
          <w:sz w:val="16"/>
          <w:szCs w:val="16"/>
        </w:rPr>
        <w:t xml:space="preserve">[2] F. Schultz, S. Utz, and A. Göritz, “Is the medium the message? Perceptions of and reactions to crisis communication via Twitter, blogs and traditional media,” Public Relat. Rev., vol. 37, no. 1, pp. 20–27, 2011.</w:t>
      </w:r>
    </w:p>
    <w:p>
      <w:pPr>
        <w:spacing w:after="60"/>
        <w:jc w:val="both"/>
      </w:pPr>
      <w:r>
        <w:rPr>
          <w:rFonts w:ascii="Times New Roman" w:cs="Times New Roman" w:eastAsia="Times New Roman" w:hAnsi="Times New Roman"/>
          <w:sz w:val="16"/>
          <w:szCs w:val="16"/>
        </w:rPr>
        <w:t xml:space="preserve">[3] M. A. Riza and N. Charibaldi, “Emotion Detection in Twitter Social Media Using Long Short-Term Memory (LSTM) and Fast Text,” Int. J. Artif. Intell. Robot. (IJAIR), vol. 3, no. 1, pp. 15–26, 2021, doi: 10.25139/ijair.v3i1.3827.</w:t>
      </w:r>
    </w:p>
    <w:p>
      <w:pPr>
        <w:spacing w:after="60"/>
        <w:jc w:val="both"/>
      </w:pPr>
      <w:r>
        <w:rPr>
          <w:rFonts w:ascii="Times New Roman" w:cs="Times New Roman" w:eastAsia="Times New Roman" w:hAnsi="Times New Roman"/>
          <w:sz w:val="16"/>
          <w:szCs w:val="16"/>
        </w:rPr>
        <w:t xml:space="preserve">[4] A. Chiorrini, C. Diamantini, A. Mircoli, and D. Potena, “Emotion and sentiment analysis of tweets using BERT,” in CEUR Workshop Proc., vol. 2841, 2021.</w:t>
      </w:r>
    </w:p>
    <w:p>
      <w:pPr>
        <w:spacing w:after="60"/>
        <w:jc w:val="both"/>
      </w:pPr>
      <w:r>
        <w:rPr>
          <w:rFonts w:ascii="Times New Roman" w:cs="Times New Roman" w:eastAsia="Times New Roman" w:hAnsi="Times New Roman"/>
          <w:sz w:val="16"/>
          <w:szCs w:val="16"/>
        </w:rPr>
        <w:t xml:space="preserve">[5] L. Sulafasyah, “Analisis jaringan komunikasi isu keracunan MBG di Twitter,” undergraduate thesis, Univ. Pembangunan Nasional Veteran Jawa Timur, 2026.</w:t>
      </w:r>
    </w:p>
    <w:p>
      <w:pPr>
        <w:spacing w:after="60"/>
        <w:jc w:val="both"/>
      </w:pPr>
      <w:r>
        <w:rPr>
          <w:rFonts w:ascii="Times New Roman" w:cs="Times New Roman" w:eastAsia="Times New Roman" w:hAnsi="Times New Roman"/>
          <w:sz w:val="16"/>
          <w:szCs w:val="16"/>
        </w:rPr>
        <w:t xml:space="preserve">[6] S. K. Devulapalli and S. K. Mandala, “Profiling irony and stereotype spreaders on Twitter using NLP,” Lect. Notes Netw. Syst., 2026.</w:t>
      </w:r>
    </w:p>
    <w:p>
      <w:pPr>
        <w:spacing w:after="60"/>
        <w:jc w:val="both"/>
      </w:pPr>
      <w:r>
        <w:rPr>
          <w:rFonts w:ascii="Times New Roman" w:cs="Times New Roman" w:eastAsia="Times New Roman" w:hAnsi="Times New Roman"/>
          <w:sz w:val="16"/>
          <w:szCs w:val="16"/>
        </w:rPr>
        <w:t xml:space="preserve">[7] P. Kotler, H. Kartajaya, and I. Setiawan, Marketing 6.0: The Future Is Immersive. Hoboken, NJ, USA: Wiley, 2023.</w:t>
      </w:r>
    </w:p>
    <w:p>
      <w:pPr>
        <w:spacing w:after="60"/>
        <w:jc w:val="both"/>
      </w:pPr>
      <w:r>
        <w:rPr>
          <w:rFonts w:ascii="Times New Roman" w:cs="Times New Roman" w:eastAsia="Times New Roman" w:hAnsi="Times New Roman"/>
          <w:sz w:val="16"/>
          <w:szCs w:val="16"/>
        </w:rPr>
        <w:t xml:space="preserve">[8] M. E. J. Newman, “Modularity and community structure in networks,” Proc. Natl. Acad. Sci., vol. 103, no. 23, pp. 8577–8582, 2006.</w:t>
      </w:r>
    </w:p>
    <w:p>
      <w:pPr>
        <w:spacing w:after="60"/>
        <w:jc w:val="both"/>
      </w:pPr>
      <w:r>
        <w:rPr>
          <w:rFonts w:ascii="Times New Roman" w:cs="Times New Roman" w:eastAsia="Times New Roman" w:hAnsi="Times New Roman"/>
          <w:sz w:val="16"/>
          <w:szCs w:val="16"/>
        </w:rPr>
        <w:t xml:space="preserve">[9] B. Wilie et al., “IndoNLU: Benchmark and resources for evaluating Indonesian natural language understanding,” in Proc. AACL-IJCNLP, 2020.</w:t>
      </w:r>
    </w:p>
    <w:p>
      <w:pPr>
        <w:spacing w:after="60"/>
        <w:jc w:val="both"/>
      </w:pPr>
      <w:r>
        <w:rPr>
          <w:rFonts w:ascii="Times New Roman" w:cs="Times New Roman" w:eastAsia="Times New Roman" w:hAnsi="Times New Roman"/>
          <w:sz w:val="16"/>
          <w:szCs w:val="16"/>
        </w:rPr>
        <w:t xml:space="preserve">[10] V. D. Blondel, J.-L. Guillaume, R. Lambiotte, and E. Lefebvre, “Fast unfolding of communities in large networks,” J. Stat. Mech. Theory Exp., vol. 2008, no. 10, P10008, 2008.</w:t>
      </w:r>
    </w:p>
    <w:p>
      <w:pPr>
        <w:spacing w:after="60"/>
        <w:jc w:val="both"/>
      </w:pPr>
      <w:r>
        <w:rPr>
          <w:rFonts w:ascii="Times New Roman" w:cs="Times New Roman" w:eastAsia="Times New Roman" w:hAnsi="Times New Roman"/>
          <w:sz w:val="16"/>
          <w:szCs w:val="16"/>
        </w:rPr>
        <w:t xml:space="preserve">[11] I. A. K. Sari, “JobsMatchAI: Platform generative AI end-to-end untuk pencocokan kerja semantik dan dukungan karier di pasar tenaga kerja Indonesia,” Integrative Perspect. Soc. Sci. J. (IPSSJ), vol. 3, no. 9, pp. 333–340, Sep. 2026. [Online]. Available: https://ipssj.com/index.php/ojs/article/view/2024</w:t>
      </w:r>
    </w:p>
    <w:p>
      <w:pPr>
        <w:spacing w:after="60"/>
        <w:jc w:val="both"/>
      </w:pPr>
      <w:r>
        <w:rPr>
          <w:rFonts w:ascii="Times New Roman" w:cs="Times New Roman" w:eastAsia="Times New Roman" w:hAnsi="Times New Roman"/>
          <w:sz w:val="16"/>
          <w:szCs w:val="16"/>
        </w:rPr>
        <w:t xml:space="preserve">[12] I. A. K. Sari, C. Suratnoaji, and A. Widiyarta, “Analisis jaringan sosial triliunan rupiah Makan Bergizi Gratis di media sosial X,” Integrative Perspect. Soc. Sci. J. (IPSSJ), vol. 3, no. 9, pp. 248–257, Sep. 2026. [Online]. Available: https://ipssj.com/index.php/ojs/article/view/2009</w:t>
      </w:r>
    </w:p>
    <w:p>
      <w:pPr>
        <w:spacing w:after="60"/>
        <w:jc w:val="both"/>
      </w:pPr>
      <w:r>
        <w:rPr>
          <w:rFonts w:ascii="Times New Roman" w:cs="Times New Roman" w:eastAsia="Times New Roman" w:hAnsi="Times New Roman"/>
          <w:sz w:val="16"/>
          <w:szCs w:val="16"/>
        </w:rPr>
        <w:t xml:space="preserve">[13] “Lebih dari 37 persen percakapan Makan Bergizi Gratis di X bernada sindiran: Ini temuan riset UPN Veteran Jatim,” Portal JTV, Sep. 2026. [Online]. Available: https://portaljtv.com/news/lebih-dari-37-persen-percakapan-makan-bergizi-gratis-di-x-bernada-sindiran-ini-temuan-riset-upn-veteran-jatim</w:t>
      </w:r>
    </w:p>
    <w:p>
      <w:pPr>
        <w:spacing w:after="60"/>
        <w:jc w:val="both"/>
      </w:pPr>
      <w:r>
        <w:rPr>
          <w:rFonts w:ascii="Times New Roman" w:cs="Times New Roman" w:eastAsia="Times New Roman" w:hAnsi="Times New Roman"/>
          <w:sz w:val="16"/>
          <w:szCs w:val="16"/>
        </w:rPr>
        <w:t xml:space="preserve">[14] “Riset UPN Jatim: 37 persen percakapan Makan Bergizi Gratis di X bernada sindiran,” Netral News, Sep. 2026. [Online]. Available: https://www.netralnews.com/nnchumaniora/riset-upn-jatim-37-persen-percakapan-makan-bergizi-gratis-di-x-bernada-sindiran</w:t>
      </w:r>
    </w:p>
    <w:sectPr>
      <w:type w:val="continuous"/>
      <w:pgSz w:w="12240" w:h="15840" w:orient="portrait"/>
      <w:pgMar w:top="1080" w:right="900" w:bottom="144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2026-09-17T11:32:27.913Z</dcterms:created>
  <dcterms:modified xsi:type="dcterms:W3CDTF">2026-09-17T11:32:27.913Z</dcterms:modified>
</cp:coreProperties>
</file>

<file path=docProps/custom.xml><?xml version="1.0" encoding="utf-8"?>
<Properties xmlns="http://schemas.openxmlformats.org/officeDocument/2006/custom-properties" xmlns:vt="http://schemas.openxmlformats.org/officeDocument/2006/docPropsVTypes"/>
</file>