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Pr>
          <w:b/>
          <w:sz w:val="23"/>
        </w:rPr>
        <w:t>Indri Anjar Kartika Sari¹*, Catur Suratnoaji¹, Agus Widiyarta¹</w:t>
      </w:r>
    </w:p>
    <w:p>
      <w:pPr>
        <w:spacing w:after="280"/>
        <w:jc w:val="center"/>
      </w:pPr>
      <w:r>
        <w:rPr>
          <w:i/>
          <w:color w:val="475569"/>
          <w:sz w:val="19"/>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r>
              <w:rPr>
                <w:b/>
                <w:sz w:val="19"/>
              </w:rPr>
              <w:t>Evaluation Accuracy &amp; Macro-F1</w:t>
            </w:r>
          </w:p>
        </w:tc>
        <w:tc>
          <w:tcPr>
            <w:tcW w:type="dxa" w:w="3120"/>
            <w:shd w:val="clear" w:color="auto" w:fill="F8FAFC"/>
            <w:tcMar>
              <w:top w:w="80" w:type="dxa"/>
              <w:bottom w:w="80" w:type="dxa"/>
              <w:left w:w="120" w:type="dxa"/>
              <w:right w:w="120" w:type="dxa"/>
            </w:tcMar>
          </w:tcPr>
          <w:p>
            <w:r>
              <w:rPr>
                <w:sz w:val="19"/>
              </w:rPr>
              <w:t>79.40% - 81.43% | F1: 0.5160</w:t>
            </w:r>
          </w:p>
        </w:tc>
        <w:tc>
          <w:tcPr>
            <w:tcW w:type="dxa" w:w="3120"/>
            <w:shd w:val="clear" w:color="auto" w:fill="F8FAFC"/>
            <w:tcMar>
              <w:top w:w="80" w:type="dxa"/>
              <w:bottom w:w="80" w:type="dxa"/>
              <w:left w:w="120" w:type="dxa"/>
              <w:right w:w="120" w:type="dxa"/>
            </w:tcMar>
          </w:tcPr>
          <w:p>
            <w:r>
              <w:rPr>
                <w:sz w:val="19"/>
              </w:rPr>
              <w:t>Statistically superior to TF-IDF SVM (68.05%) and LogReg (67.11%)</w:t>
            </w:r>
          </w:p>
        </w:tc>
      </w:tr>
    </w:tbl>
    <w:p>
      <w:pPr>
        <w:spacing w:after="160"/>
      </w:pP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Pr>
                <w:b/>
                <w:sz w:val="17"/>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2"/>
        <w:spacing w:before="280" w:after="120"/>
      </w:pPr>
      <w:r>
        <w:rPr>
          <w:rFonts w:ascii="Times New Roman" w:hAnsi="Times New Roman"/>
          <w:b/>
          <w:color w:val="1E293B"/>
          <w:sz w:val="25"/>
        </w:rPr>
        <w:t>3.6 Astroturfing Audit &amp; Coordinated Inauthentic Behavior (CIB) Forensic Analysis</w:t>
      </w:r>
    </w:p>
    <w:p>
      <w:pPr>
        <w:spacing w:after="120" w:line="276" w:lineRule="auto"/>
      </w:pPr>
      <w:r>
        <w:rPr>
          <w:sz w:val="22"/>
        </w:rPr>
        <w:t>To eliminate potential skepticism that the pervasive public dissent was artificially engineered by opposition botnets or political buzzers, we conducted an empirical multi-pillar forensic audit across the corpus (N = 9,310 posts; 2,414 unique authors) evaluating five foundational criteria established in bot detection scholarship (Ferrara et al., 2016; Cresci et al., 2017; Keller et al., 2020; Giglietto et al., 2020). Table 6 summarizes the forensic indicators and empirical outcomes.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00" w:type="dxa"/>
              <w:right w:w="100" w:type="dxa"/>
            </w:tcMar>
          </w:tcPr>
          <w:p>
            <w:pPr>
              <w:jc w:val="center"/>
            </w:pPr>
            <w:r>
              <w:rPr>
                <w:b/>
                <w:color w:val="FFFFFF"/>
                <w:sz w:val="18"/>
              </w:rPr>
              <w:t>Forensic Pillar</w:t>
            </w:r>
          </w:p>
        </w:tc>
        <w:tc>
          <w:tcPr>
            <w:tcW w:type="dxa" w:w="2340"/>
            <w:shd w:val="clear" w:color="auto" w:fill="0F172A"/>
            <w:tcMar>
              <w:top w:w="100" w:type="dxa"/>
              <w:bottom w:w="100" w:type="dxa"/>
              <w:left w:w="100" w:type="dxa"/>
              <w:right w:w="100" w:type="dxa"/>
            </w:tcMar>
          </w:tcPr>
          <w:p>
            <w:pPr>
              <w:jc w:val="center"/>
            </w:pPr>
            <w:r>
              <w:rPr>
                <w:b/>
                <w:color w:val="FFFFFF"/>
                <w:sz w:val="18"/>
              </w:rPr>
              <w:t>Observed Empirical Metric</w:t>
            </w:r>
          </w:p>
        </w:tc>
        <w:tc>
          <w:tcPr>
            <w:tcW w:type="dxa" w:w="2340"/>
            <w:shd w:val="clear" w:color="auto" w:fill="0F172A"/>
            <w:tcMar>
              <w:top w:w="100" w:type="dxa"/>
              <w:bottom w:w="100" w:type="dxa"/>
              <w:left w:w="100" w:type="dxa"/>
              <w:right w:w="100" w:type="dxa"/>
            </w:tcMar>
          </w:tcPr>
          <w:p>
            <w:pPr>
              <w:jc w:val="center"/>
            </w:pPr>
            <w:r>
              <w:rPr>
                <w:b/>
                <w:color w:val="FFFFFF"/>
                <w:sz w:val="18"/>
              </w:rPr>
              <w:t>Expected Bot Signature</w:t>
            </w:r>
          </w:p>
        </w:tc>
        <w:tc>
          <w:tcPr>
            <w:tcW w:type="dxa" w:w="2340"/>
            <w:shd w:val="clear" w:color="auto" w:fill="0F172A"/>
            <w:tcMar>
              <w:top w:w="100" w:type="dxa"/>
              <w:bottom w:w="100" w:type="dxa"/>
              <w:left w:w="100" w:type="dxa"/>
              <w:right w:w="100" w:type="dxa"/>
            </w:tcMar>
          </w:tcPr>
          <w:p>
            <w:pPr>
              <w:jc w:val="center"/>
            </w:pPr>
            <w:r>
              <w:rPr>
                <w:b/>
                <w:color w:val="FFFFFF"/>
                <w:sz w:val="18"/>
              </w:rPr>
              <w:t>Forensic Verdict</w:t>
            </w:r>
          </w:p>
        </w:tc>
      </w:tr>
      <w:tr>
        <w:tc>
          <w:tcPr>
            <w:tcW w:type="dxa" w:w="2340"/>
            <w:shd w:val="clear" w:color="auto" w:fill="F8FAFC"/>
            <w:tcMar>
              <w:top w:w="60" w:type="dxa"/>
              <w:bottom w:w="60" w:type="dxa"/>
              <w:left w:w="80" w:type="dxa"/>
              <w:right w:w="80" w:type="dxa"/>
            </w:tcMar>
          </w:tcPr>
          <w:p>
            <w:pPr>
              <w:jc w:val="center"/>
            </w:pPr>
            <w:r>
              <w:rPr>
                <w:b/>
                <w:sz w:val="17"/>
              </w:rPr>
              <w:t>1. Verbatim Copypasta Rate</w:t>
            </w:r>
          </w:p>
        </w:tc>
        <w:tc>
          <w:tcPr>
            <w:tcW w:type="dxa" w:w="2340"/>
            <w:shd w:val="clear" w:color="auto" w:fill="F8FAFC"/>
            <w:tcMar>
              <w:top w:w="60" w:type="dxa"/>
              <w:bottom w:w="60" w:type="dxa"/>
              <w:left w:w="80" w:type="dxa"/>
              <w:right w:w="80" w:type="dxa"/>
            </w:tcMar>
          </w:tcPr>
          <w:p>
            <w:pPr>
              <w:jc w:val="center"/>
            </w:pPr>
            <w:r>
              <w:rPr>
                <w:sz w:val="17"/>
              </w:rPr>
              <w:t>0.00% duplicates (TTR: 0.1642)</w:t>
            </w:r>
          </w:p>
        </w:tc>
        <w:tc>
          <w:tcPr>
            <w:tcW w:type="dxa" w:w="2340"/>
            <w:shd w:val="clear" w:color="auto" w:fill="F8FAFC"/>
            <w:tcMar>
              <w:top w:w="60" w:type="dxa"/>
              <w:bottom w:w="60" w:type="dxa"/>
              <w:left w:w="80" w:type="dxa"/>
              <w:right w:w="80" w:type="dxa"/>
            </w:tcMar>
          </w:tcPr>
          <w:p>
            <w:r>
              <w:rPr>
                <w:sz w:val="17"/>
              </w:rPr>
              <w:t>High duplicate text (&gt;15%)</w:t>
            </w:r>
          </w:p>
        </w:tc>
        <w:tc>
          <w:tcPr>
            <w:tcW w:type="dxa" w:w="2340"/>
            <w:shd w:val="clear" w:color="auto" w:fill="F8FAFC"/>
            <w:tcMar>
              <w:top w:w="60" w:type="dxa"/>
              <w:bottom w:w="60" w:type="dxa"/>
              <w:left w:w="80" w:type="dxa"/>
              <w:right w:w="80" w:type="dxa"/>
            </w:tcMar>
          </w:tcPr>
          <w:p>
            <w:pPr>
              <w:jc w:val="center"/>
            </w:pPr>
            <w:r>
              <w:rPr>
                <w:b/>
                <w:sz w:val="17"/>
              </w:rPr>
              <w:t>Passed (Organic Lexical Heterogeneity)</w:t>
            </w:r>
          </w:p>
        </w:tc>
      </w:tr>
      <w:tr>
        <w:tc>
          <w:tcPr>
            <w:tcW w:type="dxa" w:w="2340"/>
            <w:shd w:val="clear" w:color="auto" w:fill="FFFFFF"/>
            <w:tcMar>
              <w:top w:w="60" w:type="dxa"/>
              <w:bottom w:w="60" w:type="dxa"/>
              <w:left w:w="80" w:type="dxa"/>
              <w:right w:w="80" w:type="dxa"/>
            </w:tcMar>
          </w:tcPr>
          <w:p>
            <w:pPr>
              <w:jc w:val="center"/>
            </w:pPr>
            <w:r>
              <w:rPr>
                <w:b/>
                <w:sz w:val="17"/>
              </w:rPr>
              <w:t>2. Participation Long-Tail</w:t>
            </w:r>
          </w:p>
        </w:tc>
        <w:tc>
          <w:tcPr>
            <w:tcW w:type="dxa" w:w="2340"/>
            <w:shd w:val="clear" w:color="auto" w:fill="FFFFFF"/>
            <w:tcMar>
              <w:top w:w="60" w:type="dxa"/>
              <w:bottom w:w="60" w:type="dxa"/>
              <w:left w:w="80" w:type="dxa"/>
              <w:right w:w="80" w:type="dxa"/>
            </w:tcMar>
          </w:tcPr>
          <w:p>
            <w:pPr>
              <w:jc w:val="center"/>
            </w:pPr>
            <w:r>
              <w:rPr>
                <w:sz w:val="17"/>
              </w:rPr>
              <w:t>87.70% single-post (Median: 1.0)</w:t>
            </w:r>
          </w:p>
        </w:tc>
        <w:tc>
          <w:tcPr>
            <w:tcW w:type="dxa" w:w="2340"/>
            <w:shd w:val="clear" w:color="auto" w:fill="FFFFFF"/>
            <w:tcMar>
              <w:top w:w="60" w:type="dxa"/>
              <w:bottom w:w="60" w:type="dxa"/>
              <w:left w:w="80" w:type="dxa"/>
              <w:right w:w="80" w:type="dxa"/>
            </w:tcMar>
          </w:tcPr>
          <w:p>
            <w:r>
              <w:rPr>
                <w:sz w:val="17"/>
              </w:rPr>
              <w:t>Centralized puppet bursts</w:t>
            </w:r>
          </w:p>
        </w:tc>
        <w:tc>
          <w:tcPr>
            <w:tcW w:type="dxa" w:w="2340"/>
            <w:shd w:val="clear" w:color="auto" w:fill="FFFFFF"/>
            <w:tcMar>
              <w:top w:w="60" w:type="dxa"/>
              <w:bottom w:w="60" w:type="dxa"/>
              <w:left w:w="80" w:type="dxa"/>
              <w:right w:w="80" w:type="dxa"/>
            </w:tcMar>
          </w:tcPr>
          <w:p>
            <w:pPr>
              <w:jc w:val="center"/>
            </w:pPr>
            <w:r>
              <w:rPr>
                <w:b/>
                <w:sz w:val="17"/>
              </w:rPr>
              <w:t>Passed (Grassroots Power-Law Distribution)</w:t>
            </w:r>
          </w:p>
        </w:tc>
      </w:tr>
      <w:tr>
        <w:tc>
          <w:tcPr>
            <w:tcW w:type="dxa" w:w="2340"/>
            <w:shd w:val="clear" w:color="auto" w:fill="F8FAFC"/>
            <w:tcMar>
              <w:top w:w="60" w:type="dxa"/>
              <w:bottom w:w="60" w:type="dxa"/>
              <w:left w:w="80" w:type="dxa"/>
              <w:right w:w="80" w:type="dxa"/>
            </w:tcMar>
          </w:tcPr>
          <w:p>
            <w:pPr>
              <w:jc w:val="center"/>
            </w:pPr>
            <w:r>
              <w:rPr>
                <w:b/>
                <w:sz w:val="17"/>
              </w:rPr>
              <w:t>3. Circadian Sleep-Wake Cycle</w:t>
            </w:r>
          </w:p>
        </w:tc>
        <w:tc>
          <w:tcPr>
            <w:tcW w:type="dxa" w:w="2340"/>
            <w:shd w:val="clear" w:color="auto" w:fill="F8FAFC"/>
            <w:tcMar>
              <w:top w:w="60" w:type="dxa"/>
              <w:bottom w:w="60" w:type="dxa"/>
              <w:left w:w="80" w:type="dxa"/>
              <w:right w:w="80" w:type="dxa"/>
            </w:tcMar>
          </w:tcPr>
          <w:p>
            <w:pPr>
              <w:jc w:val="center"/>
            </w:pPr>
            <w:r>
              <w:rPr>
                <w:sz w:val="17"/>
              </w:rPr>
              <w:t>48.67% day vs. 8.58% night (5.67x)</w:t>
            </w:r>
          </w:p>
        </w:tc>
        <w:tc>
          <w:tcPr>
            <w:tcW w:type="dxa" w:w="2340"/>
            <w:shd w:val="clear" w:color="auto" w:fill="F8FAFC"/>
            <w:tcMar>
              <w:top w:w="60" w:type="dxa"/>
              <w:bottom w:w="60" w:type="dxa"/>
              <w:left w:w="80" w:type="dxa"/>
              <w:right w:w="80" w:type="dxa"/>
            </w:tcMar>
          </w:tcPr>
          <w:p>
            <w:r>
              <w:rPr>
                <w:sz w:val="17"/>
              </w:rPr>
              <w:t>Flat 24/7 mechanical rates</w:t>
            </w:r>
          </w:p>
        </w:tc>
        <w:tc>
          <w:tcPr>
            <w:tcW w:type="dxa" w:w="2340"/>
            <w:shd w:val="clear" w:color="auto" w:fill="F8FAFC"/>
            <w:tcMar>
              <w:top w:w="60" w:type="dxa"/>
              <w:bottom w:w="60" w:type="dxa"/>
              <w:left w:w="80" w:type="dxa"/>
              <w:right w:w="80" w:type="dxa"/>
            </w:tcMar>
          </w:tcPr>
          <w:p>
            <w:pPr>
              <w:jc w:val="center"/>
            </w:pPr>
            <w:r>
              <w:rPr>
                <w:b/>
                <w:sz w:val="17"/>
              </w:rPr>
              <w:t>Passed (Human Physiological Diurnal Cycle)</w:t>
            </w:r>
          </w:p>
        </w:tc>
      </w:tr>
      <w:tr>
        <w:tc>
          <w:tcPr>
            <w:tcW w:type="dxa" w:w="2340"/>
            <w:shd w:val="clear" w:color="auto" w:fill="FFFFFF"/>
            <w:tcMar>
              <w:top w:w="60" w:type="dxa"/>
              <w:bottom w:w="60" w:type="dxa"/>
              <w:left w:w="80" w:type="dxa"/>
              <w:right w:w="80" w:type="dxa"/>
            </w:tcMar>
          </w:tcPr>
          <w:p>
            <w:pPr>
              <w:jc w:val="center"/>
            </w:pPr>
            <w:r>
              <w:rPr>
                <w:b/>
                <w:sz w:val="17"/>
              </w:rPr>
              <w:t>4. Network Reciprocity</w:t>
            </w:r>
          </w:p>
        </w:tc>
        <w:tc>
          <w:tcPr>
            <w:tcW w:type="dxa" w:w="2340"/>
            <w:shd w:val="clear" w:color="auto" w:fill="FFFFFF"/>
            <w:tcMar>
              <w:top w:w="60" w:type="dxa"/>
              <w:bottom w:w="60" w:type="dxa"/>
              <w:left w:w="80" w:type="dxa"/>
              <w:right w:w="80" w:type="dxa"/>
            </w:tcMar>
          </w:tcPr>
          <w:p>
            <w:pPr>
              <w:jc w:val="center"/>
            </w:pPr>
            <w:r>
              <w:rPr>
                <w:sz w:val="17"/>
              </w:rPr>
              <w:t>r = 1.21%, Q = 0.9837</w:t>
            </w:r>
          </w:p>
        </w:tc>
        <w:tc>
          <w:tcPr>
            <w:tcW w:type="dxa" w:w="2340"/>
            <w:shd w:val="clear" w:color="auto" w:fill="FFFFFF"/>
            <w:tcMar>
              <w:top w:w="60" w:type="dxa"/>
              <w:bottom w:w="60" w:type="dxa"/>
              <w:left w:w="80" w:type="dxa"/>
              <w:right w:w="80" w:type="dxa"/>
            </w:tcMar>
          </w:tcPr>
          <w:p>
            <w:r>
              <w:rPr>
                <w:sz w:val="17"/>
              </w:rPr>
              <w:t>Dense reciprocal rings (r &gt; 20%)</w:t>
            </w:r>
          </w:p>
        </w:tc>
        <w:tc>
          <w:tcPr>
            <w:tcW w:type="dxa" w:w="2340"/>
            <w:shd w:val="clear" w:color="auto" w:fill="FFFFFF"/>
            <w:tcMar>
              <w:top w:w="60" w:type="dxa"/>
              <w:bottom w:w="60" w:type="dxa"/>
              <w:left w:w="80" w:type="dxa"/>
              <w:right w:w="80" w:type="dxa"/>
            </w:tcMar>
          </w:tcPr>
          <w:p>
            <w:pPr>
              <w:jc w:val="center"/>
            </w:pPr>
            <w:r>
              <w:rPr>
                <w:b/>
                <w:sz w:val="17"/>
              </w:rPr>
              <w:t>Passed (Sparse Decentralized Topology)</w:t>
            </w:r>
          </w:p>
        </w:tc>
      </w:tr>
      <w:tr>
        <w:tc>
          <w:tcPr>
            <w:tcW w:type="dxa" w:w="2340"/>
            <w:shd w:val="clear" w:color="auto" w:fill="F8FAFC"/>
            <w:tcMar>
              <w:top w:w="60" w:type="dxa"/>
              <w:bottom w:w="60" w:type="dxa"/>
              <w:left w:w="80" w:type="dxa"/>
              <w:right w:w="80" w:type="dxa"/>
            </w:tcMar>
          </w:tcPr>
          <w:p>
            <w:pPr>
              <w:jc w:val="center"/>
            </w:pPr>
            <w:r>
              <w:rPr>
                <w:b/>
                <w:sz w:val="17"/>
              </w:rPr>
              <w:t>5. Machine Agent Profiling</w:t>
            </w:r>
          </w:p>
        </w:tc>
        <w:tc>
          <w:tcPr>
            <w:tcW w:type="dxa" w:w="2340"/>
            <w:shd w:val="clear" w:color="auto" w:fill="F8FAFC"/>
            <w:tcMar>
              <w:top w:w="60" w:type="dxa"/>
              <w:bottom w:w="60" w:type="dxa"/>
              <w:left w:w="80" w:type="dxa"/>
              <w:right w:w="80" w:type="dxa"/>
            </w:tcMar>
          </w:tcPr>
          <w:p>
            <w:pPr>
              <w:jc w:val="center"/>
            </w:pPr>
            <w:r>
              <w:rPr>
                <w:sz w:val="17"/>
              </w:rPr>
              <w:t>@grok sole AI (0.60% volume)</w:t>
            </w:r>
          </w:p>
        </w:tc>
        <w:tc>
          <w:tcPr>
            <w:tcW w:type="dxa" w:w="2340"/>
            <w:shd w:val="clear" w:color="auto" w:fill="F8FAFC"/>
            <w:tcMar>
              <w:top w:w="60" w:type="dxa"/>
              <w:bottom w:w="60" w:type="dxa"/>
              <w:left w:w="80" w:type="dxa"/>
              <w:right w:w="80" w:type="dxa"/>
            </w:tcMar>
          </w:tcPr>
          <w:p>
            <w:r>
              <w:rPr>
                <w:sz w:val="17"/>
              </w:rPr>
              <w:t>Covert political sockpuppet rings</w:t>
            </w:r>
          </w:p>
        </w:tc>
        <w:tc>
          <w:tcPr>
            <w:tcW w:type="dxa" w:w="2340"/>
            <w:shd w:val="clear" w:color="auto" w:fill="F8FAFC"/>
            <w:tcMar>
              <w:top w:w="60" w:type="dxa"/>
              <w:bottom w:w="60" w:type="dxa"/>
              <w:left w:w="80" w:type="dxa"/>
              <w:right w:w="80" w:type="dxa"/>
            </w:tcMar>
          </w:tcPr>
          <w:p>
            <w:pPr>
              <w:jc w:val="center"/>
            </w:pPr>
            <w:r>
              <w:rPr>
                <w:b/>
                <w:sz w:val="17"/>
              </w:rPr>
              <w:t>Passed (Transparent Platform AI Utility)</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