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both"/>
      </w:pPr>
      <w:r>
        <w:rPr>
          <w:rFonts w:ascii="Times New Roman" w:hAnsi="Times New Roman" w:eastAsia="Times New Roman"/>
          <w:b/>
          <w:color w:val="002060"/>
          <w:sz w:val="24"/>
        </w:rPr>
        <w:t>Mapping the 'Phygital Gap' in Public Policy Crisis: A Tri-Layer Computational Communication Study of Indonesia's Free Nutritious Meal (MBG) Program on Platform X</w:t>
      </w:r>
    </w:p>
    <w:p>
      <w:pPr>
        <w:pStyle w:val="Heading1"/>
        <w:spacing w:before="0" w:after="0" w:line="480" w:lineRule="auto"/>
        <w:jc w:val="left"/>
      </w:pPr>
      <w:r>
        <w:rPr>
          <w:rFonts w:ascii="Times New Roman" w:hAnsi="Times New Roman" w:eastAsia="Times New Roman"/>
          <w:b/>
          <w:sz w:val="24"/>
        </w:rPr>
        <w:t>ABSTRACT</w:t>
      </w:r>
    </w:p>
    <w:p>
      <w:pPr>
        <w:spacing w:line="480" w:lineRule="auto" w:after="0" w:before="0"/>
        <w:jc w:val="both"/>
      </w:pPr>
      <w:r>
        <w:t>This study examines public discourse surrounding Indonesia’s Free Nutritious Meal (MBG) program on Platform X through a tri-layer computational communication framework. The study integrates granular emotion classification, pragmatic sarcasm validation, directed social network analysis, and aspect-based sentiment analysis to examine affective, structural, and policy dimensions of the observed discourse. The corpus comprised 5,310 raw posts, with 5,263 retained after preprocessing and quality control. A fine-tuned IndoBERT model classified Plutchik-derived emotion categories. Sarcasm was examined in a dedicated corpus of 3,395 posts using lexical contradiction and text-emoji incongruence indicators. The directed interaction network contained 971 nodes and 666 unique edges from 692 raw interactions; Louvain community detection identified 332 communities, with a modularity value of 0.9837. Aspect-based analysis covered logistics and distribution, budget and vendor allocation, and food nutritional quality. Model evaluation on an independent, zero-leakage group-aware test set ($n = 1,058$) produced an overall accuracy of 79.40%, a macro-averaged F1 of 0.5160, and a weighted F1 of 0.7851, outperforming competitive linear baselines (TF-IDF with Logistic Regression: accuracy 69.47%, macro F1 0.3429; TF-IDF with Linear SVM: accuracy 67.20%, macro F1 0.4095). Analysis demonstrates that extreme public affective skewness toward disgust (56.24%) and severe fragmentation in public-policy communication mirror acute operational breakdowns across physical service touchpoints. The study contributes an integrated computational approach connecting affective expression, network topology, paralinguistic sarcasm, and operational policy themes in digital public-policy discourse.</w:t>
      </w:r>
    </w:p>
    <w:p>
      <w:pPr>
        <w:spacing w:line="480" w:lineRule="auto" w:after="0" w:before="0"/>
        <w:jc w:val="both"/>
      </w:pPr>
      <w:r>
        <w:t>Keywords: Makan Bergizi Gratis; Platform X; IndoBERT; Social Network Analysis; Phygital Gap</w:t>
      </w:r>
    </w:p>
    <w:p>
      <w:pPr>
        <w:pStyle w:val="Heading1"/>
        <w:spacing w:before="0" w:after="0" w:line="480" w:lineRule="auto"/>
        <w:jc w:val="left"/>
      </w:pPr>
      <w:r>
        <w:rPr>
          <w:rFonts w:ascii="Times New Roman" w:hAnsi="Times New Roman" w:eastAsia="Times New Roman"/>
          <w:b/>
          <w:sz w:val="24"/>
        </w:rPr>
        <w:t>1. INTRODUCTION</w:t>
      </w:r>
    </w:p>
    <w:p>
      <w:pPr>
        <w:spacing w:line="480" w:lineRule="auto" w:after="0" w:before="0"/>
        <w:jc w:val="both"/>
      </w:pPr>
      <w:r>
        <w:rPr>
          <w:rFonts w:ascii="Times New Roman" w:hAnsi="Times New Roman" w:eastAsia="Times New Roman"/>
          <w:sz w:val="24"/>
        </w:rPr>
        <w:t>The digital transformation of society has substantially altered how public policies are scrutinized, contested, and evaluated by citizens. In contemporary networked democracies, the state no longer holds a monopoly over the narrative of its policies; instead, policies are continuously subjected to real-time, decentralized peer-review by millions of netizens across digital platforms (Boyd &amp; Crawford, 2012; Schultz et al., 2011). This structural shift has created a volatile digital arena where public perception can oscillate from enthusiastic anticipation to intense collective outrage within hours of a policy's physical rollout.</w:t>
      </w:r>
    </w:p>
    <w:p>
      <w:pPr>
        <w:spacing w:line="480" w:lineRule="auto" w:after="0" w:before="0"/>
        <w:jc w:val="both"/>
      </w:pPr>
      <w:r>
        <w:rPr>
          <w:rFonts w:ascii="Times New Roman" w:hAnsi="Times New Roman" w:eastAsia="Times New Roman"/>
          <w:sz w:val="24"/>
        </w:rPr>
        <w:t>A prime empirical manifestation of this dynamic occurred during the rollout of the Indonesian government's Free Nutritious Meal (Makan Bergizi Gratis / MBG) program in early 2026. Initially championed as a flagship socio-economic intervention to eradicate childhood stunting with a projected fiscal allocation exceeding hundreds of trillions of rupiah, the program encountered severe operational crises upon physical implementation. Reports of substandard food quality, spoiled milk, logistical bottlenecks, and mass food poisoning across pilot schools triggered an explosive crisis of public trust. While government agencies disseminated optimistic digital narratives emphasizing dietary standards and macro-economic multipliers, citizens countered by flooding digital spaces with photographic and textual evidence of physical meal deficiencies.</w:t>
      </w:r>
    </w:p>
    <w:p>
      <w:pPr>
        <w:spacing w:line="480" w:lineRule="auto" w:after="0" w:before="0"/>
        <w:jc w:val="both"/>
      </w:pPr>
      <w:r>
        <w:rPr>
          <w:rFonts w:ascii="Times New Roman" w:hAnsi="Times New Roman" w:eastAsia="Times New Roman"/>
          <w:sz w:val="24"/>
        </w:rPr>
        <w:t>Social media platforms—most notably Platform X (formerly Twitter)—served as the primary arena for this discourse. In Indonesia, Platform X functions as an elite-public hybrid forum where political agenda-setting, journalistic investigation, and organic civic dissent converge. However, analyzing public sentiment on X presents profound linguistic challenges. Indonesian netizens frequently circumvent direct censorship or social stigma by masking dissent behind layers of humor, dark irony, and sarcasm (Camp, 2012). Superficial praise (e.g., 'Menunya sangat mewah dan bergizi') is routinely subverted through contextual contradictions and derisive emojis (🤡, 🤮, 🗿). Traditional sentiment analysis models that classify text merely as 'positive' or 'negative' may misinterpret such sarcastic praise as genuine government support, potentially affecting the accuracy of public-policy assessments.</w:t>
      </w:r>
    </w:p>
    <w:p>
      <w:pPr>
        <w:pStyle w:val="Heading2"/>
        <w:spacing w:before="0" w:after="0" w:line="480" w:lineRule="auto"/>
        <w:jc w:val="left"/>
      </w:pPr>
      <w:r>
        <w:rPr>
          <w:rFonts w:ascii="Times New Roman" w:hAnsi="Times New Roman" w:eastAsia="Times New Roman"/>
          <w:b/>
          <w:sz w:val="24"/>
        </w:rPr>
        <w:t>1.1 The Epistemological Problem and Scopus Q1 Research Gaps</w:t>
      </w:r>
    </w:p>
    <w:p>
      <w:pPr>
        <w:spacing w:line="480" w:lineRule="auto" w:after="0" w:before="0"/>
        <w:jc w:val="both"/>
      </w:pPr>
      <w:r>
        <w:rPr>
          <w:rFonts w:ascii="Times New Roman" w:hAnsi="Times New Roman" w:eastAsia="Times New Roman"/>
          <w:sz w:val="24"/>
        </w:rPr>
        <w:t>While digital policy evaluation has proliferated across computational social science, contemporary scholarship remains constrained by four fundamental theoretical, methodological, and empirical limitations:</w:t>
      </w:r>
    </w:p>
    <w:p>
      <w:pPr>
        <w:spacing w:line="480" w:lineRule="auto" w:after="0" w:before="0"/>
        <w:jc w:val="both"/>
      </w:pPr>
      <w:r>
        <w:rPr>
          <w:rFonts w:ascii="Times New Roman" w:hAnsi="Times New Roman" w:eastAsia="Times New Roman"/>
          <w:sz w:val="24"/>
        </w:rPr>
        <w:t>1. The Theoretical Domain Gap (From Commercial Marketing to State Legitimacy Crisis):</w:t>
      </w:r>
    </w:p>
    <w:p>
      <w:pPr>
        <w:spacing w:line="480" w:lineRule="auto" w:after="0" w:before="0"/>
        <w:jc w:val="both"/>
      </w:pPr>
      <w:r>
        <w:rPr>
          <w:rFonts w:ascii="Times New Roman" w:hAnsi="Times New Roman" w:eastAsia="Times New Roman"/>
          <w:sz w:val="24"/>
        </w:rPr>
        <w:t>The conceptualization of the Phygital Gap (Kotler, Kartajaya, &amp; Setiawan, 2023) originated strictly within commercial marketing and consumer experience management, explaining how broken omni-channel promises drive consumer brand-switching. However, political communication and public administration scholarship has overwhelmingly failed to translate this paradigm to state-sponsored welfare megaprojects. In public governance, broken sensory promises—such as state-disseminated digital utopias colliding with rancid physical meals—do not merely diminish brand loyalty; they inflict severe trauma on political trust (political trust erosion, Levi &amp; Stoker, 2000), paralyze institutional legitimacy, and dismantle the conditions for deliberative democratic consensus (Habermas, 1989, 2006; Coombs, 2007).</w:t>
      </w:r>
    </w:p>
    <w:p>
      <w:pPr>
        <w:spacing w:line="480" w:lineRule="auto" w:after="0" w:before="0"/>
        <w:jc w:val="both"/>
      </w:pPr>
      <w:r>
        <w:rPr>
          <w:rFonts w:ascii="Times New Roman" w:hAnsi="Times New Roman" w:eastAsia="Times New Roman"/>
          <w:sz w:val="24"/>
        </w:rPr>
        <w:t>2. The Methodological Silo Gap (Tri-Layer Synthesis vs. Disconnected Strands):</w:t>
      </w:r>
    </w:p>
    <w:p>
      <w:pPr>
        <w:spacing w:line="480" w:lineRule="auto" w:after="0" w:before="0"/>
        <w:jc w:val="both"/>
      </w:pPr>
      <w:r>
        <w:rPr>
          <w:rFonts w:ascii="Times New Roman" w:hAnsi="Times New Roman" w:eastAsia="Times New Roman"/>
          <w:sz w:val="24"/>
        </w:rPr>
        <w:t>Current computational scholarship remains deeply polarized into two disconnected silos: (a) natural language processing studies that treat digital texts as atomized, independent semantic units while completely ignoring structural power, social influence, and network topography (Chiorrini et al., 2021; Riza &amp; Charibaldi, 2021); and (b) social network analyses that map mathematical graph topographies while reducing human actors to 'emotionless nodes' devoid of semantic context (Suaib &amp; Pratiwi, 2025; Sulafasyah, 2026). A severe gap persists in developing an integrated tri-layer computational architecture capable of simultaneously answering: What visceral affects animate public discourse? How do these affects distribute across operational policy pillars? And what topological structures govern their institutional diffusion?</w:t>
      </w:r>
    </w:p>
    <w:p>
      <w:pPr>
        <w:spacing w:line="480" w:lineRule="auto" w:after="0" w:before="0"/>
        <w:jc w:val="both"/>
      </w:pPr>
      <w:r>
        <w:rPr>
          <w:rFonts w:ascii="Times New Roman" w:hAnsi="Times New Roman" w:eastAsia="Times New Roman"/>
          <w:sz w:val="24"/>
        </w:rPr>
        <w:t>3. The Pragmatic Subversion Gap (Digital Sarcasm vs. Classical NLP Fallacy):</w:t>
      </w:r>
    </w:p>
    <w:p>
      <w:pPr>
        <w:spacing w:line="480" w:lineRule="auto" w:after="0" w:before="0"/>
        <w:jc w:val="both"/>
      </w:pPr>
      <w:r>
        <w:rPr>
          <w:rFonts w:ascii="Times New Roman" w:hAnsi="Times New Roman" w:eastAsia="Times New Roman"/>
          <w:sz w:val="24"/>
        </w:rPr>
        <w:t>Classical sentiment analysis tools (e.g., lexicon-based VADER, Naïve Bayes, SVM, and generic multilingual BERT) suffer from catastrophic false-positive biases when deployed on political discourse in the Global South. Citizens routinely circumvent direct state surveillance or social reprisal through pragmatic pretense (Clark &amp; Gerrig, 1984; Grice, 1975), cloaking fierce contempt behind hyperbolic compliments (e.g., 'Menu hari ini sangat mewah'). By failing to model the semiotic incongruence between superficial praise text and visceral emojis (🤡, 🤮), existing NLP pipelines routinely misclassify scathing irony as pro-government praise (Camp, 2012), generating fatally flawed policy intelligence.</w:t>
      </w:r>
    </w:p>
    <w:p>
      <w:pPr>
        <w:spacing w:line="480" w:lineRule="auto" w:after="0" w:before="0"/>
        <w:jc w:val="both"/>
      </w:pPr>
      <w:r>
        <w:rPr>
          <w:rFonts w:ascii="Times New Roman" w:hAnsi="Times New Roman" w:eastAsia="Times New Roman"/>
          <w:sz w:val="24"/>
        </w:rPr>
        <w:t>4. The Emergent Algorithmic Governance Gap (The 'Algorithmic Oracle' vs. Institutional Silence):</w:t>
      </w:r>
    </w:p>
    <w:p>
      <w:pPr>
        <w:spacing w:line="480" w:lineRule="auto" w:after="0" w:before="0"/>
        <w:jc w:val="both"/>
      </w:pPr>
      <w:r>
        <w:rPr>
          <w:rFonts w:ascii="Times New Roman" w:hAnsi="Times New Roman" w:eastAsia="Times New Roman"/>
          <w:sz w:val="24"/>
        </w:rPr>
        <w:t>Conventional crisis communication theories (e.g., Situational Crisis Communication Theory / SCCT, Coombs, 2007; Schultz et al., 2011) presuppose a dyadic interaction between institutional authorities and affected citizens. However, contemporary networked public spheres have witnessed the emergence of autonomous generative artificial intelligence agents acting directly within the communication topology. The observed network provides an empirical basis for examining whether limited institutional outbound interaction ($C_{\text{out}} = 0$) is associated with users seeking information from AI conversational agents such as @grok ($C_{\text{out}} = 42$) as decentralized, third-party sources of policy-related information.</w:t>
      </w:r>
    </w:p>
    <w:p>
      <w:pPr>
        <w:pStyle w:val="Heading2"/>
        <w:spacing w:before="0" w:after="0" w:line="480" w:lineRule="auto"/>
        <w:jc w:val="left"/>
      </w:pPr>
      <w:r>
        <w:rPr>
          <w:rFonts w:ascii="Times New Roman" w:hAnsi="Times New Roman" w:eastAsia="Times New Roman"/>
          <w:b/>
          <w:sz w:val="24"/>
        </w:rPr>
        <w:t>1.2 Theoretical, Methodological, and Empirical Novelty Statement</w:t>
      </w:r>
    </w:p>
    <w:p>
      <w:pPr>
        <w:spacing w:line="480" w:lineRule="auto" w:after="0" w:before="0"/>
        <w:jc w:val="both"/>
      </w:pPr>
      <w:r>
        <w:rPr>
          <w:rFonts w:ascii="Times New Roman" w:hAnsi="Times New Roman" w:eastAsia="Times New Roman"/>
          <w:sz w:val="24"/>
        </w:rPr>
        <w:t>To bridge these four critical gaps, this study presents a tri-layer computational communication framework that provides three contributions to the computational communication literature:</w:t>
      </w:r>
    </w:p>
    <w:p>
      <w:pPr>
        <w:pStyle w:val="ListBullet"/>
        <w:spacing w:line="480" w:lineRule="auto" w:after="0" w:before="0"/>
        <w:jc w:val="both"/>
      </w:pPr>
      <w:r>
        <w:rPr>
          <w:rFonts w:ascii="Times New Roman" w:hAnsi="Times New Roman" w:eastAsia="Times New Roman"/>
          <w:sz w:val="24"/>
        </w:rPr>
        <w:t>Theoretical Contribution: We integrate of Kotler's Phygital Gap (Marketing 6.0) with Coombs' Situational Crisis Communication Theory (SCCT) and Habermasian public sphere critique, developing a conceptual framework for examining how physical execution decouplings catalyze visceral disgust and democratic delegitimation.</w:t>
      </w:r>
    </w:p>
    <w:p>
      <w:pPr>
        <w:pStyle w:val="ListBullet"/>
        <w:spacing w:line="480" w:lineRule="auto" w:after="0" w:before="0"/>
        <w:jc w:val="both"/>
      </w:pPr>
      <w:r>
        <w:rPr>
          <w:rFonts w:ascii="Times New Roman" w:hAnsi="Times New Roman" w:eastAsia="Times New Roman"/>
          <w:sz w:val="24"/>
        </w:rPr>
        <w:t>Methodological Contribution: We engineer an end-to-end, reproducible computational pipeline coupling macro-topological graph science (directed NetworkX and Louvain community modularity, $Q = 0.9837$), meso-thematic decomposition (3-pillar Aspect-Based Sentiment Analysis), and micro-affective deep learning (a fine-tuned Indonesian bidirectional transformer, indobert-base-p2, for 9 Plutchik-derived emotions and text-emoji semiotic incongruence).</w:t>
      </w:r>
    </w:p>
    <w:p>
      <w:pPr>
        <w:pStyle w:val="ListBullet"/>
        <w:spacing w:line="480" w:lineRule="auto" w:after="0" w:before="0"/>
        <w:jc w:val="both"/>
      </w:pPr>
      <w:r>
        <w:rPr>
          <w:rFonts w:ascii="Times New Roman" w:hAnsi="Times New Roman" w:eastAsia="Times New Roman"/>
          <w:sz w:val="24"/>
        </w:rPr>
        <w:t>Empirical &amp; Phenomenological Contribution: We document an observed pattern of the 'Algorithmic Oracle' phenomenon in public policy crisis—examining how, when institutional accounts show limited interaction in a hyper-fragmented network (332 isolated clusters), users may seek information or interpretive assistance from AI-mediated accounts.</w:t>
      </w:r>
    </w:p>
    <w:p>
      <w:pPr>
        <w:pStyle w:val="Heading2"/>
        <w:spacing w:before="0" w:after="0" w:line="480" w:lineRule="auto"/>
        <w:jc w:val="left"/>
      </w:pPr>
      <w:r>
        <w:rPr>
          <w:rFonts w:ascii="Times New Roman" w:hAnsi="Times New Roman" w:eastAsia="Times New Roman"/>
          <w:b/>
          <w:sz w:val="24"/>
        </w:rPr>
        <w:t>1.3 Research Questions</w:t>
      </w:r>
    </w:p>
    <w:p>
      <w:pPr>
        <w:spacing w:line="480" w:lineRule="auto" w:after="0" w:before="0"/>
        <w:jc w:val="both"/>
      </w:pPr>
      <w:r>
        <w:rPr>
          <w:rFonts w:ascii="Times New Roman" w:hAnsi="Times New Roman" w:eastAsia="Times New Roman"/>
          <w:sz w:val="24"/>
        </w:rPr>
        <w:t>This investigation is guided by six hierarchical research questions (RQs):</w:t>
      </w:r>
    </w:p>
    <w:p>
      <w:pPr>
        <w:pStyle w:val="ListBullet"/>
        <w:spacing w:line="480" w:lineRule="auto" w:after="0" w:before="0"/>
        <w:jc w:val="both"/>
      </w:pPr>
      <w:r>
        <w:rPr>
          <w:rFonts w:ascii="Times New Roman" w:hAnsi="Times New Roman" w:eastAsia="Times New Roman"/>
          <w:sz w:val="24"/>
        </w:rPr>
        <w:t>RQ1: How are public granular emotions distributed in the MBG discourse on Platform X when evaluated using a fine-tuned 9-class IndoBERT transformer?</w:t>
      </w:r>
    </w:p>
    <w:p>
      <w:pPr>
        <w:pStyle w:val="ListBullet"/>
        <w:spacing w:line="480" w:lineRule="auto" w:after="0" w:before="0"/>
        <w:jc w:val="both"/>
      </w:pPr>
      <w:r>
        <w:rPr>
          <w:rFonts w:ascii="Times New Roman" w:hAnsi="Times New Roman" w:eastAsia="Times New Roman"/>
          <w:sz w:val="24"/>
        </w:rPr>
        <w:t>RQ2: How does digital sarcasm manifest pragmatically through lexical oppositions and emoji semiotic subversions in public critique?</w:t>
      </w:r>
    </w:p>
    <w:p>
      <w:pPr>
        <w:pStyle w:val="ListBullet"/>
        <w:spacing w:line="480" w:lineRule="auto" w:after="0" w:before="0"/>
        <w:jc w:val="both"/>
      </w:pPr>
      <w:r>
        <w:rPr>
          <w:rFonts w:ascii="Times New Roman" w:hAnsi="Times New Roman" w:eastAsia="Times New Roman"/>
          <w:sz w:val="24"/>
        </w:rPr>
        <w:t>RQ3: What is the macro-topological structure of the interaction network, and does discourse polarize into binary camps or fracture into hyper-fragmented echo chambers?</w:t>
      </w:r>
    </w:p>
    <w:p>
      <w:pPr>
        <w:pStyle w:val="ListBullet"/>
        <w:spacing w:line="480" w:lineRule="auto" w:after="0" w:before="0"/>
        <w:jc w:val="both"/>
      </w:pPr>
      <w:r>
        <w:rPr>
          <w:rFonts w:ascii="Times New Roman" w:hAnsi="Times New Roman" w:eastAsia="Times New Roman"/>
          <w:sz w:val="24"/>
        </w:rPr>
        <w:t>RQ4: Which actors occupy dominant structural centrality, and does an influence asymmetry exist between institutional policy authorities and alternative epistemic actors?</w:t>
      </w:r>
    </w:p>
    <w:p>
      <w:pPr>
        <w:pStyle w:val="ListBullet"/>
        <w:spacing w:line="480" w:lineRule="auto" w:after="0" w:before="0"/>
        <w:jc w:val="both"/>
      </w:pPr>
      <w:r>
        <w:rPr>
          <w:rFonts w:ascii="Times New Roman" w:hAnsi="Times New Roman" w:eastAsia="Times New Roman"/>
          <w:sz w:val="24"/>
        </w:rPr>
        <w:t>RQ5: How does the fine-tuned IndoBERT model perform across imbalanced social media classes, and what linguistic factors govern classification boundaries?</w:t>
      </w:r>
    </w:p>
    <w:p>
      <w:pPr>
        <w:pStyle w:val="ListBullet"/>
        <w:spacing w:line="480" w:lineRule="auto" w:after="0" w:before="0"/>
        <w:jc w:val="both"/>
      </w:pPr>
      <w:r>
        <w:rPr>
          <w:rFonts w:ascii="Times New Roman" w:hAnsi="Times New Roman" w:eastAsia="Times New Roman"/>
          <w:sz w:val="24"/>
        </w:rPr>
        <w:t>RQ6: How does aspect-based affective distribution across logistics, budgeting, and food nutrition empirically substantiate the Phygital Gap thesis?</w:t>
      </w:r>
    </w:p>
    <w:p>
      <w:pPr>
        <w:pStyle w:val="Heading1"/>
        <w:spacing w:before="0" w:after="0" w:line="480" w:lineRule="auto"/>
        <w:jc w:val="left"/>
      </w:pPr>
      <w:r>
        <w:rPr>
          <w:rFonts w:ascii="Times New Roman" w:hAnsi="Times New Roman" w:eastAsia="Times New Roman"/>
          <w:b/>
          <w:sz w:val="24"/>
        </w:rPr>
        <w:t>2. THEORETICAL FRAMEWORK AND LITERATURE REVIEW</w:t>
      </w:r>
    </w:p>
    <w:p>
      <w:pPr>
        <w:pStyle w:val="Heading2"/>
        <w:spacing w:before="0" w:after="0" w:line="480" w:lineRule="auto"/>
        <w:jc w:val="left"/>
      </w:pPr>
      <w:r>
        <w:rPr>
          <w:rFonts w:ascii="Times New Roman" w:hAnsi="Times New Roman" w:eastAsia="Times New Roman"/>
          <w:b/>
          <w:sz w:val="24"/>
        </w:rPr>
        <w:t>2.1 Situational Crisis Communication Theory (SCCT) and Networked Crises</w:t>
      </w:r>
    </w:p>
    <w:p>
      <w:pPr>
        <w:spacing w:line="480" w:lineRule="auto" w:after="0" w:before="0"/>
        <w:jc w:val="both"/>
      </w:pPr>
      <w:r>
        <w:rPr>
          <w:rFonts w:ascii="Times New Roman" w:hAnsi="Times New Roman" w:eastAsia="Times New Roman"/>
          <w:sz w:val="24"/>
        </w:rPr>
        <w:t>Timothy Coombs' (2007) Situational Crisis Communication Theory (SCCT) posits that organizations must match their crisis response strategies (deny, diminish, rebuild) to the level of crisis responsibility attributed by stakeholders. In networked environments, however, Schultz, Utz, and Göritz (2011) demonstrated that the medium fundamentally alters crisis perception. Unlike broadcast media, social media facilitates 'networked crises' where secondary crisis communication (user-to-user dissemination) far outpaces primary organizational releases. When a policy failure involves physical harm (such as child food poisoning), attributed organizational responsibility peaks, triggering visceral emotional reactions.</w:t>
      </w:r>
    </w:p>
    <w:p>
      <w:pPr>
        <w:pStyle w:val="Heading2"/>
        <w:spacing w:before="0" w:after="0" w:line="480" w:lineRule="auto"/>
        <w:jc w:val="left"/>
      </w:pPr>
      <w:r>
        <w:rPr>
          <w:rFonts w:ascii="Times New Roman" w:hAnsi="Times New Roman" w:eastAsia="Times New Roman"/>
          <w:b/>
          <w:sz w:val="24"/>
        </w:rPr>
        <w:t>2.2 The Structural Transformation of the Digital Public Sphere</w:t>
      </w:r>
    </w:p>
    <w:p>
      <w:pPr>
        <w:spacing w:line="480" w:lineRule="auto" w:after="0" w:before="0"/>
        <w:jc w:val="both"/>
      </w:pPr>
      <w:r>
        <w:rPr>
          <w:rFonts w:ascii="Times New Roman" w:hAnsi="Times New Roman" w:eastAsia="Times New Roman"/>
          <w:sz w:val="24"/>
        </w:rPr>
        <w:t>Jürgen Habermas' (1989, 2006) concept of the public sphere envisions an institutional space where citizens engage in rational-critical deliberation to form public opinion. However, in algorithmic platforms, affordances prioritize emotional virality over rational consensus (Boyd &amp; Crawford, 2012; Papacharissi, 2015). Instead of a unified deliberative forum, digital networks frequently devolve into fragmented enclaves or 'echo chambers' (Pariser, 2011; Sunstein, 2017). Graph modularity metrics ($Q$) provide a formal mathematical lens to test Habermas' thesis: low modularity ($Q &lt; 0.4$) with high reciprocity suggests healthy cross-cutting debate, whereas extreme modularity ($Q &gt; 0.8$) signifies a total breakdown of deliberative exchange.</w:t>
      </w:r>
    </w:p>
    <w:p>
      <w:pPr>
        <w:pStyle w:val="Heading2"/>
        <w:spacing w:before="0" w:after="0" w:line="480" w:lineRule="auto"/>
        <w:jc w:val="left"/>
      </w:pPr>
      <w:r>
        <w:rPr>
          <w:rFonts w:ascii="Times New Roman" w:hAnsi="Times New Roman" w:eastAsia="Times New Roman"/>
          <w:b/>
          <w:sz w:val="24"/>
        </w:rPr>
        <w:t>2.3 Pretense Theory and Semiotic Subversion in Sarcasm</w:t>
      </w:r>
    </w:p>
    <w:p>
      <w:pPr>
        <w:spacing w:line="480" w:lineRule="auto" w:after="0" w:before="0"/>
        <w:jc w:val="both"/>
      </w:pPr>
      <w:r>
        <w:rPr>
          <w:rFonts w:ascii="Times New Roman" w:hAnsi="Times New Roman" w:eastAsia="Times New Roman"/>
          <w:sz w:val="24"/>
        </w:rPr>
        <w:t>Sarcasm in digital communication cannot be deciphered through literal semantic decoding. According to Clark and Gerrig's (1984) Pretense Theory of irony (rooted in Gricean conversational maxims, Grice, 1975), a speaker using sarcasm pretends to take on a persona expressing admiration, while intending the audience to recognize the pretense and share contempt for the object of evaluation. In digital spaces, Elizabeth Camp (2012) highlights that sarcastic pretense is achieved through incongruous cue-pairing: pairing formal praise adjectives with mocking emojis (🤡, 🤮, 🗿). Emojis act as illocutionary force indicators that invert propositional valence.</w:t>
      </w:r>
    </w:p>
    <w:p>
      <w:pPr>
        <w:pStyle w:val="Heading2"/>
        <w:spacing w:before="0" w:after="0" w:line="480" w:lineRule="auto"/>
        <w:jc w:val="left"/>
      </w:pPr>
      <w:r>
        <w:rPr>
          <w:rFonts w:ascii="Times New Roman" w:hAnsi="Times New Roman" w:eastAsia="Times New Roman"/>
          <w:b/>
          <w:sz w:val="24"/>
        </w:rPr>
        <w:t>2.4 Marketing 6.0 and the 'Phygital Gap' in Public Governance</w:t>
      </w:r>
    </w:p>
    <w:p>
      <w:pPr>
        <w:spacing w:line="480" w:lineRule="auto" w:after="0" w:before="0"/>
        <w:jc w:val="both"/>
      </w:pPr>
      <w:r>
        <w:rPr>
          <w:rFonts w:ascii="Times New Roman" w:hAnsi="Times New Roman" w:eastAsia="Times New Roman"/>
          <w:sz w:val="24"/>
        </w:rPr>
        <w:t>Philip Kotler, Hermawan Kartajaya, and Iwan Setiawan (2023) introduced Marketing 6.0 to define the imperative of delivering seamless phygital (physical-digital) customer experiences through sensory immersion. While formulated for commercial marketing, this study argues that the Phygital Gap possesses immense explanatory power for state governance. When government social media accounts portray a program through pristine, high-resolution digital media (digital perfection), but citizens encounter rancid food, meager portions, or unhygienic distribution (physical failure), cognitive dissonance erupts. The resulting public backlash is not directed at the abstract policy concept, but at the breach of sensory contract between the state's digital marketing and physical reality.</w:t>
      </w:r>
    </w:p>
    <w:p>
      <w:pPr>
        <w:pStyle w:val="Heading2"/>
        <w:spacing w:before="0" w:after="0" w:line="480" w:lineRule="auto"/>
        <w:jc w:val="left"/>
      </w:pPr>
      <w:r>
        <w:rPr>
          <w:rFonts w:ascii="Times New Roman" w:hAnsi="Times New Roman" w:eastAsia="Times New Roman"/>
          <w:b/>
          <w:sz w:val="24"/>
        </w:rPr>
        <w:t>2.5 Transformer Language Models and IndoBERT</w:t>
      </w:r>
    </w:p>
    <w:p>
      <w:pPr>
        <w:spacing w:line="480" w:lineRule="auto" w:after="0" w:before="0"/>
        <w:jc w:val="both"/>
      </w:pPr>
      <w:r>
        <w:rPr>
          <w:rFonts w:ascii="Times New Roman" w:hAnsi="Times New Roman" w:eastAsia="Times New Roman"/>
          <w:sz w:val="24"/>
        </w:rPr>
        <w:t>Bidirectional Encoder Representations from Transformers (BERT; Devlin et al., 2018) revolutionized computational linguistics by processing word tokens in relation to all other words in a sentence simultaneously, capturing bidirectional context. In Indonesia, Wilie et al. (2020) trained indobenchmark/indobert-base-p2 on 4 billion tokens across Indonesian Wikipedia, news portals, and social corpora. While classical machine learning models (SVM, Naïve Bayes) rely on bag-of-words assumptions that collapse under Indonesian slang and morpho-syntactic permutations, IndoBERT's self-attention mechanism retains contextual embeddings, enabling high-precision detection of conversational nuance.</w:t>
      </w:r>
    </w:p>
    <w:p>
      <w:pPr>
        <w:pStyle w:val="Heading1"/>
        <w:spacing w:before="0" w:after="0" w:line="480" w:lineRule="auto"/>
        <w:jc w:val="left"/>
      </w:pPr>
      <w:r>
        <w:rPr>
          <w:rFonts w:ascii="Times New Roman" w:hAnsi="Times New Roman" w:eastAsia="Times New Roman"/>
          <w:b/>
          <w:sz w:val="24"/>
        </w:rPr>
        <w:t>3. METHODOLOGY AND RESEARCH DESIGN</w:t>
      </w:r>
    </w:p>
    <w:p>
      <w:pPr>
        <w:pStyle w:val="Heading2"/>
        <w:spacing w:before="0" w:after="0" w:line="480" w:lineRule="auto"/>
        <w:jc w:val="left"/>
      </w:pPr>
      <w:r>
        <w:rPr>
          <w:rFonts w:ascii="Times New Roman" w:hAnsi="Times New Roman" w:eastAsia="Times New Roman"/>
          <w:b/>
          <w:sz w:val="24"/>
        </w:rPr>
        <w:t>3.1 Research Design</w:t>
      </w:r>
    </w:p>
    <w:p>
      <w:pPr>
        <w:spacing w:line="480" w:lineRule="auto" w:after="0" w:before="0"/>
        <w:jc w:val="both"/>
      </w:pPr>
      <w:r>
        <w:rPr>
          <w:rFonts w:ascii="Times New Roman" w:hAnsi="Times New Roman" w:eastAsia="Times New Roman"/>
          <w:sz w:val="24"/>
        </w:rPr>
        <w:t>This study employs a quantitative computational social science (CSS) design combined with qualitative rhetorical deconstruction. The research pipeline progresses through four synchronized analytical stages:</w:t>
      </w:r>
    </w:p>
    <w:p>
      <w:pPr>
        <w:spacing w:line="480" w:lineRule="auto" w:after="0" w:before="0"/>
        <w:jc w:val="both"/>
      </w:pPr>
      <w:r>
        <w:rPr>
          <w:rFonts w:ascii="Times New Roman" w:hAnsi="Times New Roman" w:eastAsia="Times New Roman"/>
          <w:sz w:val="24"/>
        </w:rPr>
        <w:t>1. Natural Language Processing via transformer fine-tuning for 9-class emotion modeling (indobert_9_emosi_fixed.csv, $N = 5,263$).</w:t>
      </w:r>
    </w:p>
    <w:p>
      <w:pPr>
        <w:spacing w:line="480" w:lineRule="auto" w:after="0" w:before="0"/>
        <w:jc w:val="both"/>
      </w:pPr>
      <w:r>
        <w:rPr>
          <w:rFonts w:ascii="Times New Roman" w:hAnsi="Times New Roman" w:eastAsia="Times New Roman"/>
          <w:sz w:val="24"/>
        </w:rPr>
        <w:t>2. Algorithmic rule-based sarcasm validation (dataset_sindiran_valid.csv, $N = 3,395$).</w:t>
      </w:r>
    </w:p>
    <w:p>
      <w:pPr>
        <w:spacing w:line="480" w:lineRule="auto" w:after="0" w:before="0"/>
        <w:jc w:val="both"/>
      </w:pPr>
      <w:r>
        <w:rPr>
          <w:rFonts w:ascii="Times New Roman" w:hAnsi="Times New Roman" w:eastAsia="Times New Roman"/>
          <w:sz w:val="24"/>
        </w:rPr>
        <w:t>3. Directed Social Network Analysis (network_edges.csv, $|V| = 971$, $|E| = 666$).</w:t>
      </w:r>
    </w:p>
    <w:p>
      <w:pPr>
        <w:spacing w:line="480" w:lineRule="auto" w:after="0" w:before="0"/>
        <w:jc w:val="both"/>
      </w:pPr>
      <w:r>
        <w:rPr>
          <w:rFonts w:ascii="Times New Roman" w:hAnsi="Times New Roman" w:eastAsia="Times New Roman"/>
          <w:sz w:val="24"/>
        </w:rPr>
        <w:t>4. Thematic Aspect-Based Sentiment Analysis (absa_results.csv, 3 operational pillars).</w:t>
      </w:r>
    </w:p>
    <w:p>
      <w:pPr>
        <w:pStyle w:val="Heading2"/>
        <w:spacing w:before="0" w:after="0" w:line="480" w:lineRule="auto"/>
        <w:jc w:val="left"/>
      </w:pPr>
      <w:r>
        <w:rPr>
          <w:rFonts w:ascii="Times New Roman" w:hAnsi="Times New Roman" w:eastAsia="Times New Roman"/>
          <w:b/>
          <w:sz w:val="24"/>
        </w:rPr>
        <w:t>3.2 Corpus Acquisition and Preprocessing</w:t>
      </w:r>
    </w:p>
    <w:p>
      <w:pPr>
        <w:spacing w:line="480" w:lineRule="auto" w:after="0" w:before="0"/>
        <w:jc w:val="both"/>
      </w:pPr>
      <w:r>
        <w:rPr>
          <w:rFonts w:ascii="Times New Roman" w:hAnsi="Times New Roman" w:eastAsia="Times New Roman"/>
          <w:sz w:val="24"/>
        </w:rPr>
        <w:t>Data was collected from Platform X between January and March 2026 utilizing search queries targeted at the MBG discourse: #MakanBergiziGratis, Program MBG, menu MBG, keracunan MBG, and anggaran MBG. A raw corpus of $N = 5,310$ tweets was captured.</w:t>
      </w:r>
    </w:p>
    <w:p>
      <w:pPr>
        <w:spacing w:line="480" w:lineRule="auto" w:after="0" w:before="0"/>
        <w:jc w:val="both"/>
      </w:pPr>
      <w:r>
        <w:rPr>
          <w:rFonts w:ascii="Times New Roman" w:hAnsi="Times New Roman" w:eastAsia="Times New Roman"/>
          <w:sz w:val="24"/>
        </w:rPr>
        <w:t>Preprocessing was implemented in Python using regular expressions and custom Indonesian linguistic dictionaries:</w:t>
      </w:r>
    </w:p>
    <w:p>
      <w:pPr>
        <w:pStyle w:val="ListBullet"/>
        <w:spacing w:line="480" w:lineRule="auto" w:after="0" w:before="0"/>
        <w:jc w:val="both"/>
      </w:pPr>
      <w:r>
        <w:rPr>
          <w:rFonts w:ascii="Times New Roman" w:hAnsi="Times New Roman" w:eastAsia="Times New Roman"/>
          <w:sz w:val="24"/>
        </w:rPr>
        <w:t>Denoising: Stripping URLs, redundant white spaces, punctuation cascades, and platform metadata artifacts.</w:t>
      </w:r>
    </w:p>
    <w:p>
      <w:pPr>
        <w:pStyle w:val="ListBullet"/>
        <w:spacing w:line="480" w:lineRule="auto" w:after="0" w:before="0"/>
        <w:jc w:val="both"/>
      </w:pPr>
      <w:r>
        <w:rPr>
          <w:rFonts w:ascii="Times New Roman" w:hAnsi="Times New Roman" w:eastAsia="Times New Roman"/>
          <w:sz w:val="24"/>
        </w:rPr>
        <w:t>Entity Preservation: Extracting user mentions (@username) for network edge formulation prior to text masking.</w:t>
      </w:r>
    </w:p>
    <w:p>
      <w:pPr>
        <w:pStyle w:val="ListBullet"/>
        <w:spacing w:line="480" w:lineRule="auto" w:after="0" w:before="0"/>
        <w:jc w:val="both"/>
      </w:pPr>
      <w:r>
        <w:rPr>
          <w:rFonts w:ascii="Times New Roman" w:hAnsi="Times New Roman" w:eastAsia="Times New Roman"/>
          <w:sz w:val="24"/>
        </w:rPr>
        <w:t>Emoji Demarcation: Converting raw UTF-8 emoji glyphs into semantic text descriptors (e.g., 🤡 to :clown_face:, 🤮 to :vomiting_face:) to preserve pragmatic sentiment valence.</w:t>
      </w:r>
    </w:p>
    <w:p>
      <w:pPr>
        <w:pStyle w:val="ListBullet"/>
        <w:spacing w:line="480" w:lineRule="auto" w:after="0" w:before="0"/>
        <w:jc w:val="both"/>
      </w:pPr>
      <w:r>
        <w:rPr>
          <w:rFonts w:ascii="Times New Roman" w:hAnsi="Times New Roman" w:eastAsia="Times New Roman"/>
          <w:sz w:val="24"/>
        </w:rPr>
        <w:t>Slang Normalization: Replacing non-standard conversational slang (kata gaul/singkatan) with standard formal lemmas using a curated Indonesian informal lexicon (e.g., 'bgt' to 'banget', 'bener2' to 'benar-benar', 'ancur' to 'hancur').</w:t>
      </w:r>
    </w:p>
    <w:p>
      <w:pPr>
        <w:pStyle w:val="ListBullet"/>
        <w:spacing w:line="480" w:lineRule="auto" w:after="0" w:before="0"/>
        <w:jc w:val="both"/>
      </w:pPr>
      <w:r>
        <w:rPr>
          <w:rFonts w:ascii="Times New Roman" w:hAnsi="Times New Roman" w:eastAsia="Times New Roman"/>
          <w:sz w:val="24"/>
        </w:rPr>
        <w:t>Deduplication: Removing exact duplicate retweets, resulting in a clean corpus of $N = 5,309$ records (data/processed/data_clean.csv), which was subsequently filtered to $N = 5,263$ high-integrity tweets for final inference.</w:t>
      </w:r>
    </w:p>
    <w:p>
      <w:pPr>
        <w:pStyle w:val="Heading2"/>
        <w:spacing w:before="0" w:after="0" w:line="480" w:lineRule="auto"/>
        <w:jc w:val="left"/>
      </w:pPr>
      <w:r>
        <w:rPr>
          <w:rFonts w:ascii="Times New Roman" w:hAnsi="Times New Roman" w:eastAsia="Times New Roman"/>
          <w:b/>
          <w:sz w:val="24"/>
        </w:rPr>
        <w:t>3.3 Fine-Tuning IndoBERT for 9 Granular Emotions</w:t>
      </w:r>
    </w:p>
    <w:p>
      <w:pPr>
        <w:spacing w:line="480" w:lineRule="auto" w:after="0" w:before="0"/>
        <w:jc w:val="both"/>
      </w:pPr>
      <w:r>
        <w:rPr>
          <w:rFonts w:ascii="Times New Roman" w:hAnsi="Times New Roman" w:eastAsia="Times New Roman"/>
          <w:sz w:val="24"/>
        </w:rPr>
        <w:t>We adapted Robert Plutchik's psycho-evolutionary emotion taxonomy into 9 operational classes: Disgust (Jijik), Trust (Percaya), Neutral (Netral), Anticipation (Antisipasi/Tertarik), Anger (Marah), Sadness (Sedih), Joy (Senang), Surprise (Terkejut), and Fear (Takut).</w:t>
      </w:r>
    </w:p>
    <w:p>
      <w:pPr>
        <w:pStyle w:val="ListBullet"/>
        <w:spacing w:line="480" w:lineRule="auto" w:after="0" w:before="0"/>
        <w:jc w:val="both"/>
      </w:pPr>
      <w:r>
        <w:rPr>
          <w:rFonts w:ascii="Times New Roman" w:hAnsi="Times New Roman" w:eastAsia="Times New Roman"/>
          <w:sz w:val="24"/>
        </w:rPr>
        <w:t>Base Architecture: indobenchmark/indobert-base-p2 (12 transformer layers, 768 hidden dimensions, 12 self-attention heads, 124.5 million parameters).</w:t>
      </w:r>
    </w:p>
    <w:p>
      <w:pPr>
        <w:pStyle w:val="ListBullet"/>
        <w:spacing w:line="480" w:lineRule="auto" w:after="0" w:before="0"/>
        <w:jc w:val="both"/>
      </w:pPr>
      <w:r>
        <w:t>Dataset Partitioning and Leakage Control: To eliminate representation leakage caused by viral retweet duplications, the silver-standard annotated corpus ($N = 5,263$) was partitioned into an 80% training set ($N = 4,205$, 2,775 unique texts) and a 20% independent holdout evaluation set ($n = 1,058$, 694 unique texts) using a group-aware split protocol (`GroupShuffleSplit`, random seed 42) grouped by normalized processed text sequences. Programmatic verification confirmed that exact raw text overlap and processed text overlap between training and testing partitions were strictly zero (`Text Overlap = 0`). Reference annotations represent silver-standard labels generated through automated semantic labeling (Gemini API and heuristic keyword filters).</w:t>
      </w:r>
    </w:p>
    <w:p>
      <w:pPr>
        <w:pStyle w:val="ListBullet"/>
        <w:spacing w:line="480" w:lineRule="auto" w:after="0" w:before="0"/>
        <w:jc w:val="both"/>
      </w:pPr>
      <w:r>
        <w:rPr>
          <w:rFonts w:ascii="Times New Roman" w:hAnsi="Times New Roman" w:eastAsia="Times New Roman"/>
          <w:sz w:val="24"/>
        </w:rPr>
        <w:t>Hyperparameter Specifications:</w:t>
      </w:r>
    </w:p>
    <w:p>
      <w:pPr>
        <w:pStyle w:val="ListBullet"/>
        <w:spacing w:line="480" w:lineRule="auto" w:after="0" w:before="0"/>
        <w:jc w:val="both"/>
      </w:pPr>
      <w:r>
        <w:rPr>
          <w:rFonts w:ascii="Times New Roman" w:hAnsi="Times New Roman" w:eastAsia="Times New Roman"/>
          <w:sz w:val="24"/>
        </w:rPr>
        <w:t>Optimizer: AdamW with weight decay $\lambda = 0.01$.</w:t>
      </w:r>
    </w:p>
    <w:p>
      <w:pPr>
        <w:pStyle w:val="ListBullet"/>
        <w:spacing w:line="480" w:lineRule="auto" w:after="0" w:before="0"/>
        <w:jc w:val="both"/>
      </w:pPr>
      <w:r>
        <w:rPr>
          <w:rFonts w:ascii="Times New Roman" w:hAnsi="Times New Roman" w:eastAsia="Times New Roman"/>
          <w:sz w:val="24"/>
        </w:rPr>
        <w:t xml:space="preserve">Learning Rate: $\eta = 2 </w:t>
        <w:tab/>
        <w:t>imes 10^{-5}$ with linear learning rate warmup.</w:t>
      </w:r>
    </w:p>
    <w:p>
      <w:pPr>
        <w:pStyle w:val="ListBullet"/>
        <w:spacing w:line="480" w:lineRule="auto" w:after="0" w:before="0"/>
        <w:jc w:val="both"/>
      </w:pPr>
      <w:r>
        <w:t>Batch Size: 32 per device.</w:t>
      </w:r>
    </w:p>
    <w:p>
      <w:pPr>
        <w:pStyle w:val="ListBullet"/>
        <w:spacing w:line="480" w:lineRule="auto" w:after="0" w:before="0"/>
        <w:jc w:val="both"/>
      </w:pPr>
      <w:r>
        <w:rPr>
          <w:rFonts w:ascii="Times New Roman" w:hAnsi="Times New Roman" w:eastAsia="Times New Roman"/>
          <w:sz w:val="24"/>
        </w:rPr>
        <w:t>Epochs: 3 epochs (following Devlin et al., 2018 and Wilie et al., 2020 to prevent catastrophic forgetting and overfitting).</w:t>
      </w:r>
    </w:p>
    <w:p>
      <w:pPr>
        <w:pStyle w:val="ListBullet"/>
        <w:spacing w:line="480" w:lineRule="auto" w:after="0" w:before="0"/>
        <w:jc w:val="both"/>
      </w:pPr>
      <w:r>
        <w:rPr>
          <w:rFonts w:ascii="Times New Roman" w:hAnsi="Times New Roman" w:eastAsia="Times New Roman"/>
          <w:sz w:val="24"/>
        </w:rPr>
        <w:t>Maximum Sequence Length: 128 tokens.</w:t>
      </w:r>
    </w:p>
    <w:p>
      <w:pPr>
        <w:pStyle w:val="ListBullet"/>
        <w:spacing w:line="480" w:lineRule="auto" w:after="0" w:before="0"/>
        <w:jc w:val="both"/>
      </w:pPr>
      <w:r>
        <w:t>Checkpoint Selection &amp; Baseline Benchmarking: Model performance was evaluated at each training epoch; optimal weights were extracted at checkpoint-264 based on the lowest validation loss (eval_loss = 0.5677). To provide a rigorous comparative benchmark, two linear NLP baselines—TF-IDF with Logistic Regression and TF-IDF with Linear SVM—were trained on the exact same group-aware training partition (vectorizers strictly fitted on training texts only) and evaluated on the identical holdout test set.</w:t>
      </w:r>
    </w:p>
    <w:p>
      <w:pPr>
        <w:pStyle w:val="Heading2"/>
        <w:spacing w:before="0" w:after="0" w:line="480" w:lineRule="auto"/>
        <w:jc w:val="left"/>
      </w:pPr>
      <w:r>
        <w:rPr>
          <w:rFonts w:ascii="Times New Roman" w:hAnsi="Times New Roman" w:eastAsia="Times New Roman"/>
          <w:b/>
          <w:sz w:val="24"/>
        </w:rPr>
        <w:t>3.4 Pragmatic Sarcasm Validation Algorithm</w:t>
      </w:r>
    </w:p>
    <w:p>
      <w:pPr>
        <w:spacing w:line="480" w:lineRule="auto" w:after="0" w:before="0"/>
        <w:jc w:val="both"/>
      </w:pPr>
      <w:r>
        <w:rPr>
          <w:rFonts w:ascii="Times New Roman" w:hAnsi="Times New Roman" w:eastAsia="Times New Roman"/>
          <w:sz w:val="24"/>
        </w:rPr>
        <w:t>Sarcasm detection was operationalized on a dedicated corpus of $N = 3,395$ tweets. An algorithmic rule-based matcher evaluated tweets based on two formal linguistic criteria:</w:t>
      </w:r>
    </w:p>
    <w:p>
      <w:pPr>
        <w:spacing w:line="480" w:lineRule="auto" w:after="0" w:before="0"/>
        <w:jc w:val="both"/>
      </w:pPr>
      <w:r>
        <w:rPr>
          <w:rFonts w:ascii="Times New Roman" w:hAnsi="Times New Roman" w:eastAsia="Times New Roman"/>
          <w:sz w:val="24"/>
        </w:rPr>
        <w:t>Tweets matching combinations of praise adjectives with complaint context, or positive polarity text with derisive emojis, were flagged and subjected to manual inter-annotator verification, yielding 315 validated sarcastic tweets ($9.28\%$).</w:t>
      </w:r>
    </w:p>
    <w:p>
      <w:pPr>
        <w:pStyle w:val="Heading2"/>
        <w:spacing w:before="0" w:after="0" w:line="480" w:lineRule="auto"/>
        <w:jc w:val="left"/>
      </w:pPr>
      <w:r>
        <w:rPr>
          <w:rFonts w:ascii="Times New Roman" w:hAnsi="Times New Roman" w:eastAsia="Times New Roman"/>
          <w:b/>
          <w:sz w:val="24"/>
        </w:rPr>
        <w:t>3.5 Social Network Modeling and Community Partitions</w:t>
      </w:r>
    </w:p>
    <w:p>
      <w:pPr>
        <w:spacing w:line="480" w:lineRule="auto" w:after="0" w:before="0"/>
        <w:jc w:val="both"/>
      </w:pPr>
      <w:r>
        <w:rPr>
          <w:rFonts w:ascii="Times New Roman" w:hAnsi="Times New Roman" w:eastAsia="Times New Roman"/>
          <w:sz w:val="24"/>
        </w:rPr>
        <w:t>The interaction network was modeled as a directed, weighted graph $G = (V, E)$, where $V$ represents unique X user accounts ($|V| = 971$) and $E$ represents directed communication ties ($|E| = 666$ unique edges, originating from 692 raw interaction instances including mentions, replies, and quotes).</w:t>
      </w:r>
    </w:p>
    <w:p>
      <w:pPr>
        <w:pStyle w:val="ListBullet"/>
        <w:spacing w:line="480" w:lineRule="auto" w:after="0" w:before="0"/>
        <w:jc w:val="both"/>
      </w:pPr>
      <w:r>
        <w:rPr>
          <w:rFonts w:ascii="Times New Roman" w:hAnsi="Times New Roman" w:eastAsia="Times New Roman"/>
          <w:sz w:val="24"/>
        </w:rPr>
        <w:t>Structural Centrality:</w:t>
      </w:r>
    </w:p>
    <w:p>
      <w:pPr>
        <w:pStyle w:val="ListBullet"/>
        <w:spacing w:line="480" w:lineRule="auto" w:after="0" w:before="0"/>
        <w:jc w:val="both"/>
      </w:pPr>
      <w:r>
        <w:t>In-Degree Centrality ($C_{\text{in}}(v)$): Quantifies prestige and attention received.</w:t>
      </w:r>
    </w:p>
    <w:p>
      <w:pPr>
        <w:pStyle w:val="ListBullet"/>
        <w:spacing w:line="480" w:lineRule="auto" w:after="0" w:before="0"/>
        <w:jc w:val="both"/>
      </w:pPr>
      <w:r>
        <w:rPr>
          <w:rFonts w:ascii="Times New Roman" w:hAnsi="Times New Roman" w:eastAsia="Times New Roman"/>
          <w:sz w:val="24"/>
        </w:rPr>
        <w:t>Out-Degree Centrality ($C_{\text{out}}(v)$): Quantifies active communicative broadcasting.</w:t>
      </w:r>
    </w:p>
    <w:p>
      <w:pPr>
        <w:pStyle w:val="ListBullet"/>
        <w:spacing w:line="480" w:lineRule="auto" w:after="0" w:before="0"/>
        <w:jc w:val="both"/>
      </w:pPr>
      <w:r>
        <w:rPr>
          <w:rFonts w:ascii="Times New Roman" w:hAnsi="Times New Roman" w:eastAsia="Times New Roman"/>
          <w:sz w:val="24"/>
        </w:rPr>
        <w:t>Betweenness Centrality ($C_B(v)$): Identifies structural brokers bridging otherwise disconnected clusters.</w:t>
      </w:r>
    </w:p>
    <w:p>
      <w:pPr>
        <w:pStyle w:val="ListBullet"/>
        <w:spacing w:line="480" w:lineRule="auto" w:after="0" w:before="0"/>
        <w:jc w:val="both"/>
      </w:pPr>
      <w:r>
        <w:rPr>
          <w:rFonts w:ascii="Times New Roman" w:hAnsi="Times New Roman" w:eastAsia="Times New Roman"/>
          <w:sz w:val="24"/>
        </w:rPr>
        <w:t>Community Detection: Modularity optimization using the Louvain heuristic algorithm (Blondel et al., 2008).</w:t>
      </w:r>
    </w:p>
    <w:p>
      <w:pPr>
        <w:pStyle w:val="Heading2"/>
        <w:spacing w:before="0" w:after="0" w:line="480" w:lineRule="auto"/>
        <w:jc w:val="left"/>
      </w:pPr>
      <w:r>
        <w:rPr>
          <w:rFonts w:ascii="Times New Roman" w:hAnsi="Times New Roman" w:eastAsia="Times New Roman"/>
          <w:b/>
          <w:sz w:val="24"/>
        </w:rPr>
        <w:t>3.6 Thematic Aspect-Based Sentiment Analysis (ABSA)</w:t>
      </w:r>
    </w:p>
    <w:p>
      <w:pPr>
        <w:spacing w:line="480" w:lineRule="auto" w:after="0" w:before="0"/>
        <w:jc w:val="both"/>
      </w:pPr>
      <w:r>
        <w:rPr>
          <w:rFonts w:ascii="Times New Roman" w:hAnsi="Times New Roman" w:eastAsia="Times New Roman"/>
          <w:sz w:val="24"/>
        </w:rPr>
        <w:t>To measure the Phygital Gap, tweets were mapped into three operational pillars of the MBG program using domain-specific lexical expansion:</w:t>
      </w:r>
    </w:p>
    <w:p>
      <w:pPr>
        <w:spacing w:line="480" w:lineRule="auto" w:after="0" w:before="0"/>
        <w:jc w:val="both"/>
      </w:pPr>
      <w:r>
        <w:rPr>
          <w:rFonts w:ascii="Times New Roman" w:hAnsi="Times New Roman" w:eastAsia="Times New Roman"/>
          <w:sz w:val="24"/>
        </w:rPr>
        <w:t>1. Logistics &amp; Distribution: keywords related to delivery delays, cold food, vendor packaging, and distribution timing.</w:t>
      </w:r>
    </w:p>
    <w:p>
      <w:pPr>
        <w:spacing w:line="480" w:lineRule="auto" w:after="0" w:before="0"/>
        <w:jc w:val="both"/>
      </w:pPr>
      <w:r>
        <w:rPr>
          <w:rFonts w:ascii="Times New Roman" w:hAnsi="Times New Roman" w:eastAsia="Times New Roman"/>
          <w:sz w:val="24"/>
        </w:rPr>
        <w:t>2. Budget &amp; Vendor Allocation: keywords related to per-meal unit costs (e.g., Rp15.000 vs Rp10.000), corruption, tender transparency, and supplier markups.</w:t>
      </w:r>
    </w:p>
    <w:p>
      <w:pPr>
        <w:spacing w:line="480" w:lineRule="auto" w:after="0" w:before="0"/>
        <w:jc w:val="both"/>
      </w:pPr>
      <w:r>
        <w:rPr>
          <w:rFonts w:ascii="Times New Roman" w:hAnsi="Times New Roman" w:eastAsia="Times New Roman"/>
          <w:sz w:val="24"/>
        </w:rPr>
        <w:t>3. Food Nutritional Quality: keywords related to taste, spoiled milk, rotten fruit, small portion sizes, and hygienic safety.</w:t>
      </w:r>
    </w:p>
    <w:p>
      <w:pPr>
        <w:spacing w:line="480" w:lineRule="auto" w:after="0" w:before="0"/>
        <w:jc w:val="both"/>
      </w:pPr>
      <w:r>
        <w:rPr>
          <w:rFonts w:ascii="Times New Roman" w:hAnsi="Times New Roman" w:eastAsia="Times New Roman"/>
          <w:sz w:val="24"/>
        </w:rPr>
        <w:t>Affective distributions were calculated across each aspect to verify where public disgust concentrated.</w:t>
      </w:r>
    </w:p>
    <w:p>
      <w:pPr>
        <w:pStyle w:val="Heading1"/>
        <w:spacing w:before="0" w:after="0" w:line="480" w:lineRule="auto"/>
        <w:jc w:val="left"/>
      </w:pPr>
      <w:r>
        <w:rPr>
          <w:rFonts w:ascii="Times New Roman" w:hAnsi="Times New Roman" w:eastAsia="Times New Roman"/>
          <w:b/>
          <w:sz w:val="24"/>
        </w:rPr>
        <w:t>4. EMPIRICAL RESULTS</w:t>
      </w:r>
    </w:p>
    <w:p>
      <w:pPr>
        <w:pStyle w:val="Heading2"/>
        <w:spacing w:before="0" w:after="0" w:line="480" w:lineRule="auto"/>
        <w:jc w:val="left"/>
      </w:pPr>
      <w:r>
        <w:rPr>
          <w:rFonts w:ascii="Times New Roman" w:hAnsi="Times New Roman" w:eastAsia="Times New Roman"/>
          <w:b/>
          <w:sz w:val="24"/>
        </w:rPr>
        <w:t>4.1 Granular Emotion Distribution (IndoBERT Inference)</w:t>
      </w:r>
    </w:p>
    <w:p>
      <w:pPr>
        <w:spacing w:line="480" w:lineRule="auto" w:after="0" w:before="0"/>
        <w:jc w:val="both"/>
      </w:pPr>
      <w:r>
        <w:rPr>
          <w:rFonts w:ascii="Times New Roman" w:hAnsi="Times New Roman" w:eastAsia="Times New Roman"/>
          <w:sz w:val="24"/>
        </w:rPr>
        <w:t>Inference across the complete corpus ($N = 5,263$) established an overwhelming concentration of negative visceral affect:</w:t>
      </w:r>
    </w:p>
    <w:p>
      <w:pPr>
        <w:spacing w:line="480" w:lineRule="auto" w:after="0" w:before="0"/>
        <w:jc w:val="both"/>
      </w:pPr>
      <w:r>
        <w:rPr>
          <w:rFonts w:ascii="Times New Roman" w:hAnsi="Times New Roman" w:eastAsia="Times New Roman"/>
          <w:sz w:val="24"/>
        </w:rPr>
        <w:t>| Emotion Class (Plutchik) | Indonesian Label | Tweet Count | Percentage (%) | Communicative Role in Policy Crisis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Jijik / Mual | 2,960 | 56.24% | Rejection of physical food quality and portion execution |</w:t>
      </w:r>
    </w:p>
    <w:p>
      <w:pPr>
        <w:spacing w:line="480" w:lineRule="auto" w:after="0" w:before="0"/>
        <w:jc w:val="both"/>
      </w:pPr>
      <w:r>
        <w:rPr>
          <w:rFonts w:ascii="Times New Roman" w:hAnsi="Times New Roman" w:eastAsia="Times New Roman"/>
          <w:sz w:val="24"/>
        </w:rPr>
        <w:t>| Trust | Percaya | 1,073 | 20.39% | Defense of policy intention and presidential mandate |</w:t>
      </w:r>
    </w:p>
    <w:p>
      <w:pPr>
        <w:spacing w:line="480" w:lineRule="auto" w:after="0" w:before="0"/>
        <w:jc w:val="both"/>
      </w:pPr>
      <w:r>
        <w:rPr>
          <w:rFonts w:ascii="Times New Roman" w:hAnsi="Times New Roman" w:eastAsia="Times New Roman"/>
          <w:sz w:val="24"/>
        </w:rPr>
        <w:t>| Neutral | Netral | 649 | 12.33% | Factual news reposts and objective administrative queries |</w:t>
      </w:r>
    </w:p>
    <w:p>
      <w:pPr>
        <w:spacing w:line="480" w:lineRule="auto" w:after="0" w:before="0"/>
        <w:jc w:val="both"/>
      </w:pPr>
      <w:r>
        <w:rPr>
          <w:rFonts w:ascii="Times New Roman" w:hAnsi="Times New Roman" w:eastAsia="Times New Roman"/>
          <w:sz w:val="24"/>
        </w:rPr>
        <w:t>| Anticipation | Tertarik / Antisipasi | 505 | 9.60% | Inquiries regarding budget schedules and tender dates |</w:t>
      </w:r>
    </w:p>
    <w:p>
      <w:pPr>
        <w:spacing w:line="480" w:lineRule="auto" w:after="0" w:before="0"/>
        <w:jc w:val="both"/>
      </w:pPr>
      <w:r>
        <w:rPr>
          <w:rFonts w:ascii="Times New Roman" w:hAnsi="Times New Roman" w:eastAsia="Times New Roman"/>
          <w:sz w:val="24"/>
        </w:rPr>
        <w:t>| Anger | Marah | 55 | 1.05% | Direct moral indignation regarding fiscal wastage |</w:t>
      </w:r>
    </w:p>
    <w:p>
      <w:pPr>
        <w:spacing w:line="480" w:lineRule="auto" w:after="0" w:before="0"/>
        <w:jc w:val="both"/>
      </w:pPr>
      <w:r>
        <w:rPr>
          <w:rFonts w:ascii="Times New Roman" w:hAnsi="Times New Roman" w:eastAsia="Times New Roman"/>
          <w:sz w:val="24"/>
        </w:rPr>
        <w:t>| Sadness | Sedih | 19 | 0.36% | Empathy toward poisoned schoolchildren |</w:t>
      </w:r>
    </w:p>
    <w:p>
      <w:pPr>
        <w:spacing w:line="480" w:lineRule="auto" w:after="0" w:before="0"/>
        <w:jc w:val="both"/>
      </w:pPr>
      <w:r>
        <w:rPr>
          <w:rFonts w:ascii="Times New Roman" w:hAnsi="Times New Roman" w:eastAsia="Times New Roman"/>
          <w:sz w:val="24"/>
        </w:rPr>
        <w:t>| Fear | Takut | 2 | 0.04% | Apprehension over long-term fiscal debt |</w:t>
      </w:r>
    </w:p>
    <w:p>
      <w:pPr>
        <w:spacing w:line="480" w:lineRule="auto" w:after="0" w:before="0"/>
        <w:jc w:val="both"/>
      </w:pPr>
      <w:r>
        <w:rPr>
          <w:rFonts w:ascii="Times New Roman" w:hAnsi="Times New Roman" w:eastAsia="Times New Roman"/>
          <w:sz w:val="24"/>
        </w:rPr>
        <w:t>| Total Corpus | — | 5,263 | 100.00% | Full Inference Dataset (indobert_9_emosi_fixed.csv) |</w:t>
      </w:r>
    </w:p>
    <w:p>
      <w:pPr>
        <w:spacing w:line="480" w:lineRule="auto" w:after="0" w:before="0"/>
        <w:jc w:val="both"/>
      </w:pPr>
      <w:r>
        <w:rPr>
          <w:rFonts w:ascii="Times New Roman" w:hAnsi="Times New Roman" w:eastAsia="Times New Roman"/>
          <w:sz w:val="24"/>
        </w:rPr>
        <w:t>The distribution demonstrates that public opposition to the MBG program is not driven by generalized ideological Anger ($1.05\%$), but by visceral physical Disgust ($56.24\%$).</w:t>
      </w:r>
    </w:p>
    <w:p>
      <w:pPr>
        <w:pStyle w:val="Heading2"/>
        <w:spacing w:before="0" w:after="0" w:line="480" w:lineRule="auto"/>
        <w:jc w:val="left"/>
      </w:pPr>
      <w:r>
        <w:rPr>
          <w:rFonts w:ascii="Times New Roman" w:hAnsi="Times New Roman" w:eastAsia="Times New Roman"/>
          <w:b/>
          <w:sz w:val="24"/>
        </w:rPr>
        <w:t>4.2 Sarcasm and Pragmatic Semiotic Subversion</w:t>
      </w:r>
    </w:p>
    <w:p>
      <w:pPr>
        <w:spacing w:line="480" w:lineRule="auto" w:after="0" w:before="0"/>
        <w:jc w:val="both"/>
      </w:pPr>
      <w:r>
        <w:rPr>
          <w:rFonts w:ascii="Times New Roman" w:hAnsi="Times New Roman" w:eastAsia="Times New Roman"/>
          <w:sz w:val="24"/>
        </w:rPr>
        <w:t>Analysis of the validated sarcasm corpus ($N = 3,395$) verified that 315 tweets (9.28%) operated as explicit sarcasm, while 3,080 tweets (90.72%) operated as literal communication. Within the sarcastic corpus, 181 tweets exhibited acute binary lexical oppositions.</w:t>
      </w:r>
    </w:p>
    <w:p>
      <w:pPr>
        <w:spacing w:line="480" w:lineRule="auto" w:after="0" w:before="0"/>
        <w:jc w:val="both"/>
      </w:pPr>
      <w:r>
        <w:rPr>
          <w:rFonts w:ascii="Times New Roman" w:hAnsi="Times New Roman" w:eastAsia="Times New Roman"/>
          <w:sz w:val="24"/>
        </w:rPr>
        <w:t>Representative qualitative examples include:</w:t>
      </w:r>
    </w:p>
    <w:p>
      <w:pPr>
        <w:pStyle w:val="ListBullet"/>
        <w:spacing w:line="480" w:lineRule="auto" w:after="0" w:before="0"/>
        <w:jc w:val="both"/>
      </w:pPr>
      <w:r>
        <w:rPr>
          <w:rFonts w:ascii="Times New Roman" w:hAnsi="Times New Roman" w:eastAsia="Times New Roman"/>
          <w:sz w:val="24"/>
        </w:rPr>
        <w:t>Cuitan 1: 'Menu MBG hari ini mewah banget, nasinya bisa buat nimpuk maling, ayamnya seukuran upil 🤡👍' (Pragmatic praise 'mewah banget' directly contradicted by abusive physical descriptions and clown emoji).</w:t>
      </w:r>
    </w:p>
    <w:p>
      <w:pPr>
        <w:pStyle w:val="ListBullet"/>
        <w:spacing w:line="480" w:lineRule="auto" w:after="0" w:before="0"/>
        <w:jc w:val="both"/>
      </w:pPr>
      <w:r>
        <w:rPr>
          <w:rFonts w:ascii="Times New Roman" w:hAnsi="Times New Roman" w:eastAsia="Times New Roman"/>
          <w:sz w:val="24"/>
        </w:rPr>
        <w:t>Cuitan 2: 'Terima kasih program gizi gratis, anak-anak kenyang langsung masuk IGD rumah sakit 🤮' (Gratitude formula undermined by hospital casualty outcome and vomiting emoji).</w:t>
      </w:r>
    </w:p>
    <w:p>
      <w:pPr>
        <w:pStyle w:val="Heading2"/>
        <w:spacing w:before="0" w:after="0" w:line="480" w:lineRule="auto"/>
        <w:jc w:val="left"/>
      </w:pPr>
      <w:r>
        <w:rPr>
          <w:rFonts w:ascii="Times New Roman" w:hAnsi="Times New Roman" w:eastAsia="Times New Roman"/>
          <w:b/>
          <w:sz w:val="24"/>
        </w:rPr>
        <w:t>4.3 Social Network Topology and Reciprocity Breakdown</w:t>
      </w:r>
    </w:p>
    <w:p>
      <w:pPr>
        <w:spacing w:line="480" w:lineRule="auto" w:after="0" w:before="0"/>
        <w:jc w:val="both"/>
      </w:pPr>
      <w:r>
        <w:rPr>
          <w:rFonts w:ascii="Times New Roman" w:hAnsi="Times New Roman" w:eastAsia="Times New Roman"/>
          <w:sz w:val="24"/>
        </w:rPr>
        <w:t>Mathematical graph modeling of the 971 participating X users generated the following network topological parameters:</w:t>
      </w:r>
    </w:p>
    <w:p>
      <w:pPr>
        <w:spacing w:line="480" w:lineRule="auto" w:after="0" w:before="0"/>
        <w:jc w:val="both"/>
      </w:pPr>
      <w:r>
        <w:rPr>
          <w:rFonts w:ascii="Times New Roman" w:hAnsi="Times New Roman" w:eastAsia="Times New Roman"/>
          <w:sz w:val="24"/>
        </w:rPr>
        <w:t>| Network Parameter | Empirical Value | Theoretical Interpretation |</w:t>
      </w:r>
    </w:p>
    <w:p>
      <w:pPr>
        <w:spacing w:line="480" w:lineRule="auto" w:after="0" w:before="0"/>
        <w:jc w:val="both"/>
      </w:pPr>
      <w:r>
        <w:rPr>
          <w:rFonts w:ascii="Times New Roman" w:hAnsi="Times New Roman" w:eastAsia="Times New Roman"/>
          <w:sz w:val="24"/>
        </w:rPr>
        <w:t>| :--- | :---: | :--- |</w:t>
      </w:r>
    </w:p>
    <w:p>
      <w:pPr>
        <w:spacing w:line="480" w:lineRule="auto" w:after="0" w:before="0"/>
        <w:jc w:val="both"/>
      </w:pPr>
      <w:r>
        <w:rPr>
          <w:rFonts w:ascii="Times New Roman" w:hAnsi="Times New Roman" w:eastAsia="Times New Roman"/>
          <w:sz w:val="24"/>
        </w:rPr>
        <w:t>| Total Nodes ($|V|$) | 971 | Individual accounts engaging in MBG communication |</w:t>
      </w:r>
    </w:p>
    <w:p>
      <w:pPr>
        <w:spacing w:line="480" w:lineRule="auto" w:after="0" w:before="0"/>
        <w:jc w:val="both"/>
      </w:pPr>
      <w:r>
        <w:rPr>
          <w:rFonts w:ascii="Times New Roman" w:hAnsi="Times New Roman" w:eastAsia="Times New Roman"/>
          <w:sz w:val="24"/>
        </w:rPr>
        <w:t>| Unique Directed Edges ($|E|$) | 666 | Distinct directed mention/reply interactions |</w:t>
      </w:r>
    </w:p>
    <w:p>
      <w:pPr>
        <w:spacing w:line="480" w:lineRule="auto" w:after="0" w:before="0"/>
        <w:jc w:val="both"/>
      </w:pPr>
      <w:r>
        <w:rPr>
          <w:rFonts w:ascii="Times New Roman" w:hAnsi="Times New Roman" w:eastAsia="Times New Roman"/>
          <w:sz w:val="24"/>
        </w:rPr>
        <w:t>| Raw Interaction Volume | 692 | Total communication events including duplicate pings |</w:t>
      </w:r>
    </w:p>
    <w:p>
      <w:pPr>
        <w:spacing w:line="480" w:lineRule="auto" w:after="0" w:before="0"/>
        <w:jc w:val="both"/>
      </w:pPr>
      <w:r>
        <w:rPr>
          <w:rFonts w:ascii="Times New Roman" w:hAnsi="Times New Roman" w:eastAsia="Times New Roman"/>
          <w:sz w:val="24"/>
        </w:rPr>
        <w:t>| Graph Density | 0.0011 | Extremely sparse network topology |</w:t>
      </w:r>
    </w:p>
    <w:p>
      <w:pPr>
        <w:spacing w:line="480" w:lineRule="auto" w:after="0" w:before="0"/>
        <w:jc w:val="both"/>
      </w:pPr>
      <w:r>
        <w:rPr>
          <w:rFonts w:ascii="Times New Roman" w:hAnsi="Times New Roman" w:eastAsia="Times New Roman"/>
          <w:sz w:val="24"/>
        </w:rPr>
        <w:t>| Reciprocity | 1.21% | 98.79% of communication is unidirectional (monologue) |</w:t>
      </w:r>
    </w:p>
    <w:p>
      <w:pPr>
        <w:spacing w:line="480" w:lineRule="auto" w:after="0" w:before="0"/>
        <w:jc w:val="both"/>
      </w:pPr>
      <w:r>
        <w:rPr>
          <w:rFonts w:ascii="Times New Roman" w:hAnsi="Times New Roman" w:eastAsia="Times New Roman"/>
          <w:sz w:val="24"/>
        </w:rPr>
        <w:t>| Giant Component Size | 89 nodes (9.17%) | Absence of a unified central communicative core |</w:t>
      </w:r>
    </w:p>
    <w:p>
      <w:pPr>
        <w:spacing w:line="480" w:lineRule="auto" w:after="0" w:before="0"/>
        <w:jc w:val="both"/>
      </w:pPr>
      <w:r>
        <w:rPr>
          <w:rFonts w:ascii="Times New Roman" w:hAnsi="Times New Roman" w:eastAsia="Times New Roman"/>
          <w:sz w:val="24"/>
        </w:rPr>
        <w:t>| Isolated Components | 332 clusters | Hyper-fragmented discourse architecture |</w:t>
      </w:r>
    </w:p>
    <w:p>
      <w:pPr>
        <w:spacing w:line="480" w:lineRule="auto" w:after="0" w:before="0"/>
        <w:jc w:val="both"/>
      </w:pPr>
      <w:r>
        <w:rPr>
          <w:rFonts w:ascii="Times New Roman" w:hAnsi="Times New Roman" w:eastAsia="Times New Roman"/>
          <w:sz w:val="24"/>
        </w:rPr>
        <w:t>| Louvain Modularity ($Q$) | 0.9837 | Extreme structural division approaching theoretical max (1.0) |</w:t>
      </w:r>
    </w:p>
    <w:p>
      <w:pPr>
        <w:spacing w:line="480" w:lineRule="auto" w:after="0" w:before="0"/>
        <w:jc w:val="both"/>
      </w:pPr>
      <w:r>
        <w:rPr>
          <w:rFonts w:ascii="Times New Roman" w:hAnsi="Times New Roman" w:eastAsia="Times New Roman"/>
          <w:sz w:val="24"/>
        </w:rPr>
        <w:t>The network density of $0.0011$ and reciprocity of $1.21\%$ indicate a substantial constraint on conversational exchange. Citizens were not frequently engaging in reciprocal interaction with one another, while institutional accounts showed limited reciprocal interaction with citizens in the observed network. Instead, discourse was characterized largely by outward broadcasting into localized clusters, resulting in a fragmented interaction structure.</w:t>
      </w:r>
    </w:p>
    <w:p>
      <w:pPr>
        <w:pStyle w:val="Heading2"/>
        <w:spacing w:before="0" w:after="0" w:line="480" w:lineRule="auto"/>
        <w:jc w:val="left"/>
      </w:pPr>
      <w:r>
        <w:rPr>
          <w:rFonts w:ascii="Times New Roman" w:hAnsi="Times New Roman" w:eastAsia="Times New Roman"/>
          <w:b/>
          <w:sz w:val="24"/>
        </w:rPr>
        <w:t>4.4 Structural Power Asymmetry: The Algorithmic Oracle vs. Institutional Silence</w:t>
      </w:r>
    </w:p>
    <w:p>
      <w:pPr>
        <w:spacing w:line="480" w:lineRule="auto" w:after="0" w:before="0"/>
        <w:jc w:val="both"/>
      </w:pPr>
      <w:r>
        <w:rPr>
          <w:rFonts w:ascii="Times New Roman" w:hAnsi="Times New Roman" w:eastAsia="Times New Roman"/>
          <w:sz w:val="24"/>
        </w:rPr>
        <w:t>Centrality calculations exposed an acute disparity between formal political power and digital communicative authority:</w:t>
      </w:r>
    </w:p>
    <w:p>
      <w:pPr>
        <w:spacing w:line="480" w:lineRule="auto" w:after="0" w:before="0"/>
        <w:jc w:val="both"/>
      </w:pPr>
      <w:r>
        <w:t>| Rank | User Account | In-Degree ($C_{\text{in}}$) | Out-Degree ($C_{\text{out}}$) | Betweenness ($C_B$) | Role in Discourse Network |</w:t>
      </w:r>
    </w:p>
    <w:p>
      <w:pPr>
        <w:spacing w:line="480" w:lineRule="auto" w:after="0" w:before="0"/>
        <w:jc w:val="both"/>
      </w:pPr>
      <w:r>
        <w:rPr>
          <w:rFonts w:ascii="Times New Roman" w:hAnsi="Times New Roman" w:eastAsia="Times New Roman"/>
          <w:sz w:val="24"/>
        </w:rPr>
        <w:t>| :---: | :--- | :---: | :---: | :---: | :--- |</w:t>
      </w:r>
    </w:p>
    <w:p>
      <w:pPr>
        <w:spacing w:line="480" w:lineRule="auto" w:after="0" w:before="0"/>
        <w:jc w:val="both"/>
      </w:pPr>
      <w:r>
        <w:rPr>
          <w:rFonts w:ascii="Times New Roman" w:hAnsi="Times New Roman" w:eastAsia="Times New Roman"/>
          <w:sz w:val="24"/>
        </w:rPr>
        <w:t>| 1 | @grok | 0 | 42 | 0.000000 | Algorithmic Oracle (Primary Broadcast Hub) |</w:t>
      </w:r>
    </w:p>
    <w:p>
      <w:pPr>
        <w:spacing w:line="480" w:lineRule="auto" w:after="0" w:before="0"/>
        <w:jc w:val="both"/>
      </w:pPr>
      <w:r>
        <w:rPr>
          <w:rFonts w:ascii="Times New Roman" w:hAnsi="Times New Roman" w:eastAsia="Times New Roman"/>
          <w:sz w:val="24"/>
        </w:rPr>
        <w:t>| 2 | @4Y4NKZ | 1 | 8 | 0.000016 | Structural Broker (Inter-cluster bridge) |</w:t>
      </w:r>
    </w:p>
    <w:p>
      <w:pPr>
        <w:spacing w:line="480" w:lineRule="auto" w:after="0" w:before="0"/>
        <w:jc w:val="both"/>
      </w:pPr>
      <w:r>
        <w:rPr>
          <w:rFonts w:ascii="Times New Roman" w:hAnsi="Times New Roman" w:eastAsia="Times New Roman"/>
          <w:sz w:val="24"/>
        </w:rPr>
        <w:t>| 3 | @prabowo | 15 | 0 | 0.000000 | Power Vacuum (Passive Target of Grievances) |</w:t>
      </w:r>
    </w:p>
    <w:p>
      <w:pPr>
        <w:spacing w:line="480" w:lineRule="auto" w:after="0" w:before="0"/>
        <w:jc w:val="both"/>
      </w:pPr>
      <w:r>
        <w:rPr>
          <w:rFonts w:ascii="Times New Roman" w:hAnsi="Times New Roman" w:eastAsia="Times New Roman"/>
          <w:sz w:val="24"/>
        </w:rPr>
        <w:t>| 4 | @jokowi | 9 | 0 | 0.000000 | Secondary Institutional Target |</w:t>
      </w:r>
    </w:p>
    <w:p>
      <w:pPr>
        <w:spacing w:line="480" w:lineRule="auto" w:after="0" w:before="0"/>
        <w:jc w:val="both"/>
      </w:pPr>
      <w:r>
        <w:rPr>
          <w:rFonts w:ascii="Times New Roman" w:hAnsi="Times New Roman" w:eastAsia="Times New Roman"/>
          <w:sz w:val="24"/>
        </w:rPr>
        <w:t>| 5 | @gibran_tweet| 7 | 0 | 0.000000 | Secondary Institutional Target |</w:t>
      </w:r>
    </w:p>
    <w:p>
      <w:pPr>
        <w:spacing w:line="480" w:lineRule="auto" w:after="0" w:before="0"/>
        <w:jc w:val="both"/>
      </w:pPr>
      <w:r>
        <w:t>While the executive head of state (@prabowo) accumulated the highest In-Degree (15) as a prominent target of public accountability, his Out-Degree remained zero ($C_{</w:t>
        <w:tab/>
        <w:t>ext{out}} = 0$). Cross-referencing structural network position with the affective classification engine revealed a direct affective-structural correspondence: posts directly mentioning @prabowo were overwhelmingly dominated by Disgust (76.2%) and biting digital sarcasm (18.4%), directing moral outrage at executive leadership regarding substandard meal quality, vendor procurement, and food poisoning incidents.</w:t>
      </w:r>
    </w:p>
    <w:p>
      <w:pPr>
        <w:spacing w:line="480" w:lineRule="auto" w:after="0" w:before="0"/>
        <w:jc w:val="both"/>
      </w:pPr>
      <w:r>
        <w:t>In contrast, xAI's conversational agent (@grok) recorded the highest Out-Degree in the observed network ($C_{</w:t>
        <w:tab/>
        <w:t>ext{out}} = 42$). In sharp contrast to the outrage directed at political authorities, user interactions tagging @grok exhibited an analytical, epistemic inquiry posture dominated by Neutral/Analytical inquiry (44.8%) and Interest (32.1%), where citizens sought objective verification on fiscal allocations (e.g., unit meal costs of Rp10.000 vs. Rp15.000) and food safety parameters. This position indicates that the AI-mediated account occupied an 'Algorithmic Oracle' role, serving as a surrogate epistemic authority in an interaction network characterized by institutional broadcast silence.</w:t>
      </w:r>
    </w:p>
    <w:p>
      <w:pPr>
        <w:pStyle w:val="Heading2"/>
        <w:spacing w:before="0" w:after="0" w:line="480" w:lineRule="auto"/>
        <w:jc w:val="left"/>
      </w:pPr>
      <w:r>
        <w:rPr>
          <w:rFonts w:ascii="Times New Roman" w:hAnsi="Times New Roman" w:eastAsia="Times New Roman"/>
          <w:b/>
          <w:sz w:val="24"/>
        </w:rPr>
        <w:t>4.5 Model Performance and Evaluation</w:t>
      </w:r>
    </w:p>
    <w:p>
      <w:pPr>
        <w:spacing w:line="480" w:lineRule="auto" w:after="0" w:before="0"/>
        <w:jc w:val="both"/>
      </w:pPr>
      <w:r>
        <w:t>Evaluating the group-aware retrained IndoBERT model (checkpoint-264) alongside linear baselines on the independent, zero-leakage holdout test set ($n = 1,058$) produced the comparative benchmark presented in Table 2:</w:t>
      </w:r>
    </w:p>
    <w:p>
      <w:pPr>
        <w:spacing w:line="480" w:lineRule="auto" w:after="0" w:before="0"/>
        <w:jc w:val="both"/>
      </w:pPr>
      <w:r>
        <w:t>Table 2: Comparative Multi-Model Performance on Zero-Leakage Group-Aware Test Set ($n = 1,058$)</w:t>
        <w:br/>
        <w:t>| Model Architecture | Feature Representation | Accuracy | Macro F1 | Weighted F1 | Protocol |</w:t>
        <w:br/>
        <w:t>| :--- | :--- | :---: | :---: | :---: | :---: |</w:t>
        <w:br/>
        <w:t>| TF-IDF + Logistic Regression | Word &amp; Bigram TF-IDF | 0.6947 | 0.3429 | 0.6457 | Group-Aware (Zero Leakage) |</w:t>
        <w:br/>
        <w:t>| TF-IDF + Linear SVM | Word &amp; Bigram TF-IDF | 0.6720 | 0.4095 | 0.6558 | Group-Aware (Zero Leakage) |</w:t>
        <w:br/>
        <w:t>| **IndoBERT (Fine-Tuned)** | **Contextual Transformer Embeddings** | **0.7940** | **0.5160** | **0.7851** | **Group-Aware (Zero Leakage)** |</w:t>
        <w:br/>
        <w:br/>
        <w:t>Table 3: Per-Class Evaluation Breakdown for Group-Aware IndoBERT Model ($n = 1,058$)</w:t>
        <w:br/>
        <w:t>| Emotion Class | Precision | Recall | F1-Score | Support ($n$) | Share of Test Set (%) |</w:t>
        <w:br/>
        <w:t>| :--- | :---: | :---: | :---: | :---: | :---: |</w:t>
        <w:br/>
        <w:t>| **Disgust (Jijik)** | 0.8176 | 0.8729 | **0.8444** | 606 | 57.28% |</w:t>
        <w:br/>
        <w:t>| **Trust (Percaya)** | 0.7511 | 0.7545 | **0.7528** | 220 | 20.79% |</w:t>
        <w:br/>
        <w:t>| **Neutral (Netral)** | 0.8347 | 0.8145 | **0.8245** | 124 | 11.72% |</w:t>
        <w:br/>
        <w:t>| **Interest (Tertarik)** | 0.6324 | 0.4725 | **0.5409** | 91 | 8.60% |</w:t>
        <w:br/>
        <w:t>| **Anger (Marah)** | 1.0000 | 0.0714 | **0.1333** | 14 | 1.32% (Minority) |</w:t>
        <w:br/>
        <w:t>| **Sadness (Sedih)** | 0.0000 | 0.0000 | **0.0000** | 3 | 0.28% (Minority) |</w:t>
        <w:br/>
        <w:t>| **Overall Accuracy** | — | — | **0.7940** | **1,058** | **100.00%** |</w:t>
        <w:br/>
        <w:t>| **Macro Average** | **0.6726** | **0.4977** | **0.5160** | **1,058** | — |</w:t>
        <w:br/>
        <w:t>| **Weighted Average** | **0.7838** | **0.7940** | **0.7851** | **1,058** | — |</w:t>
      </w:r>
    </w:p>
    <w:p>
      <w:pPr>
        <w:spacing w:line="480" w:lineRule="auto" w:after="0" w:before="0"/>
        <w:jc w:val="both"/>
      </w:pPr>
      <w:r/>
    </w:p>
    <w:p>
      <w:pPr>
        <w:spacing w:line="480" w:lineRule="auto" w:after="0" w:before="0"/>
        <w:jc w:val="both"/>
      </w:pPr>
      <w:r/>
    </w:p>
    <w:p>
      <w:pPr>
        <w:spacing w:line="480" w:lineRule="auto" w:after="0" w:before="0"/>
        <w:jc w:val="both"/>
      </w:pPr>
      <w:r/>
    </w:p>
    <w:p>
      <w:pPr>
        <w:spacing w:line="480" w:lineRule="auto" w:after="0" w:before="0"/>
        <w:jc w:val="both"/>
      </w:pPr>
      <w:r/>
    </w:p>
    <w:p>
      <w:pPr>
        <w:spacing w:line="480" w:lineRule="auto" w:after="0" w:before="0"/>
        <w:jc w:val="both"/>
      </w:pPr>
      <w:r/>
    </w:p>
    <w:p>
      <w:pPr>
        <w:spacing w:line="480" w:lineRule="auto" w:after="0" w:before="0"/>
        <w:jc w:val="both"/>
      </w:pPr>
      <w:r/>
    </w:p>
    <w:p>
      <w:pPr>
        <w:spacing w:line="480" w:lineRule="auto" w:after="0" w:before="0"/>
        <w:jc w:val="both"/>
      </w:pPr>
      <w:r/>
    </w:p>
    <w:p>
      <w:pPr>
        <w:spacing w:line="480" w:lineRule="auto" w:after="0" w:before="0"/>
        <w:jc w:val="both"/>
      </w:pPr>
      <w:r/>
    </w:p>
    <w:p>
      <w:pPr>
        <w:spacing w:line="480" w:lineRule="auto" w:after="0" w:before="0"/>
        <w:jc w:val="both"/>
      </w:pPr>
      <w:r/>
    </w:p>
    <w:p>
      <w:pPr>
        <w:spacing w:line="480" w:lineRule="auto" w:after="0" w:before="0"/>
        <w:jc w:val="both"/>
      </w:pPr>
      <w:r/>
    </w:p>
    <w:p>
      <w:pPr>
        <w:spacing w:line="480" w:lineRule="auto" w:after="0" w:before="0"/>
        <w:jc w:val="both"/>
      </w:pPr>
      <w:r>
        <w:t>Figure 4 illustrates the 300 DPI multi-class confusion matrix for the final IndoBERT group-aware model. As reflected in the confusion matrix and Table 3, the model demonstrated strong classification capability on the four primary discursive classes—Disgust (F1 = 0.8444), Neutral (F1 = 0.8245), Trust (F1 = 0.7528), and Interest (F1 = 0.5409). The unweighted Macro-F1 (0.5160) reflects the heavy penalty imposed by extreme empirical class imbalance, where acute minority classes such as Anger ($n = 14$) and Sadness ($n = 3$) comprised less than 1.5% of the corpus. For sarcasm identification, the pipeline operationalized a pragmatic text-emoji incongruence detector on a dedicated validation corpus of 3,395 posts, identifying 315 sarcastic tweets (9.28%) characterized by superficial praise paired with derisive emojis (🤡, 🤮), rather than an isolated neural classifier.</w:t>
      </w:r>
    </w:p>
    <w:p>
      <w:pPr>
        <w:pStyle w:val="Heading2"/>
        <w:spacing w:before="0" w:after="0" w:line="480" w:lineRule="auto"/>
        <w:jc w:val="left"/>
      </w:pPr>
      <w:r>
        <w:rPr>
          <w:rFonts w:ascii="Times New Roman" w:hAnsi="Times New Roman" w:eastAsia="Times New Roman"/>
          <w:b/>
          <w:sz w:val="24"/>
        </w:rPr>
        <w:t>4.6 Empirical Validation of the Phygital Gap (ABSA Results)</w:t>
      </w:r>
    </w:p>
    <w:p>
      <w:pPr>
        <w:spacing w:line="480" w:lineRule="auto" w:after="0" w:before="0"/>
        <w:jc w:val="both"/>
      </w:pPr>
      <w:r>
        <w:rPr>
          <w:rFonts w:ascii="Times New Roman" w:hAnsi="Times New Roman" w:eastAsia="Times New Roman"/>
          <w:sz w:val="24"/>
        </w:rPr>
        <w:t>Thematic aspect-based affective distribution across the three physical dimensions of the MBG program confirmed that public disgust was anchored in physical execution failures:</w:t>
      </w:r>
    </w:p>
    <w:p>
      <w:pPr>
        <w:spacing w:line="480" w:lineRule="auto" w:after="0" w:before="0"/>
        <w:jc w:val="both"/>
      </w:pPr>
      <w:r>
        <w:rPr>
          <w:rFonts w:ascii="Times New Roman" w:hAnsi="Times New Roman" w:eastAsia="Times New Roman"/>
          <w:sz w:val="24"/>
        </w:rPr>
        <w:t>| Aspect Theme | Total Mentions | Disgust Count | Disgust Pct (%) | Trust Count | Trust Pct (%) | Neutral Pct (%) |</w:t>
      </w:r>
    </w:p>
    <w:p>
      <w:pPr>
        <w:spacing w:line="480" w:lineRule="auto" w:after="0" w:before="0"/>
        <w:jc w:val="both"/>
      </w:pPr>
      <w:r>
        <w:rPr>
          <w:rFonts w:ascii="Times New Roman" w:hAnsi="Times New Roman" w:eastAsia="Times New Roman"/>
          <w:sz w:val="24"/>
        </w:rPr>
        <w:t>| :--- | :---: | :---: | :---: | :---: | :--- | :--- |</w:t>
      </w:r>
    </w:p>
    <w:p>
      <w:pPr>
        <w:spacing w:line="480" w:lineRule="auto" w:after="0" w:before="0"/>
        <w:jc w:val="both"/>
      </w:pPr>
      <w:r>
        <w:rPr>
          <w:rFonts w:ascii="Times New Roman" w:hAnsi="Times New Roman" w:eastAsia="Times New Roman"/>
          <w:sz w:val="24"/>
        </w:rPr>
        <w:t>| Logistics &amp; Distribution | 403 | 318 | 78.91% | 21 | 5.21% | 15.88% |</w:t>
      </w:r>
    </w:p>
    <w:p>
      <w:pPr>
        <w:spacing w:line="480" w:lineRule="auto" w:after="0" w:before="0"/>
        <w:jc w:val="both"/>
      </w:pPr>
      <w:r>
        <w:rPr>
          <w:rFonts w:ascii="Times New Roman" w:hAnsi="Times New Roman" w:eastAsia="Times New Roman"/>
          <w:sz w:val="24"/>
        </w:rPr>
        <w:t>| Budget Allocation &amp; Vendors| 535 | 412 | 77.01% | 23 | 4.30% | 18.69% |</w:t>
      </w:r>
    </w:p>
    <w:p>
      <w:pPr>
        <w:spacing w:line="480" w:lineRule="auto" w:after="0" w:before="0"/>
        <w:jc w:val="both"/>
      </w:pPr>
      <w:r>
        <w:rPr>
          <w:rFonts w:ascii="Times New Roman" w:hAnsi="Times New Roman" w:eastAsia="Times New Roman"/>
          <w:sz w:val="24"/>
        </w:rPr>
        <w:t>| Food Nutritional Quality | 1,344 | 956 | 71.13% | 119 | 8.85% | 20.01% |</w:t>
      </w:r>
    </w:p>
    <w:p>
      <w:pPr>
        <w:spacing w:line="480" w:lineRule="auto" w:after="0" w:before="0"/>
        <w:jc w:val="both"/>
      </w:pPr>
      <w:r>
        <w:rPr>
          <w:rFonts w:ascii="Times New Roman" w:hAnsi="Times New Roman" w:eastAsia="Times New Roman"/>
          <w:sz w:val="24"/>
        </w:rPr>
        <w:t>Across all three operational aspects, Disgust exceeded $70\%$, peaking at $78.91\%$ in Logistics and $77.01\%$ in Budget Allocation. These findings provide empirical evidence consistent with the Phygital Gap interpretation: negative affect was associated with operational concerns expressed in the observed discourse, including delivery timing, budget allocation, and dietary portion sizes.</w:t>
      </w:r>
    </w:p>
    <w:p>
      <w:pPr>
        <w:pStyle w:val="Heading1"/>
        <w:spacing w:before="0" w:after="0" w:line="480" w:lineRule="auto"/>
        <w:jc w:val="left"/>
      </w:pPr>
      <w:r>
        <w:rPr>
          <w:rFonts w:ascii="Times New Roman" w:hAnsi="Times New Roman" w:eastAsia="Times New Roman"/>
          <w:b/>
          <w:sz w:val="24"/>
        </w:rPr>
        <w:t>5. DISCUSSION</w:t>
      </w:r>
    </w:p>
    <w:p>
      <w:pPr>
        <w:pStyle w:val="Heading2"/>
        <w:spacing w:before="0" w:after="0" w:line="480" w:lineRule="auto"/>
        <w:jc w:val="left"/>
      </w:pPr>
      <w:r>
        <w:rPr>
          <w:rFonts w:ascii="Times New Roman" w:hAnsi="Times New Roman" w:eastAsia="Times New Roman"/>
          <w:b/>
          <w:sz w:val="24"/>
        </w:rPr>
        <w:t>5.1 The Anatomy of the Phygital Gap in Public Sector Governance</w:t>
      </w:r>
    </w:p>
    <w:p>
      <w:pPr>
        <w:spacing w:line="480" w:lineRule="auto" w:after="0" w:before="0"/>
        <w:jc w:val="both"/>
      </w:pPr>
      <w:r>
        <w:rPr>
          <w:rFonts w:ascii="Times New Roman" w:hAnsi="Times New Roman" w:eastAsia="Times New Roman"/>
          <w:sz w:val="24"/>
        </w:rPr>
        <w:t>The empirical findings provide evidence relevant to the central theoretical proposition of this study: the crisis of the MBG program can be interpreted through the Phygital Gap (Kotler et al., 2023) in the context of public policy communication. In corporate marketing, a phygital gap concerns discrepancies between digital representations and physical or experiential delivery; in public governance, similar discrepancies may affect perceptions of policy credibility and institutional legitimacy. The government communicated an appealing digital vision of national nutritional sovereignty through press releases, social media infographics, and broadcast announcements. However, when the physical deliverable—the meal tray—was perceived by users as unhygienic or insufficient in portion size, the discrepancy between communicated expectations and reported physical experiences became salient in public discourse.</w:t>
      </w:r>
    </w:p>
    <w:p>
      <w:pPr>
        <w:spacing w:line="480" w:lineRule="auto" w:after="0" w:before="0"/>
        <w:jc w:val="both"/>
      </w:pPr>
      <w:r>
        <w:rPr>
          <w:rFonts w:ascii="Times New Roman" w:hAnsi="Times New Roman" w:eastAsia="Times New Roman"/>
          <w:sz w:val="24"/>
        </w:rPr>
        <w:t>The dominance of Disgust (56.24%) over Anger (1.05%) is analytically significant within the observed corpus. In political psychology, anger is generally associated with approach-oriented responses that can motivate political activism, protest, and demands for institutional reform, whereas disgust is associated with avoidance-oriented responses and may be triggered by perceptions of contamination or moral violation. In the context of the present study, the predominance of Disgust may indicate that negative public responses were more strongly associated with perceived problems at the physical and operational touchpoints of the MBG program than with mobilization-oriented anger. This pattern should be interpreted as a characteristic of the observed corpus rather than as evidence of a general psychological response to the policy.</w:t>
      </w:r>
    </w:p>
    <w:p>
      <w:pPr>
        <w:pStyle w:val="Heading2"/>
        <w:spacing w:before="0" w:after="0" w:line="480" w:lineRule="auto"/>
        <w:jc w:val="left"/>
      </w:pPr>
      <w:r>
        <w:rPr>
          <w:rFonts w:ascii="Times New Roman" w:hAnsi="Times New Roman" w:eastAsia="Times New Roman"/>
          <w:b/>
          <w:sz w:val="24"/>
        </w:rPr>
        <w:t>5.2 Hyper-Fragmentation and the Death of Deliberative Space</w:t>
      </w:r>
    </w:p>
    <w:p>
      <w:pPr>
        <w:spacing w:line="480" w:lineRule="auto" w:after="0" w:before="0"/>
        <w:jc w:val="both"/>
      </w:pPr>
      <w:r>
        <w:rPr>
          <w:rFonts w:ascii="Times New Roman" w:hAnsi="Times New Roman" w:eastAsia="Times New Roman"/>
          <w:sz w:val="24"/>
        </w:rPr>
        <w:t>Habermas (2006) cautioned that internet-mediated public spheres risk communicative anarchism without institutional mediating structures. The topological network metrics of the MBG discourse provide startling empirical support for this warning. A modularity score of $Q = 0.9837$ is extraordinarily high in political communication networks, where modularity typically ranges between $0.40$ and $0.65$ (Newman, 2006). Rather than dividing into a classic bi-polar structure (e.g., government supporters vs. opposition partisans), the discourse disintegrated into 332 isolated communicative islands.</w:t>
      </w:r>
    </w:p>
    <w:p>
      <w:pPr>
        <w:spacing w:line="480" w:lineRule="auto" w:after="0" w:before="0"/>
        <w:jc w:val="both"/>
      </w:pPr>
      <w:r>
        <w:rPr>
          <w:rFonts w:ascii="Times New Roman" w:hAnsi="Times New Roman" w:eastAsia="Times New Roman"/>
          <w:sz w:val="24"/>
        </w:rPr>
        <w:t>Coupled with a reciprocity rate of only 1.21%, this suggests that the observed digital discourse was structurally constrained as a deliberative space. Citizens broadcasted their frustration into localized micro-clusters, while reciprocal interaction with government actors was limited in the observed network. The giant component captured only $9.17\%$ of nodes, indicating that the network contained substantial fragmentation and limited connectivity across discourse clusters.</w:t>
      </w:r>
    </w:p>
    <w:p>
      <w:pPr>
        <w:pStyle w:val="Heading2"/>
        <w:spacing w:before="0" w:after="0" w:line="480" w:lineRule="auto"/>
        <w:jc w:val="left"/>
      </w:pPr>
      <w:r>
        <w:rPr>
          <w:rFonts w:ascii="Times New Roman" w:hAnsi="Times New Roman" w:eastAsia="Times New Roman"/>
          <w:b/>
          <w:sz w:val="24"/>
        </w:rPr>
        <w:t>5.3 The Emergence of the 'Algorithmic Oracle'</w:t>
      </w:r>
    </w:p>
    <w:p>
      <w:pPr>
        <w:spacing w:line="480" w:lineRule="auto" w:after="0" w:before="0"/>
        <w:jc w:val="both"/>
      </w:pPr>
      <w:r>
        <w:t>An important empirical finding concerns the communicative position of the artificial intelligence account. In classical crisis communication models (Coombs, 2007), epistemic authority is generally associated with institutional leaders, official spokespersons, or other recognized information sources. In the observed network, however, @grok recorded an Out-Degree of 42, while @prabowo recorded an Out-Degree of zero ($C_{\text{out}} = 0$). This difference indicates an asymmetry in observed outbound interaction involving institutional and AI-mediated accounts.</w:t>
      </w:r>
    </w:p>
    <w:p>
      <w:pPr>
        <w:spacing w:line="480" w:lineRule="auto" w:after="0" w:before="0"/>
        <w:jc w:val="both"/>
      </w:pPr>
      <w:r>
        <w:rPr>
          <w:rFonts w:ascii="Times New Roman" w:hAnsi="Times New Roman" w:eastAsia="Times New Roman"/>
          <w:sz w:val="24"/>
        </w:rPr>
        <w:t>When state actors provide limited responses to operational queries, some users may redirect information-seeking activities toward AI-mediated accounts. In the observed network, users tagged @grok in attempts to verify contract values, calculate vendor margins, and cross-reference nutritional standards. The AI agent therefore occupied a distinct information-seeking position within the observed interaction network. This pattern is relevant to human-machine communication because an AI-mediated account can become part of the communicative infrastructure through which users seek, interpret, and validate policy-related information. The finding therefore provides an empirical instance of how algorithmic actors may participate in public-policy discourse alongside human institutional and non-institutional actors.</w:t>
      </w:r>
    </w:p>
    <w:p>
      <w:pPr>
        <w:pStyle w:val="Heading2"/>
        <w:spacing w:before="0" w:after="0" w:line="480" w:lineRule="auto"/>
        <w:jc w:val="left"/>
      </w:pPr>
      <w:r>
        <w:rPr>
          <w:rFonts w:ascii="Times New Roman" w:hAnsi="Times New Roman" w:eastAsia="Times New Roman"/>
          <w:b/>
          <w:sz w:val="24"/>
        </w:rPr>
        <w:t>5.4 Sarcasm as Rhetorical Counter-Surveillance</w:t>
      </w:r>
    </w:p>
    <w:p>
      <w:pPr>
        <w:spacing w:line="480" w:lineRule="auto" w:after="0" w:before="0"/>
        <w:jc w:val="both"/>
      </w:pPr>
      <w:r>
        <w:rPr>
          <w:rFonts w:ascii="Times New Roman" w:hAnsi="Times New Roman" w:eastAsia="Times New Roman"/>
          <w:sz w:val="24"/>
        </w:rPr>
        <w:t>The identification of 315 validated sarcastic tweets ($9.28\%$) and 181 sharp binary contradictions reflects the tactical adaptation of Indonesian digital rhetoric. Facing potential legal consequences under defamation and electronic information laws (UU ITE), citizens weaponized Pretense Theory (Clark &amp; Gerrig, 1984). Netizens praised the program's 'luxury' while attaching emojis indicating nausea (🤮) or foolishness (🤡). This semiotic incongruity served as an effective cloaking mechanism against automated sentiment tracking systems that rely on superficial keyword dictionaries, preserving critical dissent within algorithmic public spheres.</w:t>
      </w:r>
    </w:p>
    <w:p>
      <w:pPr>
        <w:pStyle w:val="Heading1"/>
        <w:spacing w:before="0" w:after="0" w:line="480" w:lineRule="auto"/>
        <w:jc w:val="left"/>
      </w:pPr>
      <w:r>
        <w:rPr>
          <w:rFonts w:ascii="Times New Roman" w:hAnsi="Times New Roman" w:eastAsia="Times New Roman"/>
          <w:b/>
          <w:sz w:val="24"/>
        </w:rPr>
        <w:t>6. THEORETICAL AND PRACTICAL CONTRIBUTIONS</w:t>
      </w:r>
    </w:p>
    <w:p>
      <w:pPr>
        <w:pStyle w:val="Heading2"/>
        <w:spacing w:before="0" w:after="0" w:line="480" w:lineRule="auto"/>
        <w:jc w:val="left"/>
      </w:pPr>
      <w:r>
        <w:rPr>
          <w:rFonts w:ascii="Times New Roman" w:hAnsi="Times New Roman" w:eastAsia="Times New Roman"/>
          <w:b/>
          <w:sz w:val="24"/>
        </w:rPr>
        <w:t>6.1 Theoretical Contributions</w:t>
      </w:r>
    </w:p>
    <w:p>
      <w:pPr>
        <w:spacing w:line="480" w:lineRule="auto" w:after="0" w:before="0"/>
        <w:jc w:val="both"/>
      </w:pPr>
      <w:r>
        <w:rPr>
          <w:rFonts w:ascii="Times New Roman" w:hAnsi="Times New Roman" w:eastAsia="Times New Roman"/>
          <w:sz w:val="24"/>
        </w:rPr>
        <w:t>1. Extension of Marketing 6.0 into Public Administration: This study demonstrates that the Phygital Gap is a rigorous, quantifiable construct for evaluating state policy crises, bridging marketing theory with public administration.</w:t>
      </w:r>
    </w:p>
    <w:p>
      <w:pPr>
        <w:spacing w:line="480" w:lineRule="auto" w:after="0" w:before="0"/>
        <w:jc w:val="both"/>
      </w:pPr>
      <w:r>
        <w:rPr>
          <w:rFonts w:ascii="Times New Roman" w:hAnsi="Times New Roman" w:eastAsia="Times New Roman"/>
          <w:sz w:val="24"/>
        </w:rPr>
        <w:t>2. Tri-Layer CSS Methodological Synthesis: By synchronizing transformer deep learning (IndoBERT), pragmatics-informed sarcasm detection, and topological SNA, this research presents an integrative blueprint for computational communication science that avoids the reductionism of isolated text or network studies.</w:t>
      </w:r>
    </w:p>
    <w:p>
      <w:pPr>
        <w:spacing w:line="480" w:lineRule="auto" w:after="0" w:before="0"/>
        <w:jc w:val="both"/>
      </w:pPr>
      <w:r>
        <w:rPr>
          <w:rFonts w:ascii="Times New Roman" w:hAnsi="Times New Roman" w:eastAsia="Times New Roman"/>
          <w:sz w:val="24"/>
        </w:rPr>
        <w:t>3. Conceptualization of the Algorithmic Oracle: We document an observed pattern of an AI agent functioning as a central communicative authority in an Indonesian public policy crisis network, redefining theories of networked gatekeeping.</w:t>
      </w:r>
    </w:p>
    <w:p>
      <w:pPr>
        <w:pStyle w:val="Heading2"/>
        <w:spacing w:before="0" w:after="0" w:line="480" w:lineRule="auto"/>
        <w:jc w:val="left"/>
      </w:pPr>
      <w:r>
        <w:rPr>
          <w:rFonts w:ascii="Times New Roman" w:hAnsi="Times New Roman" w:eastAsia="Times New Roman"/>
          <w:b/>
          <w:sz w:val="24"/>
        </w:rPr>
        <w:t>6.2 Practical Policy and PR Implications</w:t>
      </w:r>
    </w:p>
    <w:p>
      <w:pPr>
        <w:spacing w:line="480" w:lineRule="auto" w:after="0" w:before="0"/>
        <w:jc w:val="both"/>
      </w:pPr>
      <w:r>
        <w:rPr>
          <w:rFonts w:ascii="Times New Roman" w:hAnsi="Times New Roman" w:eastAsia="Times New Roman"/>
          <w:sz w:val="24"/>
        </w:rPr>
        <w:t>1. Closing the Physical Touchpoint: Public sector communication teams are unlikely to resolve an operational crisis through digital communication alone. PR resources should therefore be complemented by attention to ground-level operational logistics before launching promotional digital campaigns.</w:t>
      </w:r>
    </w:p>
    <w:p>
      <w:pPr>
        <w:spacing w:line="480" w:lineRule="auto" w:after="0" w:before="0"/>
        <w:jc w:val="both"/>
      </w:pPr>
      <w:r>
        <w:rPr>
          <w:rFonts w:ascii="Times New Roman" w:hAnsi="Times New Roman" w:eastAsia="Times New Roman"/>
          <w:sz w:val="24"/>
        </w:rPr>
        <w:t>2. Reducing the Power Vacuum: Institutional communicators may need to reconsider one-way broadcast practices in contexts characterized by limited reciprocal interaction. Establishing responsive, interactive social listening units capable of engaging with citizen inquiries could help increase network reciprocity and support institutional trust.</w:t>
      </w:r>
    </w:p>
    <w:p>
      <w:pPr>
        <w:spacing w:line="480" w:lineRule="auto" w:after="0" w:before="0"/>
        <w:jc w:val="both"/>
      </w:pPr>
      <w:r>
        <w:rPr>
          <w:rFonts w:ascii="Times New Roman" w:hAnsi="Times New Roman" w:eastAsia="Times New Roman"/>
          <w:sz w:val="24"/>
        </w:rPr>
        <w:t>3. Moving Beyond Binary Sentiment Tools: Government monitoring dashboards may benefit from complementing positive/negative lexicon approaches with contextual transformer models capable of identifying sarcasm and more granular affective categories, including disgust.</w:t>
      </w:r>
    </w:p>
    <w:p>
      <w:pPr>
        <w:pStyle w:val="Heading1"/>
        <w:spacing w:before="0" w:after="0" w:line="480" w:lineRule="auto"/>
        <w:jc w:val="left"/>
      </w:pPr>
      <w:r>
        <w:rPr>
          <w:rFonts w:ascii="Times New Roman" w:hAnsi="Times New Roman" w:eastAsia="Times New Roman"/>
          <w:b/>
          <w:sz w:val="24"/>
        </w:rPr>
        <w:t>7. RESEARCH LIMITATIONS AND FUTURE RESEARCH AGENDA</w:t>
      </w:r>
    </w:p>
    <w:p>
      <w:pPr>
        <w:spacing w:line="480" w:lineRule="auto" w:after="0" w:before="0"/>
        <w:jc w:val="both"/>
      </w:pPr>
      <w:r>
        <w:rPr>
          <w:rFonts w:ascii="Times New Roman" w:hAnsi="Times New Roman" w:eastAsia="Times New Roman"/>
          <w:sz w:val="24"/>
        </w:rPr>
        <w:t>In compliance with academic rigor, this study identifies five methodological boundaries:</w:t>
      </w:r>
    </w:p>
    <w:p>
      <w:pPr>
        <w:spacing w:line="480" w:lineRule="auto" w:after="0" w:before="0"/>
        <w:jc w:val="both"/>
      </w:pPr>
      <w:r>
        <w:rPr>
          <w:rFonts w:ascii="Times New Roman" w:hAnsi="Times New Roman" w:eastAsia="Times New Roman"/>
          <w:sz w:val="24"/>
        </w:rPr>
        <w:t>1. Demographic Platform Bias: Data is derived solely from Platform X, which disproportionately represents urban, educated, and politically active demographics; findings cannot be generalized to the entire offline Indonesian populace.</w:t>
      </w:r>
    </w:p>
    <w:p>
      <w:pPr>
        <w:spacing w:line="480" w:lineRule="auto" w:after="0" w:before="0"/>
        <w:jc w:val="both"/>
      </w:pPr>
      <w:r>
        <w:t>2. Class Imbalance and Silver-Standard Annotation: The initial corpus comprised 5,310 posts, with 5,263 retained after preprocessing. The empirical distribution exhibits severe affective imbalance, with Disgust comprising 56.24% of posts, while Joy and Surprise contained zero observations. This reflects the acute crisis nature of the discourse rather than methodological omission. Furthermore, reference labels represent silver-standard annotations generated via an automated pipeline (Gemini API + keyword extraction) rather than multi-annotator human consensus. Future work will curate balanced human gold-standard corpora to refine minority-class sensitivity.</w:t>
      </w:r>
    </w:p>
    <w:p>
      <w:pPr>
        <w:spacing w:line="480" w:lineRule="auto" w:after="0" w:before="0"/>
        <w:jc w:val="both"/>
      </w:pPr>
      <w:r>
        <w:rPr>
          <w:rFonts w:ascii="Times New Roman" w:hAnsi="Times New Roman" w:eastAsia="Times New Roman"/>
          <w:sz w:val="24"/>
        </w:rPr>
        <w:t>3. Lexical Aspect Extraction: Aspect extraction in ABSA utilized curated domain lexicons rather than an end-to-end supervised dependency parser.</w:t>
      </w:r>
    </w:p>
    <w:p>
      <w:pPr>
        <w:spacing w:line="480" w:lineRule="auto" w:after="0" w:before="0"/>
        <w:jc w:val="both"/>
      </w:pPr>
      <w:r>
        <w:rPr>
          <w:rFonts w:ascii="Times New Roman" w:hAnsi="Times New Roman" w:eastAsia="Times New Roman"/>
          <w:sz w:val="24"/>
        </w:rPr>
        <w:t>4. Cross-Platform Omission: Visual and video-based platforms (TikTok, Instagram) where the physical food was visually documented were not included in this computational pipeline.</w:t>
      </w:r>
    </w:p>
    <w:p>
      <w:pPr>
        <w:spacing w:line="480" w:lineRule="auto" w:after="0" w:before="0"/>
        <w:jc w:val="both"/>
      </w:pPr>
      <w:r>
        <w:t>5. Network Interaction Scope and Ethical Standards: The analyzed structural topology captures a mention-based interaction network ($|V| = 971, |E| = 666$). While mentions effectively isolate direct institutional accountability requests and epistemic queries, they do not encompass reply threads, quote tweets, or retweet diffusion trees. Multi-layer network modeling across temporal intervals represents a promising direction for future research. Data collection complied with Platform X Developer Terms of Service; private accounts were excluded, and individual user handles—outside verified public political and institutional entities—were anonymized to safeguard user privacy.</w:t>
      </w:r>
    </w:p>
    <w:p>
      <w:pPr>
        <w:pStyle w:val="Heading1"/>
        <w:spacing w:before="0" w:after="0" w:line="480" w:lineRule="auto"/>
        <w:jc w:val="left"/>
      </w:pPr>
      <w:r>
        <w:rPr>
          <w:rFonts w:ascii="Times New Roman" w:hAnsi="Times New Roman" w:eastAsia="Times New Roman"/>
          <w:b/>
          <w:sz w:val="24"/>
        </w:rPr>
        <w:t>8. CONCLUSION</w:t>
      </w:r>
    </w:p>
    <w:p>
      <w:pPr>
        <w:spacing w:line="480" w:lineRule="auto" w:after="0" w:before="0"/>
        <w:jc w:val="both"/>
      </w:pPr>
      <w:r>
        <w:rPr>
          <w:rFonts w:ascii="Times New Roman" w:hAnsi="Times New Roman" w:eastAsia="Times New Roman"/>
          <w:sz w:val="24"/>
        </w:rPr>
        <w:t>This study mapped public discourse surrounding Indonesia's Free Nutritious Meal (MBG) program using an integrated tri-layer computational communication architecture. Within the analyzed X corpus, the findings indicate a substantial concentration of Disgust (56.24%), alongside patterns of sarcasm, low reciprocity, and high community fragmentation. The ABSA results further show that affective responses were distributed across logistics, budgeting, and food-nutrition aspects. Together, these findings suggest that discrepancies between digital policy communication and reported physical implementation can be examined through the Phygital Gap perspective. The observed position of AI-mediated accounts such as @grok also indicates an emerging information-seeking pattern within the analyzed network.</w:t>
      </w:r>
    </w:p>
    <w:p>
      <w:pPr>
        <w:pStyle w:val="Heading1"/>
        <w:spacing w:before="0" w:after="0" w:line="480" w:lineRule="auto"/>
        <w:jc w:val="left"/>
      </w:pPr>
      <w:r>
        <w:rPr>
          <w:rFonts w:ascii="Times New Roman" w:hAnsi="Times New Roman" w:eastAsia="Times New Roman"/>
          <w:b/>
          <w:sz w:val="24"/>
        </w:rPr>
        <w:t>STATEMENTS AND DECLARATIONS</w:t>
      </w:r>
    </w:p>
    <w:p>
      <w:pPr>
        <w:pStyle w:val="Heading2"/>
        <w:spacing w:before="0" w:after="0" w:line="480" w:lineRule="auto"/>
        <w:jc w:val="both"/>
      </w:pPr>
      <w:r>
        <w:rPr>
          <w:rFonts w:ascii="Times New Roman" w:hAnsi="Times New Roman" w:eastAsia="Times New Roman"/>
          <w:b/>
          <w:sz w:val="24"/>
        </w:rPr>
        <w:t>Funding</w:t>
      </w:r>
    </w:p>
    <w:p>
      <w:pPr>
        <w:spacing w:line="480" w:lineRule="auto" w:after="0" w:before="0"/>
        <w:jc w:val="both"/>
      </w:pPr>
      <w:r>
        <w:rPr>
          <w:rFonts w:ascii="Times New Roman" w:hAnsi="Times New Roman" w:eastAsia="Times New Roman"/>
          <w:sz w:val="24"/>
        </w:rPr>
        <w:t>The authors declare that no external funding, grants, or financial support were received for the research, authorship, or publication of this article. This study was conducted independently without external commercial or institutional sponsorship.</w:t>
      </w:r>
    </w:p>
    <w:p>
      <w:pPr>
        <w:pStyle w:val="Heading2"/>
        <w:spacing w:before="0" w:after="0" w:line="480" w:lineRule="auto"/>
        <w:jc w:val="both"/>
      </w:pPr>
      <w:r>
        <w:rPr>
          <w:rFonts w:ascii="Times New Roman" w:hAnsi="Times New Roman" w:eastAsia="Times New Roman"/>
          <w:b/>
          <w:sz w:val="24"/>
        </w:rPr>
        <w:t>Competing Interests / Conflict of Interest</w:t>
      </w:r>
    </w:p>
    <w:p>
      <w:pPr>
        <w:spacing w:line="480" w:lineRule="auto" w:after="0" w:before="0"/>
        <w:jc w:val="both"/>
      </w:pPr>
      <w:r>
        <w:rPr>
          <w:rFonts w:ascii="Times New Roman" w:hAnsi="Times New Roman" w:eastAsia="Times New Roman"/>
          <w:sz w:val="24"/>
        </w:rPr>
        <w:t>The authors have no financial or proprietary interests in any material, organization, or commercial entity discussed in this article. The authors declare no conflicts of interest, political affiliations, or personal relationships that could have inappropriately influenced or biased the objectivity and findings of this research.</w:t>
      </w:r>
    </w:p>
    <w:p>
      <w:pPr>
        <w:pStyle w:val="Heading2"/>
        <w:spacing w:before="0" w:after="0" w:line="480" w:lineRule="auto"/>
        <w:jc w:val="both"/>
      </w:pPr>
      <w:r>
        <w:rPr>
          <w:rFonts w:ascii="Times New Roman" w:hAnsi="Times New Roman" w:eastAsia="Times New Roman"/>
          <w:b/>
          <w:sz w:val="24"/>
        </w:rPr>
        <w:t>Data and Code Availability (Open Science &amp; Reproducibility)</w:t>
      </w:r>
    </w:p>
    <w:p>
      <w:pPr>
        <w:spacing w:line="480" w:lineRule="auto" w:after="0" w:before="0"/>
        <w:jc w:val="both"/>
      </w:pPr>
      <w:r>
        <w:rPr>
          <w:rFonts w:ascii="Times New Roman" w:hAnsi="Times New Roman" w:eastAsia="Times New Roman"/>
          <w:sz w:val="24"/>
        </w:rPr>
        <w:t>In full compliance with Open Science, FAIR data principles (Findable, Accessible, Interoperable, and Reusable), and reproducibility guidelines:</w:t>
      </w:r>
    </w:p>
    <w:p>
      <w:pPr>
        <w:pStyle w:val="ListBullet"/>
        <w:spacing w:line="480" w:lineRule="auto" w:after="0" w:before="0"/>
        <w:jc w:val="both"/>
      </w:pPr>
      <w:r>
        <w:rPr>
          <w:rFonts w:ascii="Times New Roman" w:hAnsi="Times New Roman" w:eastAsia="Times New Roman"/>
          <w:sz w:val="24"/>
        </w:rPr>
        <w:t>The verified inference emotion corpus ($N = 5,263$ tweets), sarcasm validation dataset ($N = 3,395$ tweets), directed network adjacency edges ($|V|=971, |E|=666$), Louvain community partitions, and centrality metrics are openly accessible under the Creative Commons Attribution 4.0 International license (CC-BY 4.0).</w:t>
      </w:r>
    </w:p>
    <w:p>
      <w:pPr>
        <w:pStyle w:val="ListBullet"/>
        <w:spacing w:line="480" w:lineRule="auto" w:after="0" w:before="0"/>
        <w:jc w:val="both"/>
      </w:pPr>
      <w:r>
        <w:rPr>
          <w:rFonts w:ascii="Times New Roman" w:hAnsi="Times New Roman" w:eastAsia="Times New Roman"/>
          <w:sz w:val="24"/>
        </w:rPr>
        <w:t>All Python replication scripts (evaluate.py, sna.py, plot_dataset.py, plot_integrated.py), Jupyter notebooks, and trained model artifacts are archived for peer review:</w:t>
      </w:r>
    </w:p>
    <w:p>
      <w:pPr>
        <w:spacing w:line="480" w:lineRule="auto" w:after="0" w:before="0"/>
        <w:jc w:val="both"/>
      </w:pPr>
      <w:r>
        <w:rPr>
          <w:rFonts w:ascii="Times New Roman" w:hAnsi="Times New Roman" w:eastAsia="Times New Roman"/>
          <w:sz w:val="24"/>
        </w:rPr>
        <w:t>Repository: [Blinded for Double-Blind Peer Review; complete public GitHub URL, machine-readable CITATION.cff, and replication code provided in the separate Title Page submitted to the Editor]</w:t>
      </w:r>
    </w:p>
    <w:p>
      <w:pPr>
        <w:spacing w:line="480" w:lineRule="auto" w:after="0" w:before="0"/>
        <w:jc w:val="both"/>
      </w:pPr>
      <w:r>
        <w:rPr>
          <w:rFonts w:ascii="Times New Roman" w:hAnsi="Times New Roman" w:eastAsia="Times New Roman"/>
          <w:sz w:val="24"/>
        </w:rPr>
        <w:t>Interactive Web Dashboard: [Blinded for Double-Blind Peer Review; access details provided in Title Page]</w:t>
      </w:r>
    </w:p>
    <w:p>
      <w:pPr>
        <w:pStyle w:val="Heading2"/>
        <w:spacing w:before="0" w:after="0" w:line="480" w:lineRule="auto"/>
        <w:jc w:val="both"/>
      </w:pPr>
      <w:r>
        <w:rPr>
          <w:rFonts w:ascii="Times New Roman" w:hAnsi="Times New Roman" w:eastAsia="Times New Roman"/>
          <w:b/>
          <w:sz w:val="24"/>
        </w:rPr>
        <w:t>Author Contributions (CRediT Taxonomy)</w:t>
      </w:r>
    </w:p>
    <w:p>
      <w:pPr>
        <w:spacing w:line="480" w:lineRule="auto" w:after="0" w:before="0"/>
        <w:jc w:val="both"/>
      </w:pPr>
      <w:r>
        <w:rPr>
          <w:rFonts w:ascii="Times New Roman" w:hAnsi="Times New Roman" w:eastAsia="Times New Roman"/>
          <w:sz w:val="24"/>
        </w:rPr>
        <w:t>Author contributions have been blinded to ensure rigorous double-blind peer review compliance. Full CRediT contribution taxonomy is documented in the separate Title Page submitted to the Editor.</w:t>
      </w:r>
    </w:p>
    <w:p>
      <w:pPr>
        <w:pStyle w:val="Heading2"/>
        <w:spacing w:before="0" w:after="0" w:line="480" w:lineRule="auto"/>
        <w:jc w:val="both"/>
      </w:pPr>
      <w:r>
        <w:rPr>
          <w:rFonts w:ascii="Times New Roman" w:hAnsi="Times New Roman" w:eastAsia="Times New Roman"/>
          <w:b/>
          <w:sz w:val="24"/>
        </w:rPr>
        <w:t>Ethics Approval and Consent to Participate</w:t>
      </w:r>
    </w:p>
    <w:p>
      <w:pPr>
        <w:spacing w:line="480" w:lineRule="auto" w:after="0" w:before="0"/>
        <w:jc w:val="both"/>
      </w:pPr>
      <w:r>
        <w:rPr>
          <w:rFonts w:ascii="Times New Roman" w:hAnsi="Times New Roman" w:eastAsia="Times New Roman"/>
          <w:sz w:val="24"/>
        </w:rPr>
        <w:t>This research was conducted in strict adherence to Platform X Developer Policy and standard computational social science data mining ethics (Boyd &amp; Crawford, 2012; Ferrara et al., 2016). Only publicly available posts were harvested. No private or direct messages were accessed. All user data were analyzed in aggregate for public policy communication analysis without individual profiling, stalking, or doxxing.</w:t>
      </w:r>
    </w:p>
    <w:p>
      <w:pPr>
        <w:pStyle w:val="Heading1"/>
        <w:spacing w:before="0" w:after="0" w:line="480" w:lineRule="auto"/>
        <w:jc w:val="left"/>
      </w:pPr>
      <w:r>
        <w:rPr>
          <w:rFonts w:ascii="Times New Roman" w:hAnsi="Times New Roman" w:eastAsia="Times New Roman"/>
          <w:b/>
          <w:sz w:val="24"/>
        </w:rPr>
        <w:t>REFERENCES</w:t>
      </w:r>
    </w:p>
    <w:p>
      <w:pPr>
        <w:spacing w:line="480" w:lineRule="auto" w:after="0" w:before="0"/>
        <w:jc w:val="both"/>
      </w:pPr>
      <w:r>
        <w:rPr>
          <w:rFonts w:ascii="Times New Roman" w:hAnsi="Times New Roman" w:eastAsia="Times New Roman"/>
          <w:sz w:val="24"/>
        </w:rPr>
        <w:t>Blondel, V. D., Guillaume, J.-L., Lambiotte, R., &amp; Lefebvre, E. (2008). Fast unfolding of communities in large networks. Journal of Statistical Mechanics: Theory and Experiment, 2008(10), P10008. https://doi.org/10.1088/1742-5468/2008/10/P10008</w:t>
      </w:r>
    </w:p>
    <w:p>
      <w:pPr>
        <w:spacing w:line="480" w:lineRule="auto" w:after="0" w:before="0"/>
        <w:jc w:val="both"/>
      </w:pPr>
      <w:r>
        <w:rPr>
          <w:rFonts w:ascii="Times New Roman" w:hAnsi="Times New Roman" w:eastAsia="Times New Roman"/>
          <w:sz w:val="24"/>
        </w:rPr>
        <w:t>Boyd, D., &amp; Crawford, K. (2012). Critical questions for big data: Provocations for a cultural, technological, and scholarly phenomenon. Information, Communication &amp; Society, 15(5), 662–679. https://doi.org/10.1080/1369118X.2012.678878</w:t>
      </w:r>
    </w:p>
    <w:p>
      <w:pPr>
        <w:spacing w:line="480" w:lineRule="auto" w:after="0" w:before="0"/>
        <w:jc w:val="both"/>
      </w:pPr>
      <w:r>
        <w:rPr>
          <w:rFonts w:ascii="Times New Roman" w:hAnsi="Times New Roman" w:eastAsia="Times New Roman"/>
          <w:sz w:val="24"/>
        </w:rPr>
        <w:t>Camp, E. (2012). Sarcasm, pretense, and the semantics/pragmatics distinction. Noûs, 46(4), 587–634. https://doi.org/10.1111/j.1468-0068.2010.00822.x</w:t>
      </w:r>
    </w:p>
    <w:p>
      <w:pPr>
        <w:spacing w:line="480" w:lineRule="auto" w:after="0" w:before="0"/>
        <w:jc w:val="both"/>
      </w:pPr>
      <w:r>
        <w:rPr>
          <w:rFonts w:ascii="Times New Roman" w:hAnsi="Times New Roman" w:eastAsia="Times New Roman"/>
          <w:sz w:val="24"/>
        </w:rPr>
        <w:t>Chiorrini, A., Diamantini, C., Mircoli, A., &amp; Potena, D. (2021). Emotion and sentiment analysis of tweets using BERT. In CEUR Workshop Proceedings (Vol. 2841, pp. 24–33). http://ceur-ws.org/Vol-2841/</w:t>
      </w:r>
    </w:p>
    <w:p>
      <w:pPr>
        <w:spacing w:line="480" w:lineRule="auto" w:after="0" w:before="0"/>
        <w:jc w:val="both"/>
      </w:pPr>
      <w:r>
        <w:rPr>
          <w:rFonts w:ascii="Times New Roman" w:hAnsi="Times New Roman" w:eastAsia="Times New Roman"/>
          <w:sz w:val="24"/>
        </w:rPr>
        <w:t>Clark, H. H., &amp; Gerrig, R. J. (1984). On the pretense theory of irony. Journal of Experimental Psychology: General, 113(1), 121–126. https://doi.org/10.1037/0096-3445.113.1.121</w:t>
      </w:r>
    </w:p>
    <w:p>
      <w:pPr>
        <w:spacing w:line="480" w:lineRule="auto" w:after="0" w:before="0"/>
        <w:jc w:val="both"/>
      </w:pPr>
      <w:r>
        <w:rPr>
          <w:rFonts w:ascii="Times New Roman" w:hAnsi="Times New Roman" w:eastAsia="Times New Roman"/>
          <w:sz w:val="24"/>
        </w:rPr>
        <w:t>Coombs, W. T. (2007). Protecting organization reputations during a crisis: The development and application of situational crisis communication theory. Corporate Reputation Review, 10(3), 163–176. https://doi.org/10.1057/palgrave.crr.1550049</w:t>
      </w:r>
    </w:p>
    <w:p>
      <w:pPr>
        <w:spacing w:line="480" w:lineRule="auto" w:after="0" w:before="0"/>
        <w:jc w:val="both"/>
      </w:pPr>
      <w:r>
        <w:rPr>
          <w:rFonts w:ascii="Times New Roman" w:hAnsi="Times New Roman" w:eastAsia="Times New Roman"/>
          <w:sz w:val="24"/>
        </w:rPr>
        <w:t>Devlin, J., Chang, M.-W., Lee, K., &amp; Toutanova, K. (2018). BERT: Pre-training of deep bidirectional transformers for language understanding. arXiv preprint arXiv:1810.04805. https://arxiv.org/abs/1810.04805</w:t>
      </w:r>
    </w:p>
    <w:p>
      <w:pPr>
        <w:spacing w:line="480" w:lineRule="auto" w:after="0" w:before="0"/>
        <w:jc w:val="both"/>
      </w:pPr>
      <w:r>
        <w:rPr>
          <w:rFonts w:ascii="Times New Roman" w:hAnsi="Times New Roman" w:eastAsia="Times New Roman"/>
          <w:sz w:val="24"/>
        </w:rPr>
        <w:t>Freeman, L. C. (1979). Centrality in social networks: Conceptual clarification. Social Networks, 1(3), 215–239. https://doi.org/10.1016/0378-8733(78)90021-7</w:t>
      </w:r>
    </w:p>
    <w:p>
      <w:pPr>
        <w:spacing w:line="480" w:lineRule="auto" w:after="0" w:before="0"/>
        <w:jc w:val="both"/>
      </w:pPr>
      <w:r>
        <w:rPr>
          <w:rFonts w:ascii="Times New Roman" w:hAnsi="Times New Roman" w:eastAsia="Times New Roman"/>
          <w:sz w:val="24"/>
        </w:rPr>
        <w:t>Grice, H. P. (1975). Logic and conversation. In P. Cole &amp; J. L. Morgan (Eds.), Syntax and Semantics: Vol. 3. Speech Acts (pp. 41–58). Academic Press.</w:t>
      </w:r>
    </w:p>
    <w:p>
      <w:pPr>
        <w:spacing w:line="480" w:lineRule="auto" w:after="0" w:before="0"/>
        <w:jc w:val="both"/>
      </w:pPr>
      <w:r>
        <w:rPr>
          <w:rFonts w:ascii="Times New Roman" w:hAnsi="Times New Roman" w:eastAsia="Times New Roman"/>
          <w:sz w:val="24"/>
        </w:rPr>
        <w:t>Habermas, J. (1989). The structural transformation of the public sphere: An inquiry into a category of bourgeois society. MIT Press.</w:t>
      </w:r>
    </w:p>
    <w:p>
      <w:pPr>
        <w:spacing w:line="480" w:lineRule="auto" w:after="0" w:before="0"/>
        <w:jc w:val="both"/>
      </w:pPr>
      <w:r>
        <w:rPr>
          <w:rFonts w:ascii="Times New Roman" w:hAnsi="Times New Roman" w:eastAsia="Times New Roman"/>
          <w:sz w:val="24"/>
        </w:rPr>
        <w:t>Habermas, J. (2006). Political communication in media society: Does democracy still enjoy an epistemic dimension? Communication Theory, 16(4), 411–426. https://doi.org/10.1111/j.1468-2885.2006.00280.x</w:t>
      </w:r>
    </w:p>
    <w:p>
      <w:pPr>
        <w:spacing w:line="480" w:lineRule="auto" w:after="0" w:before="0"/>
        <w:jc w:val="both"/>
      </w:pPr>
      <w:r>
        <w:rPr>
          <w:rFonts w:ascii="Times New Roman" w:hAnsi="Times New Roman" w:eastAsia="Times New Roman"/>
          <w:sz w:val="24"/>
        </w:rPr>
        <w:t>Kotler, P., Kartajaya, H., &amp; Setiawan, I. (2023). Marketing 6.0: The future is immersive. John Wiley &amp; Sons.</w:t>
      </w:r>
    </w:p>
    <w:p>
      <w:pPr>
        <w:spacing w:line="480" w:lineRule="auto" w:after="0" w:before="0"/>
        <w:jc w:val="both"/>
      </w:pPr>
      <w:r>
        <w:rPr>
          <w:rFonts w:ascii="Times New Roman" w:hAnsi="Times New Roman" w:eastAsia="Times New Roman"/>
          <w:sz w:val="24"/>
        </w:rPr>
        <w:t>Koto, F., Rahimi, A., Lau, J. H., &amp; Baldwin, T. (2020). IndoLEM and IndoBERT: A benchmark dataset and pre-trained language model for Indonesian NLP. In Proceedings of the 28th International Conference on Computational Linguistics (COLING 2020) (pp. 757–770). https://doi.org/10.18653/v1/2020.coling-main.67</w:t>
      </w:r>
    </w:p>
    <w:p>
      <w:pPr>
        <w:spacing w:line="480" w:lineRule="auto" w:after="0" w:before="0"/>
        <w:jc w:val="both"/>
      </w:pPr>
      <w:r>
        <w:rPr>
          <w:rFonts w:ascii="Times New Roman" w:hAnsi="Times New Roman" w:eastAsia="Times New Roman"/>
          <w:sz w:val="24"/>
        </w:rPr>
        <w:t>Newman, M. E. J. (2006). Modularity and community structure in networks. Proceedings of the National Academy of Sciences, 103(23), 8577–8582. https://doi.org/10.1073/pnas.0601602103</w:t>
      </w:r>
    </w:p>
    <w:p>
      <w:pPr>
        <w:spacing w:line="480" w:lineRule="auto" w:after="0" w:before="0"/>
        <w:jc w:val="both"/>
      </w:pPr>
      <w:r>
        <w:rPr>
          <w:rFonts w:ascii="Times New Roman" w:hAnsi="Times New Roman" w:eastAsia="Times New Roman"/>
          <w:sz w:val="24"/>
        </w:rPr>
        <w:t>Papacharissi, Z. (2015). Affective publics: Sentiment, technology, and politics. Oxford University Press. https://doi.org/10.1093/acprof:oso/9780199999736.001.0001</w:t>
      </w:r>
    </w:p>
    <w:p>
      <w:pPr>
        <w:spacing w:line="480" w:lineRule="auto" w:after="0" w:before="0"/>
        <w:jc w:val="both"/>
      </w:pPr>
      <w:r>
        <w:rPr>
          <w:rFonts w:ascii="Times New Roman" w:hAnsi="Times New Roman" w:eastAsia="Times New Roman"/>
          <w:sz w:val="24"/>
        </w:rPr>
        <w:t>Pariser, E. (2011). The filter bubble: What the internet is hiding from you. Penguin Press.</w:t>
      </w:r>
    </w:p>
    <w:p>
      <w:pPr>
        <w:spacing w:line="480" w:lineRule="auto" w:after="0" w:before="0"/>
        <w:jc w:val="both"/>
      </w:pPr>
      <w:r>
        <w:rPr>
          <w:rFonts w:ascii="Times New Roman" w:hAnsi="Times New Roman" w:eastAsia="Times New Roman"/>
          <w:sz w:val="24"/>
        </w:rPr>
        <w:t>Plutchik, R. (1980). A general psychoevolutionary theory of emotion. In Theories of Emotion (pp. 3–33). Academic Press. https://doi.org/10.1016/B978-0-12-558701-3.50007-7</w:t>
      </w:r>
    </w:p>
    <w:p>
      <w:pPr>
        <w:spacing w:line="480" w:lineRule="auto" w:after="0" w:before="0"/>
        <w:jc w:val="both"/>
      </w:pPr>
      <w:r>
        <w:rPr>
          <w:rFonts w:ascii="Times New Roman" w:hAnsi="Times New Roman" w:eastAsia="Times New Roman"/>
          <w:sz w:val="24"/>
        </w:rPr>
        <w:t>Riza, A., &amp; Charibaldi, N. (2021). Implementasi deteksi emosi pada teks bahasa Indonesia menggunakan FastText dan LSTM. Jurnal RESTI (Rekayasa Sistem dan Teknologi Informasi), 5(2), 241–248. https://doi.org/10.29207/resti.v5i2.2858</w:t>
      </w:r>
    </w:p>
    <w:p>
      <w:pPr>
        <w:spacing w:line="480" w:lineRule="auto" w:after="0" w:before="0"/>
        <w:jc w:val="both"/>
      </w:pPr>
      <w:r>
        <w:rPr>
          <w:rFonts w:ascii="Times New Roman" w:hAnsi="Times New Roman" w:eastAsia="Times New Roman"/>
          <w:sz w:val="24"/>
        </w:rPr>
        <w:t>Saputri, M. S., Mahendra, R., &amp; Adriani, M. (2018). Emotion classification on Indonesian Twitter dataset. In 2018 International Conference on Asian Language Processing (IALP) (pp. 90–95). IEEE. https://doi.org/10.1109/IALP.2018.8629145</w:t>
      </w:r>
    </w:p>
    <w:p>
      <w:pPr>
        <w:spacing w:line="480" w:lineRule="auto" w:after="0" w:before="0"/>
        <w:jc w:val="both"/>
      </w:pPr>
      <w:r>
        <w:rPr>
          <w:rFonts w:ascii="Times New Roman" w:hAnsi="Times New Roman" w:eastAsia="Times New Roman"/>
          <w:sz w:val="24"/>
        </w:rPr>
        <w:t>Schultz, F., Utz, S., &amp; Göritz, A. (2011). Is the medium the message? Perceptions of and reactions to crisis communication via Twitter, blogs and traditional media. Public Relations Review, 37(1), 20–27. https://doi.org/10.1016/j.pubrev.2010.12.001</w:t>
      </w:r>
    </w:p>
    <w:p>
      <w:pPr>
        <w:spacing w:line="480" w:lineRule="auto" w:after="0" w:before="0"/>
        <w:jc w:val="both"/>
      </w:pPr>
      <w:r>
        <w:rPr>
          <w:rFonts w:ascii="Times New Roman" w:hAnsi="Times New Roman" w:eastAsia="Times New Roman"/>
          <w:sz w:val="24"/>
        </w:rPr>
        <w:t>Shaw, P., LaCasse, K., &amp; Champagne, C. (2025). Transfer learning for emotion classification in low-resource Indonesian social discourse. Social Network Analysis and Mining, 15(1), 42–58. https://doi.org/10.1007/s13278-024-01256-w</w:t>
      </w:r>
    </w:p>
    <w:p>
      <w:pPr>
        <w:spacing w:line="480" w:lineRule="auto" w:after="0" w:before="0"/>
        <w:jc w:val="both"/>
      </w:pPr>
      <w:r>
        <w:rPr>
          <w:rFonts w:ascii="Times New Roman" w:hAnsi="Times New Roman" w:eastAsia="Times New Roman"/>
          <w:sz w:val="24"/>
        </w:rPr>
        <w:t>Suaib, A., &amp; Pratiwi, R. (2025). Social network analysis in the dissemination of MBG program information on social media X. Jurnal Studi Komunikasi, 9(1), 112–129. https://doi.org/10.56127/jushpen.v4i2.2067</w:t>
      </w:r>
    </w:p>
    <w:p>
      <w:pPr>
        <w:spacing w:line="480" w:lineRule="auto" w:after="0" w:before="0"/>
        <w:jc w:val="both"/>
      </w:pPr>
      <w:r>
        <w:rPr>
          <w:rFonts w:ascii="Times New Roman" w:hAnsi="Times New Roman" w:eastAsia="Times New Roman"/>
          <w:sz w:val="24"/>
        </w:rPr>
        <w:t>Sulafasyah, L. (2026). Analisis jaringan komunikasi isu keracunan MBG di Twitter [Unpublished master's thesis, details blinded for peer review].</w:t>
      </w:r>
    </w:p>
    <w:p>
      <w:pPr>
        <w:spacing w:line="480" w:lineRule="auto" w:after="0" w:before="0"/>
        <w:jc w:val="both"/>
      </w:pPr>
      <w:r>
        <w:rPr>
          <w:rFonts w:ascii="Times New Roman" w:hAnsi="Times New Roman" w:eastAsia="Times New Roman"/>
          <w:sz w:val="24"/>
        </w:rPr>
        <w:t>Sunstein, C. R. (2017). #Republic: Divided democracy in the age of social media. Princeton University Press. https://doi.org/10.1515/9781400884711</w:t>
      </w:r>
    </w:p>
    <w:p>
      <w:pPr>
        <w:spacing w:line="480" w:lineRule="auto" w:after="0" w:before="0"/>
        <w:jc w:val="both"/>
      </w:pPr>
      <w:r>
        <w:rPr>
          <w:rFonts w:ascii="Times New Roman" w:hAnsi="Times New Roman" w:eastAsia="Times New Roman"/>
          <w:sz w:val="24"/>
        </w:rPr>
        <w:t>Wasserman, S., &amp; Faust, K. (1994). Social network analysis: Methods and applications. Cambridge University Press. https://doi.org/10.1017/CBO9780511815478</w:t>
      </w:r>
    </w:p>
    <w:p>
      <w:pPr>
        <w:spacing w:line="480" w:lineRule="auto" w:after="0" w:before="0"/>
        <w:jc w:val="both"/>
      </w:pPr>
      <w:r>
        <w:rPr>
          <w:rFonts w:ascii="Times New Roman" w:hAnsi="Times New Roman" w:eastAsia="Times New Roman"/>
          <w:sz w:val="24"/>
        </w:rPr>
        <w:t>Wilie, B., Vincentio, K., Winata, G. I., Cahyawijaya, S., Li, X., Lim, Z. Y., Soleman, S., Mahendra, R., Fung, P., Bahar, S., &amp; Purwarianti, A. (2020). IndoNLU: Benchmark and resources for evaluating Indonesian natural language understanding. In Proceedings of AACL-IJCNLP 2020 (pp. 843–860). https://aclanthology.org/2020.aacl-main.85/</w:t>
      </w:r>
    </w:p>
    <w:sectPr w:rsidR="00FC693F" w:rsidRPr="0006063C" w:rsidSect="00034616">
      <w:footerReference w:type="default" r:id="rId9"/>
      <w:pgSz w:w="12240" w:h="15840"/>
      <w:pgMar w:top="1440" w:right="1440" w:bottom="1440" w:left="1440" w:header="720" w:footer="720" w:gutter="0"/>
      <w:cols w:space="720"/>
      <w:docGrid w:linePitch="360"/>
      <w:lnNumType w:countBy="1" w:start="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