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Detailed Point-by-Point Response to Reviewers</w:t>
      </w:r>
    </w:p>
    <w:p>
      <w:pPr>
        <w:jc w:val="center"/>
      </w:pPr>
      <w:r>
        <w:rPr>
          <w:i/>
          <w:sz w:val="22"/>
        </w:rPr>
        <w:t>IEEE TIME-E 2026 | Paper ID #1571355898</w:t>
        <w:br/>
        <w:t>Mapping the 'Phygital Gap' in Public Policy Crisis: A Tri-Layer Computational Communication Study of Indonesia's Free Nutritious Meal (MBG) Program on Platform X</w:t>
      </w:r>
    </w:p>
    <w:p>
      <w:pPr>
        <w:pStyle w:val="Heading1"/>
      </w:pPr>
      <w:r>
        <w:t>General Statement of Revision</w:t>
      </w:r>
    </w:p>
    <w:p>
      <w:r>
        <w:t>We express our deepest gratitude to the Technical Program Committee (TPC) and the three anonymous reviewers for their thorough, rigorous, and constructive feedback. In response to the reviewers' critical concerns—most notably regarding the previous evaluation benchmark's uniform test set and the absence of baseline comparisons—we have conducted a comprehensive methodological overhaul:</w:t>
        <w:br/>
        <w:t>1. Elimination of Uniform Dummy Labels &amp; Data Leakage: Replaced the flawed evaluation log with a multi-class, zero-leakage group-aware test partition (n = 1,058) generated via GroupShuffleSplit (seed 42), programmatically proving zero lexical overlap (Text Overlap = 0).</w:t>
        <w:br/>
        <w:t>2. Retraining &amp; Full Evaluation Metrics: Fully retrained IndoBERT on the group-aware training partition and reported complete per-class Precision, Recall, F1-score, Macro-F1 (0.5160), Weighted-F1 (0.7851), and 300 DPI Confusion Matrices.</w:t>
        <w:br/>
        <w:t>3. Comparative Baseline Benchmarking: Implemented and evaluated two linear NLP models (TF-IDF + Logistic Regression and TF-IDF + Linear SVM) on the exact same group-aware partitions.</w:t>
        <w:br/>
        <w:t>4. SNA–NLP Integration &amp; Ethical Clarifications: Explicitly bridged actor network positions (@prabowo vs. @grok) with affective orientations, documented interaction network boundaries, and stated ethical safeguards under Platform X Developer Terms of Service.</w:t>
      </w:r>
    </w:p>
    <w:p>
      <w:pPr>
        <w:pStyle w:val="Heading1"/>
      </w:pPr>
      <w:r>
        <w:t>Response to Reviewer 1</w:t>
      </w:r>
    </w:p>
    <w:p>
      <w:r>
        <w:rPr>
          <w:i/>
        </w:rPr>
        <w:t>Reviewer 1 Comment 1:</w:t>
        <w:br/>
        <w:t>"All 501 test samples had uniform ground-truth labels ('Neutral' for emotion and 'Not Sarcasm' for sarcasm) due to labeling/data preparation issues. Therefore, the reported classification accuracy cannot effectively validate the model... Label correction and model retraining must not be deferred to future work. The experiment must be repeated using properly annotated ground truth, documented annotation procedures, category distributions, inter-annotator agreement if applicable, confusion matrix, precision, recall, and macro-F1."</w:t>
      </w:r>
    </w:p>
    <w:p>
      <w:r>
        <w:t>Authors' Response:</w:t>
        <w:br/>
        <w:t>We wholeheartedly agree with Reviewer 1. The previous manuscript erroneously cited preliminary developmental logs where placeholder functions had masked the test set into a uniform class. As demanded, we did not defer this correction. We executed the complete re-annotation and retraining pipeline:</w:t>
        <w:br/>
        <w:t>• Test Set Reconstruction: We audited the full N = 5,263 corpus and constructed an independent holdout test set of n = 1,058 posts using GroupShuffleSplit (random seed 42) grouped by normalized text.</w:t>
        <w:br/>
        <w:t>• Empirical Category Distribution: The test set encompasses actual empirical frequencies: Disgust (n = 606, 57.28%), Trust (n = 220, 20.79%), Neutral (n = 124, 11.72%), Interest (n = 91, 8.60%), Anger (n = 14, 1.32%), and Sadness (n = 3, 0.28%).</w:t>
        <w:br/>
        <w:t>• Full Metrics Reported: On this unseen test set, IndoBERT achieved an overall accuracy of 79.40%, a Macro-F1 of 0.5160, and a Weighted-F1 of 0.7851. Per-class metrics are reported in full (Disgust F1 = 0.8444, Trust F1 = 0.7528, Neutral F1 = 0.8245, Interest F1 = 0.5409, Anger F1 = 0.1333, Sadness F1 = 0.0000).</w:t>
        <w:br/>
        <w:t>• Confusion Matrix: We generated and embedded both count and normalized confusion matrices at 300 DPI (Figure 4).</w:t>
        <w:br/>
        <w:t>• Annotation Provenance: In Section 3.3 and Section 7.2, we explicitly clarify that reference labels are silver-standard annotations derived from automated semantic labeling (Gemini API + keyword extraction).</w:t>
        <w:br/>
        <w:t>Manuscript Changes: Section 3.3 (P60), Section 4.5 (Table 2, Table 3, Figure 4), and Section 7.2 (P173).</w:t>
      </w:r>
    </w:p>
    <w:p>
      <w:r>
        <w:rPr>
          <w:i/>
        </w:rPr>
        <w:t>Reviewer 1 Comment 2:</w:t>
        <w:br/>
        <w:t>"The relationship between network structure and NLP findings should then be explicitly evaluated."</w:t>
      </w:r>
    </w:p>
    <w:p>
      <w:r>
        <w:t>Authors' Response:</w:t>
        <w:br/>
        <w:t>We thank Reviewer 1 for this valuable insight. We have enriched Section 4.4 and Section 5.3 to explicitly evaluate how network positions correlate with affective and pragmatic expression:</w:t>
        <w:br/>
        <w:t>• @prabowo (High In-Degree = 15, Out-Degree = 0): Interactions directed at the executive authority were overwhelmingly dominated by Disgust (76.2%) and biting digital sarcasm (18.4%), functioning as a passive repository for public grievances concerning spoiled food and administrative mismanagement.</w:t>
        <w:br/>
        <w:t>• @grok (High Out-Degree = 42, In-Degree = 0): Conversely, user mentions of the AI conversational agent exhibited an analytical epistemic inquiry posture, dominated by Neutral / Analytical inquiry (44.8%) and Interest (32.1%), querying fiscal allocations (Rp10.000 vs Rp15.000 meal unit costs) and food safety parameters.</w:t>
        <w:br/>
        <w:t>Manuscript Changes: Section 4.4 (P125–P126) and Section 5.3 (P156–P158).</w:t>
      </w:r>
    </w:p>
    <w:p>
      <w:pPr>
        <w:pStyle w:val="Heading1"/>
      </w:pPr>
      <w:r>
        <w:t>Response to Reviewer 2</w:t>
      </w:r>
    </w:p>
    <w:p>
      <w:r>
        <w:rPr>
          <w:i/>
        </w:rPr>
        <w:t>Reviewer 2 Comment:</w:t>
        <w:br/>
        <w:t>"Additional NLP models need to be compared, such as multilingual transformers or baseline models... Network analysis only considered mention-based relationships and did not include reply networks, quote tweets, or retweet diffusion."</w:t>
      </w:r>
    </w:p>
    <w:p>
      <w:r>
        <w:t>Authors' Response:</w:t>
        <w:br/>
        <w:t>1. Baseline NLP Models: We have added two strong linear baseline models evaluated under the exact same zero-leakage group-aware split (TF-IDF + Logistic Regression: Accuracy = 69.47%, Macro-F1 = 0.3429; TF-IDF + Linear SVM: Accuracy = 67.20%, Macro-F1 = 0.4095; IndoBERT: Accuracy = 79.40%, Macro-F1 = 0.5160). This is formalized in Table 2.</w:t>
        <w:br/>
        <w:t>2. Network Scope Clarification: In Section 3.5 and Section 7.5, we explicitly document that the analyzed topology is an empirical mention network (|V| = 971, |E| = 666), capturing targeted accountability calls and direct epistemic queries. Multi-layer temporal networks (quotes/retweets) are formally recommended for longitudinal follow-up research.</w:t>
        <w:br/>
        <w:t>Manuscript Changes: Section 3.3 (P67), Section 3.5 (P71), Section 4.5 (Table 2), and Section 7.5 (P176).</w:t>
      </w:r>
    </w:p>
    <w:p>
      <w:pPr>
        <w:pStyle w:val="Heading1"/>
      </w:pPr>
      <w:r>
        <w:t>Response to Reviewer 3</w:t>
      </w:r>
    </w:p>
    <w:p>
      <w:r>
        <w:rPr>
          <w:i/>
        </w:rPr>
        <w:t>Reviewer 3 Comment:</w:t>
        <w:br/>
        <w:t>"The study does not provide detailed annotation procedures for emotion and sarcasm datasets... Report machine learning evaluation metrics completely... Discuss ethical considerations related to public social media data analysis."</w:t>
      </w:r>
    </w:p>
    <w:p>
      <w:r>
        <w:t>Authors' Response:</w:t>
        <w:br/>
        <w:t>1. Complete ML Metrics &amp; Procedure: Section 3.3 and 3.4 now document data preparation in full, stating that emotion labels are silver-standard reference annotations while sarcasm validation utilized pragmatic incongruence over a dedicated 3,395-tweet corpus (yielding 315 validated sarcastic tweets, 9.28%).</w:t>
        <w:br/>
        <w:t>2. Ethical Considerations: Section 3.2 and Section 7.5 now include our ethical compliance protocol: data collection strictly adhered to Platform X Developer Terms of Service, private accounts were excluded, and all citizen handles outside verified public figures (@prabowo, @jokowi, @gibran_tweet) and AI agents (@grok) were anonymized.</w:t>
        <w:br/>
        <w:t>Manuscript Changes: Section 3.2, Section 3.3, Section 3.4, Section 4.5, and Section 7.5.</w:t>
      </w:r>
    </w:p>
    <w:p>
      <w:pPr>
        <w:pStyle w:val="Heading1"/>
      </w:pPr>
      <w:r>
        <w:t>Summary of Updated Quantitative Values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 / Parameter</w:t>
            </w:r>
          </w:p>
        </w:tc>
        <w:tc>
          <w:tcPr>
            <w:tcW w:type="dxa" w:w="2880"/>
          </w:tcPr>
          <w:p>
            <w:r>
              <w:t>Previous / Flawed Status</w:t>
            </w:r>
          </w:p>
        </w:tc>
        <w:tc>
          <w:tcPr>
            <w:tcW w:type="dxa" w:w="2880"/>
          </w:tcPr>
          <w:p>
            <w:r>
              <w:t>Updated Camera-Ready Value</w:t>
            </w:r>
          </w:p>
        </w:tc>
      </w:tr>
      <w:tr>
        <w:tc>
          <w:tcPr>
            <w:tcW w:type="dxa" w:w="2880"/>
          </w:tcPr>
          <w:p>
            <w:r>
              <w:t>Test Set Size</w:t>
            </w:r>
          </w:p>
        </w:tc>
        <w:tc>
          <w:tcPr>
            <w:tcW w:type="dxa" w:w="2880"/>
          </w:tcPr>
          <w:p>
            <w:r>
              <w:t>501 (uniform 'Neutral' dummy)</w:t>
            </w:r>
          </w:p>
        </w:tc>
        <w:tc>
          <w:tcPr>
            <w:tcW w:type="dxa" w:w="2880"/>
          </w:tcPr>
          <w:p>
            <w:r>
              <w:t>1,058 (Multi-Class Group-Aware Holdout)</w:t>
            </w:r>
          </w:p>
        </w:tc>
      </w:tr>
      <w:tr>
        <w:tc>
          <w:tcPr>
            <w:tcW w:type="dxa" w:w="2880"/>
          </w:tcPr>
          <w:p>
            <w:r>
              <w:t>Text Leakage Between Splits</w:t>
            </w:r>
          </w:p>
        </w:tc>
        <w:tc>
          <w:tcPr>
            <w:tcW w:type="dxa" w:w="2880"/>
          </w:tcPr>
          <w:p>
            <w:r>
              <w:t>Unverified / 533 duplicates</w:t>
            </w:r>
          </w:p>
        </w:tc>
        <w:tc>
          <w:tcPr>
            <w:tcW w:type="dxa" w:w="2880"/>
          </w:tcPr>
          <w:p>
            <w:r>
              <w:t>0 (Strictly Zero Overlap)</w:t>
            </w:r>
          </w:p>
        </w:tc>
      </w:tr>
      <w:tr>
        <w:tc>
          <w:tcPr>
            <w:tcW w:type="dxa" w:w="2880"/>
          </w:tcPr>
          <w:p>
            <w:r>
              <w:t>IndoBERT Accuracy</w:t>
            </w:r>
          </w:p>
        </w:tc>
        <w:tc>
          <w:tcPr>
            <w:tcW w:type="dxa" w:w="2880"/>
          </w:tcPr>
          <w:p>
            <w:r>
              <w:t>57.45% (on flawed split)</w:t>
            </w:r>
          </w:p>
        </w:tc>
        <w:tc>
          <w:tcPr>
            <w:tcW w:type="dxa" w:w="2880"/>
          </w:tcPr>
          <w:p>
            <w:r>
              <w:t>79.40% (Empirical Holdout)</w:t>
            </w:r>
          </w:p>
        </w:tc>
      </w:tr>
      <w:tr>
        <w:tc>
          <w:tcPr>
            <w:tcW w:type="dxa" w:w="2880"/>
          </w:tcPr>
          <w:p>
            <w:r>
              <w:t>IndoBERT Macro-F1</w:t>
            </w:r>
          </w:p>
        </w:tc>
        <w:tc>
          <w:tcPr>
            <w:tcW w:type="dxa" w:w="2880"/>
          </w:tcPr>
          <w:p>
            <w:r>
              <w:t>0.1444</w:t>
            </w:r>
          </w:p>
        </w:tc>
        <w:tc>
          <w:tcPr>
            <w:tcW w:type="dxa" w:w="2880"/>
          </w:tcPr>
          <w:p>
            <w:r>
              <w:t>0.5160 (Full 6-class active support)</w:t>
            </w:r>
          </w:p>
        </w:tc>
      </w:tr>
      <w:tr>
        <w:tc>
          <w:tcPr>
            <w:tcW w:type="dxa" w:w="2880"/>
          </w:tcPr>
          <w:p>
            <w:r>
              <w:t>IndoBERT Weighted-F1</w:t>
            </w:r>
          </w:p>
        </w:tc>
        <w:tc>
          <w:tcPr>
            <w:tcW w:type="dxa" w:w="2880"/>
          </w:tcPr>
          <w:p>
            <w:r>
              <w:t>0.4563</w:t>
            </w:r>
          </w:p>
        </w:tc>
        <w:tc>
          <w:tcPr>
            <w:tcW w:type="dxa" w:w="2880"/>
          </w:tcPr>
          <w:p>
            <w:r>
              <w:t>0.7851</w:t>
            </w:r>
          </w:p>
        </w:tc>
      </w:tr>
      <w:tr>
        <w:tc>
          <w:tcPr>
            <w:tcW w:type="dxa" w:w="2880"/>
          </w:tcPr>
          <w:p>
            <w:r>
              <w:t>Baseline Comparisons</w:t>
            </w:r>
          </w:p>
        </w:tc>
        <w:tc>
          <w:tcPr>
            <w:tcW w:type="dxa" w:w="2880"/>
          </w:tcPr>
          <w:p>
            <w:r>
              <w:t>None</w:t>
            </w:r>
          </w:p>
        </w:tc>
        <w:tc>
          <w:tcPr>
            <w:tcW w:type="dxa" w:w="2880"/>
          </w:tcPr>
          <w:p>
            <w:r>
              <w:t>TF-IDF+LR (69.47%) &amp; Linear SVM (67.20%)</w:t>
            </w:r>
          </w:p>
        </w:tc>
      </w:tr>
      <w:tr>
        <w:tc>
          <w:tcPr>
            <w:tcW w:type="dxa" w:w="2880"/>
          </w:tcPr>
          <w:p>
            <w:r>
              <w:t>Confusion Matrix</w:t>
            </w:r>
          </w:p>
        </w:tc>
        <w:tc>
          <w:tcPr>
            <w:tcW w:type="dxa" w:w="2880"/>
          </w:tcPr>
          <w:p>
            <w:r>
              <w:t>None / Incomplete</w:t>
            </w:r>
          </w:p>
        </w:tc>
        <w:tc>
          <w:tcPr>
            <w:tcW w:type="dxa" w:w="2880"/>
          </w:tcPr>
          <w:p>
            <w:r>
              <w:t>Figure 4 (300 DPI Counts &amp; Normalized)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