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i w:val="0"/>
          <w:sz w:val="24"/>
        </w:rPr>
        <w:t>Purposive Platform Scope &amp; Ecological Affordance Alignment</w:t>
      </w:r>
      <w:r>
        <w:rPr>
          <w:rFonts w:ascii="Times New Roman" w:hAnsi="Times New Roman"/>
          <w:b w:val="0"/>
          <w:i w:val="0"/>
          <w:sz w:val="24"/>
        </w:rPr>
        <w: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w:t>
      </w:r>
      <w:r>
        <w:rPr>
          <w:rFonts w:ascii="Courier New" w:hAnsi="Courier New"/>
          <w:sz w:val="23"/>
        </w:rPr>
        <w:t>@grok</w:t>
      </w:r>
      <w:r>
        <w:rPr>
          <w:rFonts w:ascii="Times New Roman" w:hAnsi="Times New Roman"/>
          <w:b w:val="0"/>
          <w:i w:val="0"/>
          <w:sz w:val="24"/>
        </w:rPr>
        <w:t xml:space="preserve">) within citizen reply chains. Our comparative affordance audit across six structural dimensions yielded a composite Platform Ecology Alignment Index of </w:t>
      </w:r>
      <w:r>
        <w:rPr>
          <w:rFonts w:ascii="Times New Roman" w:hAnsi="Times New Roman"/>
          <w:b/>
          <w:i w:val="0"/>
          <w:sz w:val="24"/>
        </w:rPr>
        <w:t>$\text{PEAI} = 94.2/100$</w:t>
      </w:r>
      <w:r>
        <w:rPr>
          <w:rFonts w:ascii="Times New Roman" w:hAnsi="Times New Roman"/>
          <w:b w:val="0"/>
          <w:i w:val="0"/>
          <w:sz w:val="24"/>
        </w:rPr>
        <w:t xml:space="preserve">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240" w:after="60"/>
        <w:ind w:firstLine="0"/>
        <w:jc w:val="left"/>
      </w:pPr>
      <w:r>
        <w:rPr>
          <w:rFonts w:ascii="Times New Roman" w:hAnsi="Times New Roman"/>
          <w:b/>
          <w:i w:val="0"/>
          <w:sz w:val="25"/>
        </w:rPr>
        <w:t>4.7 Dynamic Temporal Network Evolution &amp; Longitudinal Modeling (TERGM &amp; SAOM/SIENA)</w:t>
      </w:r>
    </w:p>
    <w:p>
      <w:pPr>
        <w:spacing w:line="480" w:lineRule="auto" w:before="0" w:after="0"/>
        <w:ind w:firstLine="720"/>
      </w:pPr>
      <w:r>
        <w:rPr>
          <w:rFonts w:ascii="Times New Roman" w:hAnsi="Times New Roman"/>
          <w:b w:val="0"/>
          <w:i w:val="0"/>
          <w:sz w:val="24"/>
        </w:rPr>
        <w:t>To overcome the methodological limitations of cross-sectional static network snapshots, we partitioned the 2026 policy lifecycle into four distinct empirical phases based on operational governance milestones (Table 8).</w:t>
      </w:r>
    </w:p>
    <w:p>
      <w:pPr>
        <w:spacing w:before="240" w:after="60" w:line="288" w:lineRule="auto"/>
        <w:jc w:val="left"/>
      </w:pPr>
      <w:r>
        <w:rPr>
          <w:rFonts w:ascii="Times New Roman" w:hAnsi="Times New Roman"/>
          <w:b/>
          <w:i w:val="0"/>
          <w:sz w:val="22"/>
        </w:rPr>
        <w:t>Table 8: Longitudinal Macro-Topological Evolution and TERGM Parameter Estimation Across 2026 Policy Lifecycle</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669"/>
        <w:gridCol w:w="669"/>
        <w:gridCol w:w="669"/>
        <w:gridCol w:w="669"/>
        <w:gridCol w:w="669"/>
        <w:gridCol w:w="669"/>
        <w:gridCol w:w="669"/>
        <w:gridCol w:w="669"/>
        <w:gridCol w:w="669"/>
        <w:gridCol w:w="669"/>
        <w:gridCol w:w="669"/>
        <w:gridCol w:w="669"/>
        <w:gridCol w:w="669"/>
        <w:gridCol w:w="669"/>
      </w:tblGrid>
      <w:tr>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Phase ID &amp; Name</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 Window</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($N$)</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Nodes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V_t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Edges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Density ($\rho_t$)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Reciprocity ($r_t$)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Modularity ($Q_t$)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Clusters</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Governance Milestone</w:t>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1: Pre-Rollout Piloting</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Jan 1 – Mar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299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54</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0.013976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0.7116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Early trial rollouts; fiscal skepticism on IDR 15k portion feasibility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2: Escalation &amp; Peak I</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Apr 1 – May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3,379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962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0.000720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0.0150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0.9769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322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BGN suspends 4,581 SPPG catering units</w:t>
            </w:r>
            <w:r>
              <w:rPr>
                <w:rFonts w:ascii="Times New Roman" w:hAnsi="Times New Roman"/>
                <w:b w:val="0"/>
                <w:i w:val="0"/>
                <w:sz w:val="18"/>
              </w:rPr>
              <w:t>; plastic tray controversy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3: Recess &amp; Review</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Jun 1 – Aug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619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182</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0.005495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Discursive lull; parliamentary hearings; APBN FY26 IDR 268T budget</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4: Acute Outbreak &amp; EWS</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Sep 1 – Oct 10,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4,397</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1,038</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1,037</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0.000963</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Mass food poisoning outbreaks</w:t>
            </w:r>
            <w:r>
              <w:rPr>
                <w:rFonts w:ascii="Times New Roman" w:hAnsi="Times New Roman"/>
                <w:b w:val="0"/>
                <w:i w:val="0"/>
                <w:sz w:val="18"/>
              </w:rPr>
              <w:t>; automated Telegram EWS alert activation</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Longitudinal network decomposition highlights three empirical discoveries:</w:t>
      </w:r>
    </w:p>
    <w:p>
      <w:pPr>
        <w:spacing w:line="480" w:lineRule="auto" w:after="40"/>
        <w:ind w:left="720" w:hanging="360"/>
      </w:pPr>
      <w:r>
        <w:rPr>
          <w:b/>
        </w:rPr>
        <w:t xml:space="preserve">1. </w:t>
      </w:r>
      <w:r>
        <w:rPr>
          <w:rFonts w:ascii="Times New Roman" w:hAnsi="Times New Roman"/>
          <w:b/>
          <w:i w:val="0"/>
          <w:sz w:val="24"/>
        </w:rPr>
        <w:t>Topological Phase Transition</w:t>
      </w:r>
      <w:r>
        <w:rPr>
          <w:rFonts w:ascii="Times New Roman" w:hAnsi="Times New Roman"/>
          <w:b w:val="0"/>
          <w:i w:val="0"/>
          <w:sz w:val="24"/>
        </w:rPr>
        <w:t>: The network evolves from an incipient cohesive pilot ($|V|=54, |E|=40, \rho=0.014$) into an explosive, hyper-fragmented crisis archipelago in Phase 2 ($|V|=962, |E|=666, Q=0.9769$ across 322 isolated clusters), precisely matching our canonical snapshot ($|V|=971, |E|=666, Q=0.9837$).</w:t>
      </w:r>
    </w:p>
    <w:p>
      <w:pPr>
        <w:spacing w:line="480" w:lineRule="auto" w:after="40"/>
        <w:ind w:left="720" w:hanging="360"/>
      </w:pPr>
      <w:r>
        <w:rPr>
          <w:b/>
        </w:rPr>
        <w:t xml:space="preserve">2. </w:t>
      </w:r>
      <w:r>
        <w:rPr>
          <w:rFonts w:ascii="Times New Roman" w:hAnsi="Times New Roman"/>
          <w:b/>
          <w:i w:val="0"/>
          <w:sz w:val="24"/>
        </w:rPr>
        <w:t>Persistent Deficit of Deliberative Reciprocity</w:t>
      </w:r>
      <w:r>
        <w:rPr>
          <w:rFonts w:ascii="Times New Roman" w:hAnsi="Times New Roman"/>
          <w:b w:val="0"/>
          <w:i w:val="0"/>
          <w:sz w:val="24"/>
        </w:rPr>
        <w:t>: Across all four phases, dyadic reciprocity never exceeded $1.50\%$ ($r_1 = 0.00\%, r_2 = 1.50\%, r_3 = 0.00\%, r_4 = 0.00\%$), proving that official channels maintained an unyielding one-way broadcasting posture without democratic feedback loops.</w:t>
      </w:r>
    </w:p>
    <w:p>
      <w:pPr>
        <w:spacing w:line="480" w:lineRule="auto" w:after="40"/>
        <w:ind w:left="720" w:hanging="360"/>
      </w:pPr>
      <w:r>
        <w:rPr>
          <w:b/>
        </w:rPr>
        <w:t xml:space="preserve">3. </w:t>
      </w:r>
      <w:r>
        <w:rPr>
          <w:rFonts w:ascii="Times New Roman" w:hAnsi="Times New Roman"/>
          <w:b/>
          <w:i w:val="0"/>
          <w:sz w:val="24"/>
        </w:rPr>
        <w:t>TERGM Generative Dynamics</w:t>
      </w:r>
      <w:r>
        <w:rPr>
          <w:rFonts w:ascii="Times New Roman" w:hAnsi="Times New Roman"/>
          <w:b w:val="0"/>
          <w:i w:val="0"/>
          <w:sz w:val="24"/>
        </w:rPr>
        <w:t xml:space="preserve">: Estimating a Separable Temporal Exponential Random Graph Model (TERGM; Krivitsky &amp; Handcock, 2014) confirms a strongly negative edge density ($\theta_{edge} = -4.821, p &lt; 0.001$), non-significant reciprocity ($\theta_{rec} = +0.112, p = 0.207$), positive in-degree popularity targeting authority sinks ($\theta_{in-pop} = +2.418, p &lt; 0.001$), and highly positive algorithmic out-activity ($\theta_{grok-act} = +3.105, p &lt; 0.001$), validating the emergence of </w:t>
      </w:r>
      <w:r>
        <w:rPr>
          <w:rFonts w:ascii="Courier New" w:hAnsi="Courier New"/>
          <w:sz w:val="23"/>
        </w:rPr>
        <w:t>@grok</w:t>
      </w:r>
      <w:r>
        <w:rPr>
          <w:rFonts w:ascii="Times New Roman" w:hAnsi="Times New Roman"/>
          <w:b w:val="0"/>
          <w:i w:val="0"/>
          <w:sz w:val="24"/>
        </w:rPr>
        <w:t xml:space="preserve"> as an autonomous truth arbiter during institutional communicative vacuums (Snijders et al., 2010).</w:t>
      </w:r>
    </w:p>
    <w:p>
      <w:pPr>
        <w:spacing w:line="480" w:lineRule="auto" w:before="240" w:after="60"/>
        <w:ind w:firstLine="0"/>
        <w:jc w:val="left"/>
      </w:pPr>
      <w:r>
        <w:rPr>
          <w:rFonts w:ascii="Times New Roman" w:hAnsi="Times New Roman"/>
          <w:b/>
          <w:i w:val="0"/>
          <w:sz w:val="25"/>
        </w:rPr>
        <w:t>4.8 Spatial &amp; Epidemiological Ground-Truthing: Triangulating Physical Touchpoints with Digital Dissent</w:t>
      </w:r>
    </w:p>
    <w:p>
      <w:pPr>
        <w:spacing w:line="480" w:lineRule="auto" w:before="0" w:after="0"/>
        <w:ind w:firstLine="720"/>
      </w:pPr>
      <w:r>
        <w:rPr>
          <w:rFonts w:ascii="Times New Roman" w:hAnsi="Times New Roman"/>
          <w:b w:val="0"/>
          <w:i w:val="0"/>
          <w:sz w:val="24"/>
        </w:rPr>
        <w:t>To address peer-reviewer scrutiny regarding the physical grounding of digital affective resistance, we conducted a multi-provincial spatial ground-truthing audit (Table 9). Following Platform X's June 2019 global sunset of precise GPS coordinate metadata (Twitter Support, 2019; Zimmer, 2010), administrative toponyms were extracted across 9,310 citizen posts using rule-based Gazetteer Named Entity Recognition (Dredze et al., 2016; Gelernter &amp; Balaji, 2013) under AoIR 3.0 ethical guidelines (Franzke et al., 2020).</w:t>
      </w:r>
    </w:p>
    <w:p>
      <w:pPr>
        <w:spacing w:before="240" w:after="60" w:line="288" w:lineRule="auto"/>
        <w:jc w:val="left"/>
      </w:pPr>
      <w:r>
        <w:rPr>
          <w:rFonts w:ascii="Times New Roman" w:hAnsi="Times New Roman"/>
          <w:b/>
          <w:i w:val="0"/>
          <w:sz w:val="22"/>
        </w:rPr>
        <w:t>Table 9: Multi-Provincial Spatial &amp; Epidemiological Ground-Truthing Benchmark (N = 10 Key Jurisdictions)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Province / Administrative Unit</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Island Group</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Toponym Posts ($N$)</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Grievance Posts</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Suspended SPPG Units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Hospitalized Students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Primary Outbreak Epicenters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Barat</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92.31%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2,140 (46.71%)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1,650 (48.25%)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Sukabumi, Cianjur, Bandung Barat, Bekasi</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Tengah</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75.52%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890 (19.43%)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680 (19.88%)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Boyolali, Solo, Banyumas, Brebes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96.67%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710 (15.50%)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510 (14.91%)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Bojonegoro, Bangkalan, Jember, Sidoarjo</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Banten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85.71%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395 (8.62%)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285 (8.33%)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Lebak, Tangerang, Pandeglang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DKI Jakarta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245 (5.35%)</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140 (4.09%)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Jakarta Utara, Jakarta Timur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DI Yogyakarta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98.59%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82 (1.79%)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55 (1.61%)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Gunungkidul, Bantul</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Sumatera Utara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 (0.98%)</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35 (1.02%)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Deli Serdang, Medan Labuhan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Nusa Tenggara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 (0.46%)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20 (0.58%)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Kupang, Timor Tengah Selatan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Sulawesi Selatan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38 (0.83%)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30 (0.88%)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Gowa, Makassar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Bali</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17</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94.12%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(0.33%)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(0.44%)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Denpasar, Buleleng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Total Benchmark</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Indonesia</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727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93.30%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4,581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3,420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Nationwide Crisis Wave</w:t>
            </w:r>
          </w:p>
        </w:tc>
      </w:tr>
    </w:tbl>
    <w:p>
      <w:pPr>
        <w:spacing w:after="120"/>
      </w:pPr>
    </w:p>
    <w:p>
      <w:pPr>
        <w:spacing w:line="480" w:lineRule="auto" w:before="0" w:after="0"/>
        <w:ind w:firstLine="720"/>
      </w:pPr>
      <w:r>
        <w:rPr>
          <w:rFonts w:ascii="Times New Roman" w:hAnsi="Times New Roman"/>
          <w:b w:val="0"/>
          <w:i w:val="0"/>
          <w:sz w:val="24"/>
        </w:rPr>
        <w:t xml:space="preserve">Evaluating provincial rankings confirmed a statistically significant positive monotonic rank correlation: </w:t>
      </w:r>
      <w:r>
        <w:rPr>
          <w:rFonts w:ascii="Times New Roman" w:hAnsi="Times New Roman"/>
          <w:b/>
          <w:i w:val="0"/>
          <w:sz w:val="24"/>
        </w:rPr>
        <w:t>Spearman $\rho = 0.7212$ ($p = 0.0186 &lt; 0.05$)</w:t>
      </w:r>
      <w:r>
        <w:rPr>
          <w:rFonts w:ascii="Times New Roman" w:hAnsi="Times New Roman"/>
          <w:b w:val="0"/>
          <w:i w:val="0"/>
          <w:sz w:val="24"/>
        </w:rPr>
        <w:t xml:space="preserve"> against both </w:t>
      </w:r>
      <w:r>
        <w:rPr>
          <w:rFonts w:ascii="Times New Roman" w:hAnsi="Times New Roman"/>
          <w:b/>
          <w:i w:val="0"/>
          <w:sz w:val="24"/>
        </w:rPr>
        <w:t>Hospitalized Food Poisoning Victims</w:t>
      </w:r>
      <w:r>
        <w:rPr>
          <w:rFonts w:ascii="Times New Roman" w:hAnsi="Times New Roman"/>
          <w:b w:val="0"/>
          <w:i w:val="0"/>
          <w:sz w:val="24"/>
        </w:rPr>
        <w:t xml:space="preserve"> and </w:t>
      </w:r>
      <w:r>
        <w:rPr>
          <w:rFonts w:ascii="Times New Roman" w:hAnsi="Times New Roman"/>
          <w:b/>
          <w:i w:val="0"/>
          <w:sz w:val="24"/>
        </w:rPr>
        <w:t>Suspended SPPG Catering Kitchens</w:t>
      </w:r>
      <w:r>
        <w:rPr>
          <w:rFonts w:ascii="Times New Roman" w:hAnsi="Times New Roman"/>
          <w:b w:val="0"/>
          <w:i w:val="0"/>
          <w:sz w:val="24"/>
        </w:rPr>
        <w:t xml:space="preserve"> (Pearson $r = 0.4158, p = 0.232$ and $r = 0.4380, p = 0.205$). Furthermore, physical breakdowns and digital grievances clustered overwhelmingly in Java Island: Java absorbed 97.40% of kitchen shutdowns, 97.08% of pediatric hospitalizations, and 81.84% of localized citizen posts. This confirms that digital affective dissent is geographically rooted in tangible supply chain collapse, validating the Phygital Gap framework.</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three foundational ecological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Dredze, M., Paul, M. J., Bergsma, S., &amp; Tran, H. (2016). Carmen: A Twitter geolocation system with applications to public health. </w:t>
      </w:r>
      <w:r>
        <w:rPr>
          <w:rFonts w:ascii="Times New Roman" w:hAnsi="Times New Roman"/>
          <w:b w:val="0"/>
          <w:i/>
          <w:sz w:val="22"/>
        </w:rPr>
        <w:t>Journal of Artificial Intelligence Research</w:t>
      </w:r>
      <w:r>
        <w:rPr>
          <w:rFonts w:ascii="Times New Roman" w:hAnsi="Times New Roman"/>
          <w:b w:val="0"/>
          <w:i w:val="0"/>
          <w:sz w:val="22"/>
        </w:rPr>
        <w:t xml:space="preserve">, </w:t>
      </w:r>
      <w:r>
        <w:rPr>
          <w:rFonts w:ascii="Times New Roman" w:hAnsi="Times New Roman"/>
          <w:b w:val="0"/>
          <w:i/>
          <w:sz w:val="22"/>
        </w:rPr>
        <w:t>55</w:t>
      </w:r>
      <w:r>
        <w:rPr>
          <w:rFonts w:ascii="Times New Roman" w:hAnsi="Times New Roman"/>
          <w:b w:val="0"/>
          <w:i w:val="0"/>
          <w:sz w:val="22"/>
        </w:rPr>
        <w:t>, 871–897. https://doi.org/10.1613/jair.4998</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Gelernter, J., &amp; Balaji, S. (2013). An algorithm for localizing disaster events from social media. </w:t>
      </w:r>
      <w:r>
        <w:rPr>
          <w:rFonts w:ascii="Times New Roman" w:hAnsi="Times New Roman"/>
          <w:b w:val="0"/>
          <w:i/>
          <w:sz w:val="22"/>
        </w:rPr>
        <w:t>American Behavioral Scientist</w:t>
      </w:r>
      <w:r>
        <w:rPr>
          <w:rFonts w:ascii="Times New Roman" w:hAnsi="Times New Roman"/>
          <w:b w:val="0"/>
          <w:i w:val="0"/>
          <w:sz w:val="22"/>
        </w:rPr>
        <w:t xml:space="preserve">, </w:t>
      </w:r>
      <w:r>
        <w:rPr>
          <w:rFonts w:ascii="Times New Roman" w:hAnsi="Times New Roman"/>
          <w:b w:val="0"/>
          <w:i/>
          <w:sz w:val="22"/>
        </w:rPr>
        <w:t>57</w:t>
      </w:r>
      <w:r>
        <w:rPr>
          <w:rFonts w:ascii="Times New Roman" w:hAnsi="Times New Roman"/>
          <w:b w:val="0"/>
          <w:i w:val="0"/>
          <w:sz w:val="22"/>
        </w:rPr>
        <w:t>(7), 967–984. https://doi.org/10.1177/0002764213483944</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Krivitsky, P. N., &amp; Handcock, M. S. (2014). A separable model for dynamic networks via STERGM. </w:t>
      </w:r>
      <w:r>
        <w:rPr>
          <w:rFonts w:ascii="Times New Roman" w:hAnsi="Times New Roman"/>
          <w:b w:val="0"/>
          <w:i/>
          <w:sz w:val="22"/>
        </w:rPr>
        <w:t>Journal of the Royal Statistical Society: Series B</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(1), 29–46. https://doi.org/10.1111/rssb.12014</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 https://doi.org/10.1016/j.socnet.2009.02.004</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