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80"/>
        <w:jc w:val="center"/>
      </w:pPr>
      <w:r>
        <w:rPr>
          <w:rFonts w:ascii="Times New Roman" w:hAnsi="Times New Roman"/>
          <w:b/>
          <w:color w:val="000000"/>
          <w:sz w:val="28"/>
        </w:rPr>
        <w:t>RESEARCH GAP AND SCIENTIFIC NOVELTY MATRIX</w:t>
        <w:br/>
        <w:t>Program MBG Computational Communication Study</w:t>
      </w:r>
    </w:p>
    <w:p>
      <w:pPr>
        <w:pStyle w:val="Heading2"/>
        <w:keepNext/>
        <w:spacing w:before="240" w:after="80"/>
        <w:jc w:val="left"/>
      </w:pPr>
      <w:r>
        <w:rPr>
          <w:rFonts w:ascii="Times New Roman" w:hAnsi="Times New Roman"/>
          <w:b/>
          <w:color w:val="000000"/>
          <w:sz w:val="24"/>
        </w:rPr>
        <w:t>1. Evidence Base</w:t>
      </w:r>
    </w:p>
    <w:p>
      <w:pPr>
        <w:spacing w:line="360" w:lineRule="auto" w:after="80"/>
        <w:ind w:firstLine="283"/>
        <w:jc w:val="both"/>
      </w:pPr>
      <w:r>
        <w:rPr>
          <w:rFonts w:ascii="Times New Roman" w:hAnsi="Times New Roman"/>
          <w:sz w:val="24"/>
        </w:rPr>
        <w:t>Kajian ini didasarkan pada bukti empiris korpus primer berukuran N = 5.263 cuitan yang telah dianotasi untuk 9 kelas emosi, N = 3.395 cuitan validasi sarkasme, graf interaksi 971 node dan 666 directed edges, serta penelusuran sistematis 322 naskah literatur bot dan diseminasi informasi. Data membuktikan disparitas masif antara klaim keberhasilan digital dan keluhan fisik makanan di lapangan.</w:t>
      </w:r>
    </w:p>
    <w:p>
      <w:pPr>
        <w:pStyle w:val="Heading2"/>
        <w:keepNext/>
        <w:spacing w:before="240" w:after="80"/>
        <w:jc w:val="left"/>
      </w:pPr>
      <w:r>
        <w:rPr>
          <w:rFonts w:ascii="Times New Roman" w:hAnsi="Times New Roman"/>
          <w:b/>
          <w:color w:val="000000"/>
          <w:sz w:val="24"/>
        </w:rPr>
        <w:t>2. Existing Research Landscape</w:t>
      </w:r>
    </w:p>
    <w:p>
      <w:pPr>
        <w:spacing w:line="360" w:lineRule="auto" w:after="80"/>
        <w:ind w:firstLine="283"/>
        <w:jc w:val="both"/>
      </w:pPr>
      <w:r>
        <w:rPr>
          <w:rFonts w:ascii="Times New Roman" w:hAnsi="Times New Roman"/>
          <w:sz w:val="24"/>
        </w:rPr>
        <w:t>Penelitian terdahulu mengenai kebijakan publik di Indonesia umumnya terbatas pada analisis sentimen sederhana berbasis kamus kata atau survei opini konvensional. Pendekatan-pendekatan tersebut terbukti gagal mendeteksi keretakan komunikasi yang tersembunyi di balik humor gelap dan satire media sosial.</w:t>
      </w:r>
    </w:p>
    <w:p>
      <w:pPr>
        <w:pStyle w:val="Heading2"/>
        <w:keepNext/>
        <w:spacing w:before="240" w:after="80"/>
        <w:jc w:val="left"/>
      </w:pPr>
      <w:r>
        <w:rPr>
          <w:rFonts w:ascii="Times New Roman" w:hAnsi="Times New Roman"/>
          <w:b/>
          <w:color w:val="000000"/>
          <w:sz w:val="24"/>
        </w:rPr>
        <w:t>3. Methodological Gap</w:t>
      </w:r>
    </w:p>
    <w:p>
      <w:pPr>
        <w:spacing w:line="360" w:lineRule="auto" w:after="80"/>
        <w:ind w:firstLine="283"/>
        <w:jc w:val="both"/>
      </w:pPr>
      <w:r>
        <w:rPr>
          <w:rFonts w:ascii="Times New Roman" w:hAnsi="Times New Roman"/>
          <w:sz w:val="24"/>
        </w:rPr>
        <w:t>Literatur internasional saat ini terbelah dalam dua silo metodologis yang saling terisolasi: riset pemrosesan bahasa alami (NLP) yang mengabaikan topologi jaringan sosial, dan riset analisis graf (SNA) yang memperlakukan simpul sebagai entitas tanpa emosi. Riset ini menjembatani jurang tersebut melalui sintesis tri-layer terintegrasi.</w:t>
      </w:r>
    </w:p>
    <w:p>
      <w:pPr>
        <w:pStyle w:val="Heading2"/>
        <w:keepNext/>
        <w:spacing w:before="240" w:after="80"/>
        <w:jc w:val="left"/>
      </w:pPr>
      <w:r>
        <w:rPr>
          <w:rFonts w:ascii="Times New Roman" w:hAnsi="Times New Roman"/>
          <w:b/>
          <w:color w:val="000000"/>
          <w:sz w:val="24"/>
        </w:rPr>
        <w:t>4. Dataset Gap</w:t>
      </w:r>
    </w:p>
    <w:p>
      <w:pPr>
        <w:spacing w:line="360" w:lineRule="auto" w:after="80"/>
        <w:ind w:firstLine="283"/>
        <w:jc w:val="both"/>
      </w:pPr>
      <w:r>
        <w:rPr>
          <w:rFonts w:ascii="Times New Roman" w:hAnsi="Times New Roman"/>
          <w:sz w:val="24"/>
        </w:rPr>
        <w:t>Ketiadaan korpus benchmarking publik di Indonesia yang secara bersamaan memuat label emosi berbutir halus (9 kelas), anotasi sarkasme semiotik berbasis emoji, dan pemetaan aspek operasional kebijakan publik.</w:t>
      </w:r>
    </w:p>
    <w:p>
      <w:pPr>
        <w:pStyle w:val="Heading2"/>
        <w:keepNext/>
        <w:spacing w:before="240" w:after="80"/>
        <w:jc w:val="left"/>
      </w:pPr>
      <w:r>
        <w:rPr>
          <w:rFonts w:ascii="Times New Roman" w:hAnsi="Times New Roman"/>
          <w:b/>
          <w:color w:val="000000"/>
          <w:sz w:val="24"/>
        </w:rPr>
        <w:t>5. Platform Gap</w:t>
      </w:r>
    </w:p>
    <w:p>
      <w:pPr>
        <w:spacing w:line="360" w:lineRule="auto" w:after="80"/>
        <w:ind w:firstLine="283"/>
        <w:jc w:val="both"/>
      </w:pPr>
      <w:r>
        <w:rPr>
          <w:rFonts w:ascii="Times New Roman" w:hAnsi="Times New Roman"/>
          <w:sz w:val="24"/>
        </w:rPr>
        <w:t>Studi komunikasi krisis kerap hanya meneliti platform percakapan publik (seperti X) atau platform perpesanan tertutup (seperti Telegram) secara terpisah. Penelitian ini menghubungkan keduanya: platform X sebagai arena pemantauan sentimen publik, dan Telegram sebagai infrastruktur diseminasi peringatan dini bagi instansi pengambil keputusan.</w:t>
      </w:r>
    </w:p>
    <w:p>
      <w:pPr>
        <w:pStyle w:val="Heading2"/>
        <w:keepNext/>
        <w:spacing w:before="240" w:after="80"/>
        <w:jc w:val="left"/>
      </w:pPr>
      <w:r>
        <w:rPr>
          <w:rFonts w:ascii="Times New Roman" w:hAnsi="Times New Roman"/>
          <w:b/>
          <w:color w:val="000000"/>
          <w:sz w:val="24"/>
        </w:rPr>
        <w:t>6. NLP Gap</w:t>
      </w:r>
    </w:p>
    <w:p>
      <w:pPr>
        <w:spacing w:line="360" w:lineRule="auto" w:after="80"/>
        <w:ind w:firstLine="283"/>
        <w:jc w:val="both"/>
      </w:pPr>
      <w:r>
        <w:rPr>
          <w:rFonts w:ascii="Times New Roman" w:hAnsi="Times New Roman"/>
          <w:sz w:val="24"/>
        </w:rPr>
        <w:t>Kelemahan model transfer learning standar dalam memahami idiom lokal, singkatan percakapan informal, serta pergeseran makna leksikal pada diskursus kebijakan di Global South.</w:t>
      </w:r>
    </w:p>
    <w:p>
      <w:pPr>
        <w:pStyle w:val="Heading2"/>
        <w:keepNext/>
        <w:spacing w:before="240" w:after="80"/>
        <w:jc w:val="left"/>
      </w:pPr>
      <w:r>
        <w:rPr>
          <w:rFonts w:ascii="Times New Roman" w:hAnsi="Times New Roman"/>
          <w:b/>
          <w:color w:val="000000"/>
          <w:sz w:val="24"/>
        </w:rPr>
        <w:t>7. SNA Gap</w:t>
      </w:r>
    </w:p>
    <w:p>
      <w:pPr>
        <w:spacing w:line="360" w:lineRule="auto" w:after="80"/>
        <w:ind w:firstLine="283"/>
        <w:jc w:val="both"/>
      </w:pPr>
      <w:r>
        <w:rPr>
          <w:rFonts w:ascii="Times New Roman" w:hAnsi="Times New Roman"/>
          <w:sz w:val="24"/>
        </w:rPr>
        <w:t>Penggunaan metrik graf konvensional yang kerap berhenti pada identifikasi 'influencer top' tanpa menginvestigasi asimetri struktural antara otoritas negara formal yang pasif dengan agen alternatif yang aktif melayani masyarakat.</w:t>
      </w:r>
    </w:p>
    <w:p>
      <w:pPr>
        <w:pStyle w:val="Heading2"/>
        <w:keepNext/>
        <w:spacing w:before="240" w:after="80"/>
        <w:jc w:val="left"/>
      </w:pPr>
      <w:r>
        <w:rPr>
          <w:rFonts w:ascii="Times New Roman" w:hAnsi="Times New Roman"/>
          <w:b/>
          <w:color w:val="000000"/>
          <w:sz w:val="24"/>
        </w:rPr>
        <w:t>8. Sarcasm Gap</w:t>
      </w:r>
    </w:p>
    <w:p>
      <w:pPr>
        <w:spacing w:line="360" w:lineRule="auto" w:after="80"/>
        <w:ind w:firstLine="283"/>
        <w:jc w:val="both"/>
      </w:pPr>
      <w:r>
        <w:rPr>
          <w:rFonts w:ascii="Times New Roman" w:hAnsi="Times New Roman"/>
          <w:sz w:val="24"/>
        </w:rPr>
        <w:t>Kegagalan sistematis pustaka NLP arus utama dalam memodelkan ketidaksesuaian semiotik (semiotic incongruence) antara teks pujian dan emoji penghinaan (🤡, 🤮), yang menyebabkan distorsi penilaian sentimen kebijakan publik.</w:t>
      </w:r>
    </w:p>
    <w:p>
      <w:pPr>
        <w:pStyle w:val="Heading2"/>
        <w:keepNext/>
        <w:spacing w:before="240" w:after="80"/>
        <w:jc w:val="left"/>
      </w:pPr>
      <w:r>
        <w:rPr>
          <w:rFonts w:ascii="Times New Roman" w:hAnsi="Times New Roman"/>
          <w:b/>
          <w:color w:val="000000"/>
          <w:sz w:val="24"/>
        </w:rPr>
        <w:t>9. Emotion Gap</w:t>
      </w:r>
    </w:p>
    <w:p>
      <w:pPr>
        <w:spacing w:line="360" w:lineRule="auto" w:after="80"/>
        <w:ind w:firstLine="283"/>
        <w:jc w:val="both"/>
      </w:pPr>
      <w:r>
        <w:rPr>
          <w:rFonts w:ascii="Times New Roman" w:hAnsi="Times New Roman"/>
          <w:sz w:val="24"/>
        </w:rPr>
        <w:t>Keterbatasan dikotomi positif-negatif dalam menjelaskan motivasi psikologis warganet. Dominasi rasa Disgust (56.24%) membuktikan bahwa reaksi publik adalah penolakan visceral terhadap mutu fisik makanan.</w:t>
      </w:r>
    </w:p>
    <w:p>
      <w:pPr>
        <w:pStyle w:val="Heading2"/>
        <w:keepNext/>
        <w:spacing w:before="240" w:after="80"/>
        <w:jc w:val="left"/>
      </w:pPr>
      <w:r>
        <w:rPr>
          <w:rFonts w:ascii="Times New Roman" w:hAnsi="Times New Roman"/>
          <w:b/>
          <w:color w:val="000000"/>
          <w:sz w:val="24"/>
        </w:rPr>
        <w:t>10. Multimodal Gap</w:t>
      </w:r>
    </w:p>
    <w:p>
      <w:pPr>
        <w:spacing w:line="360" w:lineRule="auto" w:after="80"/>
        <w:ind w:firstLine="283"/>
        <w:jc w:val="both"/>
      </w:pPr>
      <w:r>
        <w:rPr>
          <w:rFonts w:ascii="Times New Roman" w:hAnsi="Times New Roman"/>
          <w:sz w:val="24"/>
        </w:rPr>
        <w:t>Kebutuhan untuk memperlakukan teks dan emoji sebagai entitas semiotik terpadu yang saling berinteraksi menentukan nilai kekuatan ilokusi pesan.</w:t>
      </w:r>
    </w:p>
    <w:p>
      <w:pPr>
        <w:pStyle w:val="Heading2"/>
        <w:keepNext/>
        <w:spacing w:before="240" w:after="80"/>
        <w:jc w:val="left"/>
      </w:pPr>
      <w:r>
        <w:rPr>
          <w:rFonts w:ascii="Times New Roman" w:hAnsi="Times New Roman"/>
          <w:b/>
          <w:color w:val="000000"/>
          <w:sz w:val="24"/>
        </w:rPr>
        <w:t>11. Policy Communication Gap</w:t>
      </w:r>
    </w:p>
    <w:p>
      <w:pPr>
        <w:spacing w:line="360" w:lineRule="auto" w:after="80"/>
        <w:ind w:firstLine="283"/>
        <w:jc w:val="both"/>
      </w:pPr>
      <w:r>
        <w:rPr>
          <w:rFonts w:ascii="Times New Roman" w:hAnsi="Times New Roman"/>
          <w:sz w:val="24"/>
        </w:rPr>
        <w:t>Penerapan teori krisis konvensional (SCCT) yang selama ini mengasumsikan komunikasi diseminasi terpusat satu arah, padahal krisis berjejaring didorong oleh percakapan sekunder warganet yang menyebar secara terdesentralisasi.</w:t>
      </w:r>
    </w:p>
    <w:p>
      <w:pPr>
        <w:pStyle w:val="Heading2"/>
        <w:keepNext/>
        <w:spacing w:before="240" w:after="80"/>
        <w:jc w:val="left"/>
      </w:pPr>
      <w:r>
        <w:rPr>
          <w:rFonts w:ascii="Times New Roman" w:hAnsi="Times New Roman"/>
          <w:b/>
          <w:color w:val="000000"/>
          <w:sz w:val="24"/>
        </w:rPr>
        <w:t>12. Marketing 6.0 Gap</w:t>
      </w:r>
    </w:p>
    <w:p>
      <w:pPr>
        <w:spacing w:line="360" w:lineRule="auto" w:after="80"/>
        <w:ind w:firstLine="283"/>
        <w:jc w:val="both"/>
      </w:pPr>
      <w:r>
        <w:rPr>
          <w:rFonts w:ascii="Times New Roman" w:hAnsi="Times New Roman"/>
          <w:sz w:val="24"/>
        </w:rPr>
        <w:t>Belum adanya literatur yang mentranslasikan konsep Phygital Gap dari pemasaran konsumen komersial ke evaluasi program sosial kesejahteraan negara.</w:t>
      </w:r>
    </w:p>
    <w:p>
      <w:pPr>
        <w:pStyle w:val="Heading2"/>
        <w:keepNext/>
        <w:spacing w:before="240" w:after="80"/>
        <w:jc w:val="left"/>
      </w:pPr>
      <w:r>
        <w:rPr>
          <w:rFonts w:ascii="Times New Roman" w:hAnsi="Times New Roman"/>
          <w:b/>
          <w:color w:val="000000"/>
          <w:sz w:val="24"/>
        </w:rPr>
        <w:t>13. Potential Contribution &amp; Novelty</w:t>
      </w:r>
    </w:p>
    <w:p>
      <w:pPr>
        <w:spacing w:line="360" w:lineRule="auto" w:after="80"/>
        <w:ind w:firstLine="283"/>
        <w:jc w:val="both"/>
      </w:pPr>
      <w:r>
        <w:rPr>
          <w:rFonts w:ascii="Times New Roman" w:hAnsi="Times New Roman"/>
          <w:sz w:val="24"/>
        </w:rPr>
        <w:t>Menyediakan cetak biru komputasional yang teruji, open-science, dan siap pakai bagi pembuat kebijakan untuk mendeteksi krisis operasional secara real-time sebelum eskalasi delegitimasi politik terjadi di dunia nyata.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