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(Benchmark &gt; 0.40)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Evaluation Accuracy /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81.43% / 0.5160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Statistically superior to SVM (68.05%) &amp; LogReg (67.11%)</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($C_D: 0.0165$)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@newIding30</w:t>
            </w:r>
            <w:r>
              <w:rPr>
                <w:rFonts w:ascii="Times New Roman" w:hAnsi="Times New Roman"/>
                <w:b w:val="0"/>
                <w:i w:val="0"/>
                <w:sz w:val="18"/>
              </w:rPr>
              <w:t xml:space="preserve"> ($C_D: 0.0155$)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($C_D: 0.0134$)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($C_D: 0.0103$)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@daffiriffi</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($C_D: 0.0093$)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@bbiiyaya</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@mBg_JK</w:t>
            </w:r>
            <w:r>
              <w:rPr>
                <w:rFonts w:ascii="Times New Roman" w:hAnsi="Times New Roman"/>
                <w:b w:val="0"/>
                <w:i w:val="0"/>
                <w:sz w:val="18"/>
              </w:rPr>
              <w:t xml:space="preserve"> ($C_D: 0.0082$)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($C_D: 0.0072$)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@Rhym03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($C_D: 0.0072$)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@xquitavee</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