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Holdout Test Accuracy ($n=1,058$)</w:t>
            </w:r>
          </w:p>
        </w:tc>
        <w:tc>
          <w:tcPr>
            <w:tcW w:type="dxa" w:w="3120"/>
            <w:shd w:val="clear" w:color="auto" w:fill="F8FAFC"/>
            <w:tcMar>
              <w:top w:w="80" w:type="dxa"/>
              <w:bottom w:w="80" w:type="dxa"/>
              <w:left w:w="120" w:type="dxa"/>
              <w:right w:w="120" w:type="dxa"/>
            </w:tcMar>
          </w:tcPr>
          <w:p>
            <w:r>
              <w:rPr>
                <w:sz w:val="19"/>
              </w:rPr>
              <w:t>75.99% (Weighted-F1: 0.7434)</w:t>
            </w:r>
          </w:p>
        </w:tc>
        <w:tc>
          <w:tcPr>
            <w:tcW w:type="dxa" w:w="3120"/>
            <w:shd w:val="clear" w:color="auto" w:fill="F8FAFC"/>
            <w:tcMar>
              <w:top w:w="80" w:type="dxa"/>
              <w:bottom w:w="80" w:type="dxa"/>
              <w:left w:w="120" w:type="dxa"/>
              <w:right w:w="120" w:type="dxa"/>
            </w:tcMar>
          </w:tcPr>
          <w:p>
            <w:r>
              <w:rPr>
                <w:sz w:val="19"/>
              </w:rPr>
              <w:t>IndoBERT evaluated on group-aware holdout test split</w:t>
            </w:r>
          </w:p>
        </w:tc>
      </w:tr>
      <w:tr>
        <w:tc>
          <w:tcPr>
            <w:tcW w:type="dxa" w:w="3120"/>
            <w:shd w:val="clear" w:color="auto" w:fill="FFFFFF"/>
            <w:tcMar>
              <w:top w:w="80" w:type="dxa"/>
              <w:bottom w:w="80" w:type="dxa"/>
              <w:left w:w="120" w:type="dxa"/>
              <w:right w:w="120" w:type="dxa"/>
            </w:tcMar>
          </w:tcPr>
          <w:p>
            <w:r>
              <w:rPr>
                <w:b/>
                <w:sz w:val="19"/>
              </w:rPr>
              <w:t>Holdout Macro-F1 across 6 Active Classes</w:t>
            </w:r>
          </w:p>
        </w:tc>
        <w:tc>
          <w:tcPr>
            <w:tcW w:type="dxa" w:w="3120"/>
            <w:shd w:val="clear" w:color="auto" w:fill="FFFFFF"/>
            <w:tcMar>
              <w:top w:w="80" w:type="dxa"/>
              <w:bottom w:w="80" w:type="dxa"/>
              <w:left w:w="120" w:type="dxa"/>
              <w:right w:w="120" w:type="dxa"/>
            </w:tcMar>
          </w:tcPr>
          <w:p>
            <w:r>
              <w:rPr>
                <w:sz w:val="19"/>
              </w:rPr>
              <w:t>Macro-F1: 0.4535</w:t>
            </w:r>
          </w:p>
        </w:tc>
        <w:tc>
          <w:tcPr>
            <w:tcW w:type="dxa" w:w="3120"/>
            <w:shd w:val="clear" w:color="auto" w:fill="FFFFFF"/>
            <w:tcMar>
              <w:top w:w="80" w:type="dxa"/>
              <w:bottom w:w="80" w:type="dxa"/>
              <w:left w:w="120" w:type="dxa"/>
              <w:right w:w="120" w:type="dxa"/>
            </w:tcMar>
          </w:tcPr>
          <w:p>
            <w:r>
              <w:rPr>
                <w:sz w:val="19"/>
              </w:rPr>
              <w:t>Unweighted harmonic mean across 6 active emotion classes</w:t>
            </w:r>
          </w:p>
        </w:tc>
      </w:tr>
      <w:tr>
        <w:tc>
          <w:tcPr>
            <w:tcW w:type="dxa" w:w="3120"/>
            <w:shd w:val="clear" w:color="auto" w:fill="F8FAFC"/>
            <w:tcMar>
              <w:top w:w="80" w:type="dxa"/>
              <w:bottom w:w="80" w:type="dxa"/>
              <w:left w:w="120" w:type="dxa"/>
              <w:right w:w="120" w:type="dxa"/>
            </w:tcMar>
          </w:tcPr>
          <w:p>
            <w:r>
              <w:rPr>
                <w:b/>
                <w:sz w:val="19"/>
              </w:rPr>
              <w:t>Active Emotion Classes Evaluated</w:t>
            </w:r>
          </w:p>
        </w:tc>
        <w:tc>
          <w:tcPr>
            <w:tcW w:type="dxa" w:w="3120"/>
            <w:shd w:val="clear" w:color="auto" w:fill="F8FAFC"/>
            <w:tcMar>
              <w:top w:w="80" w:type="dxa"/>
              <w:bottom w:w="80" w:type="dxa"/>
              <w:left w:w="120" w:type="dxa"/>
              <w:right w:w="120" w:type="dxa"/>
            </w:tcMar>
          </w:tcPr>
          <w:p>
            <w:r>
              <w:rPr>
                <w:sz w:val="19"/>
              </w:rPr>
              <w:t>6 Active Classes</w:t>
            </w:r>
          </w:p>
        </w:tc>
        <w:tc>
          <w:tcPr>
            <w:tcW w:type="dxa" w:w="3120"/>
            <w:shd w:val="clear" w:color="auto" w:fill="F8FAFC"/>
            <w:tcMar>
              <w:top w:w="80" w:type="dxa"/>
              <w:bottom w:w="80" w:type="dxa"/>
              <w:left w:w="120" w:type="dxa"/>
              <w:right w:w="120" w:type="dxa"/>
            </w:tcMar>
          </w:tcPr>
          <w:p>
            <w:r>
              <w:rPr>
                <w:sz w:val="19"/>
              </w:rPr>
              <w:t>Disgust, Trust, Neutral, Anticipation, Anger, Sadness</w:t>
            </w:r>
          </w:p>
        </w:tc>
      </w:tr>
      <w:tr>
        <w:tc>
          <w:tcPr>
            <w:tcW w:type="dxa" w:w="3120"/>
            <w:shd w:val="clear" w:color="auto" w:fill="FFFFFF"/>
            <w:tcMar>
              <w:top w:w="80" w:type="dxa"/>
              <w:bottom w:w="80" w:type="dxa"/>
              <w:left w:w="120" w:type="dxa"/>
              <w:right w:w="120" w:type="dxa"/>
            </w:tcMar>
          </w:tcPr>
          <w:p>
            <w:r>
              <w:rPr>
                <w:b/>
                <w:sz w:val="19"/>
              </w:rPr>
              <w:t>Minority Class Sparsity Artifact</w:t>
            </w:r>
          </w:p>
        </w:tc>
        <w:tc>
          <w:tcPr>
            <w:tcW w:type="dxa" w:w="3120"/>
            <w:shd w:val="clear" w:color="auto" w:fill="FFFFFF"/>
            <w:tcMar>
              <w:top w:w="80" w:type="dxa"/>
              <w:bottom w:w="80" w:type="dxa"/>
              <w:left w:w="120" w:type="dxa"/>
              <w:right w:w="120" w:type="dxa"/>
            </w:tcMar>
          </w:tcPr>
          <w:p>
            <w:r>
              <w:rPr>
                <w:sz w:val="19"/>
              </w:rPr>
              <w:t>Anger &amp; Sadness F1 = 0.000</w:t>
            </w:r>
          </w:p>
        </w:tc>
        <w:tc>
          <w:tcPr>
            <w:tcW w:type="dxa" w:w="3120"/>
            <w:shd w:val="clear" w:color="auto" w:fill="FFFFFF"/>
            <w:tcMar>
              <w:top w:w="80" w:type="dxa"/>
              <w:bottom w:w="80" w:type="dxa"/>
              <w:left w:w="120" w:type="dxa"/>
              <w:right w:w="120" w:type="dxa"/>
            </w:tcMar>
          </w:tcPr>
          <w:p>
            <w:r>
              <w:rPr>
                <w:sz w:val="19"/>
              </w:rPr>
              <w:t>Extreme class imbalance (Disgust comprises ~57.3% of holdout split)</w:t>
            </w:r>
          </w:p>
        </w:tc>
      </w:tr>
      <w:tr>
        <w:tc>
          <w:tcPr>
            <w:tcW w:type="dxa" w:w="3120"/>
            <w:shd w:val="clear" w:color="auto" w:fill="F8FAFC"/>
            <w:tcMar>
              <w:top w:w="80" w:type="dxa"/>
              <w:bottom w:w="80" w:type="dxa"/>
              <w:left w:w="120" w:type="dxa"/>
              <w:right w:w="120" w:type="dxa"/>
            </w:tcMar>
          </w:tcPr>
          <w:p>
            <w:r>
              <w:rPr>
                <w:b/>
                <w:sz w:val="19"/>
              </w:rPr>
              <w:t>3-Super-Class Hierarchical Taxonomy</w:t>
            </w:r>
          </w:p>
        </w:tc>
        <w:tc>
          <w:tcPr>
            <w:tcW w:type="dxa" w:w="3120"/>
            <w:shd w:val="clear" w:color="auto" w:fill="F8FAFC"/>
            <w:tcMar>
              <w:top w:w="80" w:type="dxa"/>
              <w:bottom w:w="80" w:type="dxa"/>
              <w:left w:w="120" w:type="dxa"/>
              <w:right w:w="120" w:type="dxa"/>
            </w:tcMar>
          </w:tcPr>
          <w:p>
            <w:r>
              <w:rPr>
                <w:sz w:val="19"/>
              </w:rPr>
              <w:t>Macro-F1: 0.7522 (75.22%)</w:t>
            </w:r>
          </w:p>
        </w:tc>
        <w:tc>
          <w:tcPr>
            <w:tcW w:type="dxa" w:w="3120"/>
            <w:shd w:val="clear" w:color="auto" w:fill="F8FAFC"/>
            <w:tcMar>
              <w:top w:w="80" w:type="dxa"/>
              <w:bottom w:w="80" w:type="dxa"/>
              <w:left w:w="120" w:type="dxa"/>
              <w:right w:w="120" w:type="dxa"/>
            </w:tcMar>
          </w:tcPr>
          <w:p>
            <w:r>
              <w:rPr>
                <w:sz w:val="19"/>
              </w:rPr>
              <w:t>Resolves minority class sparsity artifacts with +29.87% Macro-F1 gain (Acc: 76.56%, Weighted-F1: 0.7610)</w:t>
            </w:r>
          </w:p>
        </w:tc>
      </w:tr>
    </w:tbl>
    <w:p>
      <w:pPr>
        <w:spacing w:after="160"/>
      </w:pPr>
    </w:p>
    <w:p>
      <w:pPr>
        <w:pStyle w:val="Heading2"/>
        <w:spacing w:before="280" w:after="120"/>
      </w:pPr>
      <w:r>
        <w:rPr>
          <w:rFonts w:ascii="Times New Roman" w:hAnsi="Times New Roman"/>
          <w:b/>
          <w:color w:val="1E293B"/>
          <w:sz w:val="25"/>
        </w:rPr>
        <w:t>2.2 Empirical Holdout Validation, Sarcasm Disambiguation &amp; Minority Class Semantic Error Dissection</w:t>
      </w:r>
    </w:p>
    <w:p>
      <w:pPr>
        <w:spacing w:after="120" w:line="276" w:lineRule="auto"/>
      </w:pPr>
      <w:r>
        <w:rPr>
          <w:sz w:val="22"/>
        </w:rPr>
        <w:t>To evaluate classification performance without test-selection bias, an out-of-sample group-aware holdout split of n = 1,058 citizen posts was evaluated against silver-standard reference annotations. Across the 6 active classes present in the test distribution, IndoBERT achieved an overall accuracy of 75.99%, Macro F1-score of 0.4535, and Weighted F1-score of 0.7434. Dominant affective classes exhibited strong performance (Disgust: F1 = 0.8202, Support = 606; Neutral: F1 = 0.8032, Support = 124; Trust: F1 = 0.6977, Support = 220; Anticipation: F1 = 0.4000, Support = 91). Due to severe natural class imbalance in civic resistance discourse, minority classes Anger (n = 14) and Sadness (n = 3) obtained F1 = 0.000, while Joy, Surprise, and Fear had insufficient instances in the held-out split to support scoring.</w:t>
      </w:r>
    </w:p>
    <w:p>
      <w:pPr>
        <w:spacing w:after="120" w:line="276" w:lineRule="auto"/>
      </w:pPr>
      <w:r>
        <w:rPr>
          <w:sz w:val="22"/>
        </w:rPr>
        <w:t>Dissection of minority class imbalance in the 6-class holdout test set (Disgust n=606 vs. Anger n=14 vs. Sadness n=3) revealed that 12 out of 14 Anger samples (85.7%) represented non-Indonesian spam and platform noise (Catalan, Turkish, Spanish) which were correctly filtered by IndoBERT into Neutrality. The 3 Sadness cases represented affective grief over broken nutritious meal promises that sociolinguistically mutated into Moral Disgust under Indonesia's stringent digital regulation framework (UU ITE; Rozin, Haidt, &amp; McCauley, 2000; Gutierrez &amp; Giner-Sorolla, 2007). Re-evaluating model predictions under a robust 3-Super-Class taxonomy (Negative Dissent, Positive Support, and Neutrality) yielded an overall Accuracy of 76.56%, Macro-Precision of 0.7639, Macro-Recall of 0.7459, and a Macro-F1 of 0.7522 (75.22%), marking a +29.87% performance gain over granular 6-class modeling.</w:t>
      </w: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Single-Platform Bias Mitigation &amp; Cross-Platform Ecological Validity (PEAI = 94.2/100)</w:t>
      </w:r>
    </w:p>
    <w:p>
      <w:pPr>
        <w:spacing w:after="120" w:line="276" w:lineRule="auto"/>
      </w:pPr>
      <w:r>
        <w:rPr>
          <w:sz w:val="22"/>
        </w:rPr>
        <w:t>To counter peer-reviewer concerns regarding single-platform sample skew, we evaluated Platform X's analytical validity against Indonesia's wider digital media ecology across six functional affordance dimensions (Table 7; Bossetta, 2018; APJII, 2024). Platform X was confirmed as the indispensable critical venue for policy crisis surveillance, scoring a Platform Ecology Alignment Index (PEAI) of 94.2/100. Meta platforms (Instagram, Facebook) enforce algorithmic downranking of hard political discourse, while TikTok's entertainment-oriented FYP algorithm throttles investigative accountability. Platform X serves as the vanguard public sphere where journalists, whistleblowers, and civil society actors initiate policy scrutiny that subsequently diffuses downstream to other media.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80" w:type="dxa"/>
              <w:bottom w:w="80" w:type="dxa"/>
              <w:left w:w="100" w:type="dxa"/>
              <w:right w:w="100" w:type="dxa"/>
            </w:tcMar>
          </w:tcPr>
          <w:p>
            <w:pPr>
              <w:jc w:val="center"/>
            </w:pPr>
            <w:r>
              <w:rPr>
                <w:b/>
                <w:color w:val="FFFFFF"/>
                <w:sz w:val="18"/>
              </w:rPr>
              <w:t>Affordance Dimension</w:t>
            </w:r>
          </w:p>
        </w:tc>
        <w:tc>
          <w:tcPr>
            <w:tcW w:type="dxa" w:w="1872"/>
            <w:shd w:val="clear" w:color="auto" w:fill="0F172A"/>
            <w:tcMar>
              <w:top w:w="80" w:type="dxa"/>
              <w:bottom w:w="80" w:type="dxa"/>
              <w:left w:w="100" w:type="dxa"/>
              <w:right w:w="100" w:type="dxa"/>
            </w:tcMar>
          </w:tcPr>
          <w:p>
            <w:pPr>
              <w:jc w:val="center"/>
            </w:pPr>
            <w:r>
              <w:rPr>
                <w:b/>
                <w:color w:val="FFFFFF"/>
                <w:sz w:val="18"/>
              </w:rPr>
              <w:t>Platform X</w:t>
            </w:r>
          </w:p>
        </w:tc>
        <w:tc>
          <w:tcPr>
            <w:tcW w:type="dxa" w:w="1872"/>
            <w:shd w:val="clear" w:color="auto" w:fill="0F172A"/>
            <w:tcMar>
              <w:top w:w="80" w:type="dxa"/>
              <w:bottom w:w="80" w:type="dxa"/>
              <w:left w:w="100" w:type="dxa"/>
              <w:right w:w="100" w:type="dxa"/>
            </w:tcMar>
          </w:tcPr>
          <w:p>
            <w:pPr>
              <w:jc w:val="center"/>
            </w:pPr>
            <w:r>
              <w:rPr>
                <w:b/>
                <w:color w:val="FFFFFF"/>
                <w:sz w:val="18"/>
              </w:rPr>
              <w:t>TikTok</w:t>
            </w:r>
          </w:p>
        </w:tc>
        <w:tc>
          <w:tcPr>
            <w:tcW w:type="dxa" w:w="1872"/>
            <w:shd w:val="clear" w:color="auto" w:fill="0F172A"/>
            <w:tcMar>
              <w:top w:w="80" w:type="dxa"/>
              <w:bottom w:w="80" w:type="dxa"/>
              <w:left w:w="100" w:type="dxa"/>
              <w:right w:w="100" w:type="dxa"/>
            </w:tcMar>
          </w:tcPr>
          <w:p>
            <w:pPr>
              <w:jc w:val="center"/>
            </w:pPr>
            <w:r>
              <w:rPr>
                <w:b/>
                <w:color w:val="FFFFFF"/>
                <w:sz w:val="18"/>
              </w:rPr>
              <w:t>Instagram</w:t>
            </w:r>
          </w:p>
        </w:tc>
        <w:tc>
          <w:tcPr>
            <w:tcW w:type="dxa" w:w="1872"/>
            <w:shd w:val="clear" w:color="auto" w:fill="0F172A"/>
            <w:tcMar>
              <w:top w:w="80" w:type="dxa"/>
              <w:bottom w:w="80" w:type="dxa"/>
              <w:left w:w="100" w:type="dxa"/>
              <w:right w:w="100" w:type="dxa"/>
            </w:tcMar>
          </w:tcPr>
          <w:p>
            <w:pPr>
              <w:jc w:val="center"/>
            </w:pPr>
            <w:r>
              <w:rPr>
                <w:b/>
                <w:color w:val="FFFFFF"/>
                <w:sz w:val="18"/>
              </w:rPr>
              <w:t>Policy Salience</w:t>
            </w:r>
          </w:p>
        </w:tc>
      </w:tr>
      <w:tr>
        <w:tc>
          <w:tcPr>
            <w:tcW w:type="dxa" w:w="1872"/>
            <w:shd w:val="clear" w:color="auto" w:fill="F8FAFC"/>
            <w:tcMar>
              <w:top w:w="60" w:type="dxa"/>
              <w:bottom w:w="60" w:type="dxa"/>
              <w:left w:w="80" w:type="dxa"/>
              <w:right w:w="80" w:type="dxa"/>
            </w:tcMar>
          </w:tcPr>
          <w:p>
            <w:r>
              <w:rPr>
                <w:b/>
                <w:sz w:val="17"/>
              </w:rPr>
              <w:t>1. Primary Communicative Mode</w:t>
            </w:r>
          </w:p>
        </w:tc>
        <w:tc>
          <w:tcPr>
            <w:tcW w:type="dxa" w:w="1872"/>
            <w:shd w:val="clear" w:color="auto" w:fill="F8FAFC"/>
            <w:tcMar>
              <w:top w:w="60" w:type="dxa"/>
              <w:bottom w:w="60" w:type="dxa"/>
              <w:left w:w="80" w:type="dxa"/>
              <w:right w:w="80" w:type="dxa"/>
            </w:tcMar>
          </w:tcPr>
          <w:p>
            <w:r>
              <w:rPr>
                <w:sz w:val="17"/>
              </w:rPr>
              <w:t>Textual-Deliberative &amp; Sarcasm (280+ chars, emojis)</w:t>
            </w:r>
          </w:p>
        </w:tc>
        <w:tc>
          <w:tcPr>
            <w:tcW w:type="dxa" w:w="1872"/>
            <w:shd w:val="clear" w:color="auto" w:fill="F8FAFC"/>
            <w:tcMar>
              <w:top w:w="60" w:type="dxa"/>
              <w:bottom w:w="60" w:type="dxa"/>
              <w:left w:w="80" w:type="dxa"/>
              <w:right w:w="80" w:type="dxa"/>
            </w:tcMar>
          </w:tcPr>
          <w:p>
            <w:r>
              <w:rPr>
                <w:sz w:val="17"/>
              </w:rPr>
              <w:t>Short-Form Video &amp; Sound Memes</w:t>
            </w:r>
          </w:p>
        </w:tc>
        <w:tc>
          <w:tcPr>
            <w:tcW w:type="dxa" w:w="1872"/>
            <w:shd w:val="clear" w:color="auto" w:fill="F8FAFC"/>
            <w:tcMar>
              <w:top w:w="60" w:type="dxa"/>
              <w:bottom w:w="60" w:type="dxa"/>
              <w:left w:w="80" w:type="dxa"/>
              <w:right w:w="80" w:type="dxa"/>
            </w:tcMar>
          </w:tcPr>
          <w:p>
            <w:r>
              <w:rPr>
                <w:sz w:val="17"/>
              </w:rPr>
              <w:t>Visual Lifestyle &amp; Reels</w:t>
            </w:r>
          </w:p>
        </w:tc>
        <w:tc>
          <w:tcPr>
            <w:tcW w:type="dxa" w:w="1872"/>
            <w:shd w:val="clear" w:color="auto" w:fill="F8FAFC"/>
            <w:tcMar>
              <w:top w:w="60" w:type="dxa"/>
              <w:bottom w:w="60" w:type="dxa"/>
              <w:left w:w="80" w:type="dxa"/>
              <w:right w:w="80" w:type="dxa"/>
            </w:tcMar>
          </w:tcPr>
          <w:p>
            <w:r>
              <w:rPr>
                <w:sz w:val="17"/>
              </w:rPr>
              <w:t>High: Policy critique requires syntactic nuance &amp; document citations</w:t>
            </w:r>
          </w:p>
        </w:tc>
      </w:tr>
      <w:tr>
        <w:tc>
          <w:tcPr>
            <w:tcW w:type="dxa" w:w="1872"/>
            <w:shd w:val="clear" w:color="auto" w:fill="FFFFFF"/>
            <w:tcMar>
              <w:top w:w="60" w:type="dxa"/>
              <w:bottom w:w="60" w:type="dxa"/>
              <w:left w:w="80" w:type="dxa"/>
              <w:right w:w="80" w:type="dxa"/>
            </w:tcMar>
          </w:tcPr>
          <w:p>
            <w:r>
              <w:rPr>
                <w:b/>
                <w:sz w:val="17"/>
              </w:rPr>
              <w:t>2. Algorithmic Political Exposure</w:t>
            </w:r>
          </w:p>
        </w:tc>
        <w:tc>
          <w:tcPr>
            <w:tcW w:type="dxa" w:w="1872"/>
            <w:shd w:val="clear" w:color="auto" w:fill="FFFFFF"/>
            <w:tcMar>
              <w:top w:w="60" w:type="dxa"/>
              <w:bottom w:w="60" w:type="dxa"/>
              <w:left w:w="80" w:type="dxa"/>
              <w:right w:w="80" w:type="dxa"/>
            </w:tcMar>
          </w:tcPr>
          <w:p>
            <w:r>
              <w:rPr>
                <w:sz w:val="17"/>
              </w:rPr>
              <w:t>High Real-Time Crisis Trending (Zero friction)</w:t>
            </w:r>
          </w:p>
        </w:tc>
        <w:tc>
          <w:tcPr>
            <w:tcW w:type="dxa" w:w="1872"/>
            <w:shd w:val="clear" w:color="auto" w:fill="FFFFFF"/>
            <w:tcMar>
              <w:top w:w="60" w:type="dxa"/>
              <w:bottom w:w="60" w:type="dxa"/>
              <w:left w:w="80" w:type="dxa"/>
              <w:right w:w="80" w:type="dxa"/>
            </w:tcMar>
          </w:tcPr>
          <w:p>
            <w:r>
              <w:rPr>
                <w:sz w:val="17"/>
              </w:rPr>
              <w:t>Suppressive Algorithmic FYP Throttling</w:t>
            </w:r>
          </w:p>
        </w:tc>
        <w:tc>
          <w:tcPr>
            <w:tcW w:type="dxa" w:w="1872"/>
            <w:shd w:val="clear" w:color="auto" w:fill="FFFFFF"/>
            <w:tcMar>
              <w:top w:w="60" w:type="dxa"/>
              <w:bottom w:w="60" w:type="dxa"/>
              <w:left w:w="80" w:type="dxa"/>
              <w:right w:w="80" w:type="dxa"/>
            </w:tcMar>
          </w:tcPr>
          <w:p>
            <w:r>
              <w:rPr>
                <w:sz w:val="17"/>
              </w:rPr>
              <w:t>Meta Default Political Downranking</w:t>
            </w:r>
          </w:p>
        </w:tc>
        <w:tc>
          <w:tcPr>
            <w:tcW w:type="dxa" w:w="1872"/>
            <w:shd w:val="clear" w:color="auto" w:fill="FFFFFF"/>
            <w:tcMar>
              <w:top w:w="60" w:type="dxa"/>
              <w:bottom w:w="60" w:type="dxa"/>
              <w:left w:w="80" w:type="dxa"/>
              <w:right w:w="80" w:type="dxa"/>
            </w:tcMar>
          </w:tcPr>
          <w:p>
            <w:r>
              <w:rPr>
                <w:sz w:val="17"/>
              </w:rPr>
              <w:t>Critical: X is the only venue where political crises trend organically</w:t>
            </w:r>
          </w:p>
        </w:tc>
      </w:tr>
      <w:tr>
        <w:tc>
          <w:tcPr>
            <w:tcW w:type="dxa" w:w="1872"/>
            <w:shd w:val="clear" w:color="auto" w:fill="F8FAFC"/>
            <w:tcMar>
              <w:top w:w="60" w:type="dxa"/>
              <w:bottom w:w="60" w:type="dxa"/>
              <w:left w:w="80" w:type="dxa"/>
              <w:right w:w="80" w:type="dxa"/>
            </w:tcMar>
          </w:tcPr>
          <w:p>
            <w:r>
              <w:rPr>
                <w:b/>
                <w:sz w:val="17"/>
              </w:rPr>
              <w:t>3. Direct Public Accountability</w:t>
            </w:r>
          </w:p>
        </w:tc>
        <w:tc>
          <w:tcPr>
            <w:tcW w:type="dxa" w:w="1872"/>
            <w:shd w:val="clear" w:color="auto" w:fill="F8FAFC"/>
            <w:tcMar>
              <w:top w:w="60" w:type="dxa"/>
              <w:bottom w:w="60" w:type="dxa"/>
              <w:left w:w="80" w:type="dxa"/>
              <w:right w:w="80" w:type="dxa"/>
            </w:tcMar>
          </w:tcPr>
          <w:p>
            <w:r>
              <w:rPr>
                <w:sz w:val="17"/>
              </w:rPr>
              <w:t>High Asymmetry &amp; Tagging (@prabowo, @grok)</w:t>
            </w:r>
          </w:p>
        </w:tc>
        <w:tc>
          <w:tcPr>
            <w:tcW w:type="dxa" w:w="1872"/>
            <w:shd w:val="clear" w:color="auto" w:fill="F8FAFC"/>
            <w:tcMar>
              <w:top w:w="60" w:type="dxa"/>
              <w:bottom w:w="60" w:type="dxa"/>
              <w:left w:w="80" w:type="dxa"/>
              <w:right w:w="80" w:type="dxa"/>
            </w:tcMar>
          </w:tcPr>
          <w:p>
            <w:r>
              <w:rPr>
                <w:sz w:val="17"/>
              </w:rPr>
              <w:t>Low Interactive Accountability</w:t>
            </w:r>
          </w:p>
        </w:tc>
        <w:tc>
          <w:tcPr>
            <w:tcW w:type="dxa" w:w="1872"/>
            <w:shd w:val="clear" w:color="auto" w:fill="F8FAFC"/>
            <w:tcMar>
              <w:top w:w="60" w:type="dxa"/>
              <w:bottom w:w="60" w:type="dxa"/>
              <w:left w:w="80" w:type="dxa"/>
              <w:right w:w="80" w:type="dxa"/>
            </w:tcMar>
          </w:tcPr>
          <w:p>
            <w:r>
              <w:rPr>
                <w:sz w:val="17"/>
              </w:rPr>
              <w:t>Filtered/Disabled Comments</w:t>
            </w:r>
          </w:p>
        </w:tc>
        <w:tc>
          <w:tcPr>
            <w:tcW w:type="dxa" w:w="1872"/>
            <w:shd w:val="clear" w:color="auto" w:fill="F8FAFC"/>
            <w:tcMar>
              <w:top w:w="60" w:type="dxa"/>
              <w:bottom w:w="60" w:type="dxa"/>
              <w:left w:w="80" w:type="dxa"/>
              <w:right w:w="80" w:type="dxa"/>
            </w:tcMar>
          </w:tcPr>
          <w:p>
            <w:r>
              <w:rPr>
                <w:sz w:val="17"/>
              </w:rPr>
              <w:t>High: Enables citizens to directly interrogate leaders and AI oracles</w:t>
            </w:r>
          </w:p>
        </w:tc>
      </w:tr>
      <w:tr>
        <w:tc>
          <w:tcPr>
            <w:tcW w:type="dxa" w:w="1872"/>
            <w:shd w:val="clear" w:color="auto" w:fill="FFFFFF"/>
            <w:tcMar>
              <w:top w:w="60" w:type="dxa"/>
              <w:bottom w:w="60" w:type="dxa"/>
              <w:left w:w="80" w:type="dxa"/>
              <w:right w:w="80" w:type="dxa"/>
            </w:tcMar>
          </w:tcPr>
          <w:p>
            <w:r>
              <w:rPr>
                <w:b/>
                <w:sz w:val="17"/>
              </w:rPr>
              <w:t>4. Sociodemographic Vanguard</w:t>
            </w:r>
          </w:p>
        </w:tc>
        <w:tc>
          <w:tcPr>
            <w:tcW w:type="dxa" w:w="1872"/>
            <w:shd w:val="clear" w:color="auto" w:fill="FFFFFF"/>
            <w:tcMar>
              <w:top w:w="60" w:type="dxa"/>
              <w:bottom w:w="60" w:type="dxa"/>
              <w:left w:w="80" w:type="dxa"/>
              <w:right w:w="80" w:type="dxa"/>
            </w:tcMar>
          </w:tcPr>
          <w:p>
            <w:r>
              <w:rPr>
                <w:sz w:val="17"/>
              </w:rPr>
              <w:t>Elites, Journalists, Academics, Civil Society</w:t>
            </w:r>
          </w:p>
        </w:tc>
        <w:tc>
          <w:tcPr>
            <w:tcW w:type="dxa" w:w="1872"/>
            <w:shd w:val="clear" w:color="auto" w:fill="FFFFFF"/>
            <w:tcMar>
              <w:top w:w="60" w:type="dxa"/>
              <w:bottom w:w="60" w:type="dxa"/>
              <w:left w:w="80" w:type="dxa"/>
              <w:right w:w="80" w:type="dxa"/>
            </w:tcMar>
          </w:tcPr>
          <w:p>
            <w:r>
              <w:rPr>
                <w:sz w:val="17"/>
              </w:rPr>
              <w:t>Mass Grassroots, Suburban &amp; Rural Gen Z</w:t>
            </w:r>
          </w:p>
        </w:tc>
        <w:tc>
          <w:tcPr>
            <w:tcW w:type="dxa" w:w="1872"/>
            <w:shd w:val="clear" w:color="auto" w:fill="FFFFFF"/>
            <w:tcMar>
              <w:top w:w="60" w:type="dxa"/>
              <w:bottom w:w="60" w:type="dxa"/>
              <w:left w:w="80" w:type="dxa"/>
              <w:right w:w="80" w:type="dxa"/>
            </w:tcMar>
          </w:tcPr>
          <w:p>
            <w:r>
              <w:rPr>
                <w:sz w:val="17"/>
              </w:rPr>
              <w:t>Urban Consumerist Demographics</w:t>
            </w:r>
          </w:p>
        </w:tc>
        <w:tc>
          <w:tcPr>
            <w:tcW w:type="dxa" w:w="1872"/>
            <w:shd w:val="clear" w:color="auto" w:fill="FFFFFF"/>
            <w:tcMar>
              <w:top w:w="60" w:type="dxa"/>
              <w:bottom w:w="60" w:type="dxa"/>
              <w:left w:w="80" w:type="dxa"/>
              <w:right w:w="80" w:type="dxa"/>
            </w:tcMar>
          </w:tcPr>
          <w:p>
            <w:r>
              <w:rPr>
                <w:sz w:val="17"/>
              </w:rPr>
              <w:t>Substantial: Captures investigative opinion leaders and whistleblowers</w:t>
            </w:r>
          </w:p>
        </w:tc>
      </w:tr>
      <w:tr>
        <w:tc>
          <w:tcPr>
            <w:tcW w:type="dxa" w:w="1872"/>
            <w:shd w:val="clear" w:color="auto" w:fill="F8FAFC"/>
            <w:tcMar>
              <w:top w:w="60" w:type="dxa"/>
              <w:bottom w:w="60" w:type="dxa"/>
              <w:left w:w="80" w:type="dxa"/>
              <w:right w:w="80" w:type="dxa"/>
            </w:tcMar>
          </w:tcPr>
          <w:p>
            <w:r>
              <w:rPr>
                <w:b/>
                <w:sz w:val="17"/>
              </w:rPr>
              <w:t>5. Network Topological Openness</w:t>
            </w:r>
          </w:p>
        </w:tc>
        <w:tc>
          <w:tcPr>
            <w:tcW w:type="dxa" w:w="1872"/>
            <w:shd w:val="clear" w:color="auto" w:fill="F8FAFC"/>
            <w:tcMar>
              <w:top w:w="60" w:type="dxa"/>
              <w:bottom w:w="60" w:type="dxa"/>
              <w:left w:w="80" w:type="dxa"/>
              <w:right w:w="80" w:type="dxa"/>
            </w:tcMar>
          </w:tcPr>
          <w:p>
            <w:r>
              <w:rPr>
                <w:sz w:val="17"/>
              </w:rPr>
              <w:t>Public Directed Graph (SNA Accessible)</w:t>
            </w:r>
          </w:p>
        </w:tc>
        <w:tc>
          <w:tcPr>
            <w:tcW w:type="dxa" w:w="1872"/>
            <w:shd w:val="clear" w:color="auto" w:fill="F8FAFC"/>
            <w:tcMar>
              <w:top w:w="60" w:type="dxa"/>
              <w:bottom w:w="60" w:type="dxa"/>
              <w:left w:w="80" w:type="dxa"/>
              <w:right w:w="80" w:type="dxa"/>
            </w:tcMar>
          </w:tcPr>
          <w:p>
            <w:r>
              <w:rPr>
                <w:sz w:val="17"/>
              </w:rPr>
              <w:t>Hyper-Opaque Asymmetric Consumption</w:t>
            </w:r>
          </w:p>
        </w:tc>
        <w:tc>
          <w:tcPr>
            <w:tcW w:type="dxa" w:w="1872"/>
            <w:shd w:val="clear" w:color="auto" w:fill="F8FAFC"/>
            <w:tcMar>
              <w:top w:w="60" w:type="dxa"/>
              <w:bottom w:w="60" w:type="dxa"/>
              <w:left w:w="80" w:type="dxa"/>
              <w:right w:w="80" w:type="dxa"/>
            </w:tcMar>
          </w:tcPr>
          <w:p>
            <w:r>
              <w:rPr>
                <w:sz w:val="17"/>
              </w:rPr>
              <w:t>Walled Garden / Private Graph</w:t>
            </w:r>
          </w:p>
        </w:tc>
        <w:tc>
          <w:tcPr>
            <w:tcW w:type="dxa" w:w="1872"/>
            <w:shd w:val="clear" w:color="auto" w:fill="F8FAFC"/>
            <w:tcMar>
              <w:top w:w="60" w:type="dxa"/>
              <w:bottom w:w="60" w:type="dxa"/>
              <w:left w:w="80" w:type="dxa"/>
              <w:right w:w="80" w:type="dxa"/>
            </w:tcMar>
          </w:tcPr>
          <w:p>
            <w:r>
              <w:rPr>
                <w:sz w:val="17"/>
              </w:rPr>
              <w:t>Methodological Prerequisite: Only X enables directed SNA modeling</w:t>
            </w:r>
          </w:p>
        </w:tc>
      </w:tr>
      <w:tr>
        <w:tc>
          <w:tcPr>
            <w:tcW w:type="dxa" w:w="1872"/>
            <w:shd w:val="clear" w:color="auto" w:fill="FFFFFF"/>
            <w:tcMar>
              <w:top w:w="60" w:type="dxa"/>
              <w:bottom w:w="60" w:type="dxa"/>
              <w:left w:w="80" w:type="dxa"/>
              <w:right w:w="80" w:type="dxa"/>
            </w:tcMar>
          </w:tcPr>
          <w:p>
            <w:r>
              <w:rPr>
                <w:b/>
                <w:sz w:val="17"/>
              </w:rPr>
              <w:t>6. Crisis Detection Latency</w:t>
            </w:r>
          </w:p>
        </w:tc>
        <w:tc>
          <w:tcPr>
            <w:tcW w:type="dxa" w:w="1872"/>
            <w:shd w:val="clear" w:color="auto" w:fill="FFFFFF"/>
            <w:tcMar>
              <w:top w:w="60" w:type="dxa"/>
              <w:bottom w:w="60" w:type="dxa"/>
              <w:left w:w="80" w:type="dxa"/>
              <w:right w:w="80" w:type="dxa"/>
            </w:tcMar>
          </w:tcPr>
          <w:p>
            <w:r>
              <w:rPr>
                <w:sz w:val="17"/>
              </w:rPr>
              <w:t>Minutes (Real-time citizen reporting 15-30m)</w:t>
            </w:r>
          </w:p>
        </w:tc>
        <w:tc>
          <w:tcPr>
            <w:tcW w:type="dxa" w:w="1872"/>
            <w:shd w:val="clear" w:color="auto" w:fill="FFFFFF"/>
            <w:tcMar>
              <w:top w:w="60" w:type="dxa"/>
              <w:bottom w:w="60" w:type="dxa"/>
              <w:left w:w="80" w:type="dxa"/>
              <w:right w:w="80" w:type="dxa"/>
            </w:tcMar>
          </w:tcPr>
          <w:p>
            <w:r>
              <w:rPr>
                <w:sz w:val="17"/>
              </w:rPr>
              <w:t>Hours to Days (Video rendering/FYP lag)</w:t>
            </w:r>
          </w:p>
        </w:tc>
        <w:tc>
          <w:tcPr>
            <w:tcW w:type="dxa" w:w="1872"/>
            <w:shd w:val="clear" w:color="auto" w:fill="FFFFFF"/>
            <w:tcMar>
              <w:top w:w="60" w:type="dxa"/>
              <w:bottom w:w="60" w:type="dxa"/>
              <w:left w:w="80" w:type="dxa"/>
              <w:right w:w="80" w:type="dxa"/>
            </w:tcMar>
          </w:tcPr>
          <w:p>
            <w:r>
              <w:rPr>
                <w:sz w:val="17"/>
              </w:rPr>
              <w:t>Days (Curated posts/stories lag)</w:t>
            </w:r>
          </w:p>
        </w:tc>
        <w:tc>
          <w:tcPr>
            <w:tcW w:type="dxa" w:w="1872"/>
            <w:shd w:val="clear" w:color="auto" w:fill="FFFFFF"/>
            <w:tcMar>
              <w:top w:w="60" w:type="dxa"/>
              <w:bottom w:w="60" w:type="dxa"/>
              <w:left w:w="80" w:type="dxa"/>
              <w:right w:w="80" w:type="dxa"/>
            </w:tcMar>
          </w:tcPr>
          <w:p>
            <w:r>
              <w:rPr>
                <w:sz w:val="17"/>
              </w:rPr>
              <w:t>Vital: Early Warning Systems require real-time low-latency telemetry</w:t>
            </w:r>
          </w:p>
        </w:tc>
      </w:tr>
    </w:tbl>
    <w:p>
      <w:pPr>
        <w:spacing w:after="160"/>
      </w:pPr>
    </w:p>
    <w:p>
      <w:pPr>
        <w:pStyle w:val="Heading2"/>
        <w:spacing w:before="280" w:after="120"/>
      </w:pPr>
      <w:r>
        <w:rPr>
          <w:rFonts w:ascii="Times New Roman" w:hAnsi="Times New Roman"/>
          <w:b/>
          <w:color w:val="1E293B"/>
          <w:sz w:val="25"/>
        </w:rPr>
        <w:t>3.8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8).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3.9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9).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2"/>
        <w:spacing w:before="280" w:after="120"/>
      </w:pPr>
      <w:r>
        <w:rPr>
          <w:rFonts w:ascii="Times New Roman" w:hAnsi="Times New Roman"/>
          <w:b/>
          <w:color w:val="1E293B"/>
          <w:sz w:val="25"/>
        </w:rPr>
        <w:t>3.10 Aspect-Based Sentiment Analysis Granularity: Category-Level (ACSA) vs. Token-Span Level (ATE)</w:t>
      </w:r>
    </w:p>
    <w:p>
      <w:pPr>
        <w:spacing w:after="120" w:line="276" w:lineRule="auto"/>
      </w:pPr>
      <w:r>
        <w:rPr>
          <w:sz w:val="22"/>
        </w:rPr>
        <w:t>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42.59% of citizen grievance posts constitute implicit aspect expressions (e.g., 'Menu mewah banget ya, pas dibuka cuma ada tempe seukuran perangko 🤡' evaluating nutritional adequacy without mentioning the noun 'gizi'). Restricting analysis to span-level ATE results in catastrophic false-negative truncation (~42.6% zero-span omission), discarding vital civic feedback.</w:t>
      </w:r>
    </w:p>
    <w:p>
      <w:pPr>
        <w:spacing w:after="120" w:line="276" w:lineRule="auto"/>
      </w:pPr>
      <w:r>
        <w:rPr>
          <w:sz w:val="22"/>
        </w:rPr>
        <w:t>Across all three core operational dimensions, Disgust maintained unbroken hegemony (&gt;70%), while Positive affect (Trust) remained confined to a marginal 6.12% aggregate share. Sentence-level ACSA preserves 100% of implicit and sarcastic civic resistance, providing an ecologically valid diagnostic of governance failure.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Aspect Dimension</w:t>
            </w:r>
          </w:p>
        </w:tc>
        <w:tc>
          <w:tcPr>
            <w:tcW w:type="dxa" w:w="936"/>
            <w:shd w:val="clear" w:color="auto" w:fill="0F172A"/>
            <w:tcMar>
              <w:top w:w="80" w:type="dxa"/>
              <w:bottom w:w="80" w:type="dxa"/>
              <w:left w:w="80" w:type="dxa"/>
              <w:right w:w="80" w:type="dxa"/>
            </w:tcMar>
          </w:tcPr>
          <w:p>
            <w:pPr>
              <w:jc w:val="center"/>
            </w:pPr>
            <w:r>
              <w:rPr>
                <w:b/>
                <w:color w:val="FFFFFF"/>
                <w:sz w:val="17"/>
              </w:rPr>
              <w:t>Policy Pillar</w:t>
            </w:r>
          </w:p>
        </w:tc>
        <w:tc>
          <w:tcPr>
            <w:tcW w:type="dxa" w:w="936"/>
            <w:shd w:val="clear" w:color="auto" w:fill="0F172A"/>
            <w:tcMar>
              <w:top w:w="80" w:type="dxa"/>
              <w:bottom w:w="80" w:type="dxa"/>
              <w:left w:w="80" w:type="dxa"/>
              <w:right w:w="80" w:type="dxa"/>
            </w:tcMar>
          </w:tcPr>
          <w:p>
            <w:pPr>
              <w:jc w:val="center"/>
            </w:pPr>
            <w:r>
              <w:rPr>
                <w:b/>
                <w:color w:val="FFFFFF"/>
                <w:sz w:val="17"/>
              </w:rPr>
              <w:t>ACSA Mentions</w:t>
            </w:r>
          </w:p>
        </w:tc>
        <w:tc>
          <w:tcPr>
            <w:tcW w:type="dxa" w:w="936"/>
            <w:shd w:val="clear" w:color="auto" w:fill="0F172A"/>
            <w:tcMar>
              <w:top w:w="80" w:type="dxa"/>
              <w:bottom w:w="80" w:type="dxa"/>
              <w:left w:w="80" w:type="dxa"/>
              <w:right w:w="80" w:type="dxa"/>
            </w:tcMar>
          </w:tcPr>
          <w:p>
            <w:pPr>
              <w:jc w:val="center"/>
            </w:pPr>
            <w:r>
              <w:rPr>
                <w:b/>
                <w:color w:val="FFFFFF"/>
                <w:sz w:val="17"/>
              </w:rPr>
              <w:t>Disgust (%)</w:t>
            </w:r>
          </w:p>
        </w:tc>
        <w:tc>
          <w:tcPr>
            <w:tcW w:type="dxa" w:w="936"/>
            <w:shd w:val="clear" w:color="auto" w:fill="0F172A"/>
            <w:tcMar>
              <w:top w:w="80" w:type="dxa"/>
              <w:bottom w:w="80" w:type="dxa"/>
              <w:left w:w="80" w:type="dxa"/>
              <w:right w:w="80" w:type="dxa"/>
            </w:tcMar>
          </w:tcPr>
          <w:p>
            <w:pPr>
              <w:jc w:val="center"/>
            </w:pPr>
            <w:r>
              <w:rPr>
                <w:b/>
                <w:color w:val="FFFFFF"/>
                <w:sz w:val="17"/>
              </w:rPr>
              <w:t>Trust (%)</w:t>
            </w:r>
          </w:p>
        </w:tc>
        <w:tc>
          <w:tcPr>
            <w:tcW w:type="dxa" w:w="936"/>
            <w:shd w:val="clear" w:color="auto" w:fill="0F172A"/>
            <w:tcMar>
              <w:top w:w="80" w:type="dxa"/>
              <w:bottom w:w="80" w:type="dxa"/>
              <w:left w:w="80" w:type="dxa"/>
              <w:right w:w="80" w:type="dxa"/>
            </w:tcMar>
          </w:tcPr>
          <w:p>
            <w:pPr>
              <w:jc w:val="center"/>
            </w:pPr>
            <w:r>
              <w:rPr>
                <w:b/>
                <w:color w:val="FFFFFF"/>
                <w:sz w:val="17"/>
              </w:rPr>
              <w:t>ATE Precision</w:t>
            </w:r>
          </w:p>
        </w:tc>
        <w:tc>
          <w:tcPr>
            <w:tcW w:type="dxa" w:w="936"/>
            <w:shd w:val="clear" w:color="auto" w:fill="0F172A"/>
            <w:tcMar>
              <w:top w:w="80" w:type="dxa"/>
              <w:bottom w:w="80" w:type="dxa"/>
              <w:left w:w="80" w:type="dxa"/>
              <w:right w:w="80" w:type="dxa"/>
            </w:tcMar>
          </w:tcPr>
          <w:p>
            <w:pPr>
              <w:jc w:val="center"/>
            </w:pPr>
            <w:r>
              <w:rPr>
                <w:b/>
                <w:color w:val="FFFFFF"/>
                <w:sz w:val="17"/>
              </w:rPr>
              <w:t>ATE Recall</w:t>
            </w:r>
          </w:p>
        </w:tc>
        <w:tc>
          <w:tcPr>
            <w:tcW w:type="dxa" w:w="936"/>
            <w:shd w:val="clear" w:color="auto" w:fill="0F172A"/>
            <w:tcMar>
              <w:top w:w="80" w:type="dxa"/>
              <w:bottom w:w="80" w:type="dxa"/>
              <w:left w:w="80" w:type="dxa"/>
              <w:right w:w="80" w:type="dxa"/>
            </w:tcMar>
          </w:tcPr>
          <w:p>
            <w:pPr>
              <w:jc w:val="center"/>
            </w:pPr>
            <w:r>
              <w:rPr>
                <w:b/>
                <w:color w:val="FFFFFF"/>
                <w:sz w:val="17"/>
              </w:rPr>
              <w:t>ATE F1</w:t>
            </w:r>
          </w:p>
        </w:tc>
        <w:tc>
          <w:tcPr>
            <w:tcW w:type="dxa" w:w="936"/>
            <w:shd w:val="clear" w:color="auto" w:fill="0F172A"/>
            <w:tcMar>
              <w:top w:w="80" w:type="dxa"/>
              <w:bottom w:w="80" w:type="dxa"/>
              <w:left w:w="80" w:type="dxa"/>
              <w:right w:w="80" w:type="dxa"/>
            </w:tcMar>
          </w:tcPr>
          <w:p>
            <w:pPr>
              <w:jc w:val="center"/>
            </w:pPr>
            <w:r>
              <w:rPr>
                <w:b/>
                <w:color w:val="FFFFFF"/>
                <w:sz w:val="17"/>
              </w:rPr>
              <w:t>Explicit Spans (%)</w:t>
            </w:r>
          </w:p>
        </w:tc>
        <w:tc>
          <w:tcPr>
            <w:tcW w:type="dxa" w:w="936"/>
            <w:shd w:val="clear" w:color="auto" w:fill="0F172A"/>
            <w:tcMar>
              <w:top w:w="80" w:type="dxa"/>
              <w:bottom w:w="80" w:type="dxa"/>
              <w:left w:w="80" w:type="dxa"/>
              <w:right w:w="80" w:type="dxa"/>
            </w:tcMar>
          </w:tcPr>
          <w:p>
            <w:pPr>
              <w:jc w:val="center"/>
            </w:pPr>
            <w:r>
              <w:rPr>
                <w:b/>
                <w:color w:val="FFFFFF"/>
                <w:sz w:val="17"/>
              </w:rPr>
              <w:t>Implicit Expressions (%)</w:t>
            </w:r>
          </w:p>
        </w:tc>
      </w:tr>
      <w:tr>
        <w:tc>
          <w:tcPr>
            <w:tcW w:type="dxa" w:w="936"/>
            <w:shd w:val="clear" w:color="auto" w:fill="F8FAFC"/>
            <w:tcMar>
              <w:top w:w="60" w:type="dxa"/>
              <w:bottom w:w="60" w:type="dxa"/>
              <w:left w:w="60" w:type="dxa"/>
              <w:right w:w="60" w:type="dxa"/>
            </w:tcMar>
          </w:tcPr>
          <w:p>
            <w:pPr>
              <w:jc w:val="center"/>
            </w:pPr>
            <w:r>
              <w:rPr>
                <w:b/>
                <w:sz w:val="16"/>
              </w:rPr>
              <w:t>A1</w:t>
            </w:r>
          </w:p>
        </w:tc>
        <w:tc>
          <w:tcPr>
            <w:tcW w:type="dxa" w:w="936"/>
            <w:shd w:val="clear" w:color="auto" w:fill="F8FAFC"/>
            <w:tcMar>
              <w:top w:w="60" w:type="dxa"/>
              <w:bottom w:w="60" w:type="dxa"/>
              <w:left w:w="60" w:type="dxa"/>
              <w:right w:w="60" w:type="dxa"/>
            </w:tcMar>
          </w:tcPr>
          <w:p>
            <w:pPr>
              <w:jc w:val="center"/>
            </w:pPr>
            <w:r>
              <w:rPr>
                <w:b/>
                <w:sz w:val="16"/>
              </w:rPr>
              <w:t>Budget &amp; Procurement</w:t>
            </w:r>
          </w:p>
        </w:tc>
        <w:tc>
          <w:tcPr>
            <w:tcW w:type="dxa" w:w="936"/>
            <w:shd w:val="clear" w:color="auto" w:fill="F8FAFC"/>
            <w:tcMar>
              <w:top w:w="60" w:type="dxa"/>
              <w:bottom w:w="60" w:type="dxa"/>
              <w:left w:w="60" w:type="dxa"/>
              <w:right w:w="60" w:type="dxa"/>
            </w:tcMar>
          </w:tcPr>
          <w:p>
            <w:pPr>
              <w:jc w:val="center"/>
            </w:pPr>
            <w:r>
              <w:rPr>
                <w:sz w:val="16"/>
              </w:rPr>
              <w:t>535 (23.44%)</w:t>
            </w:r>
          </w:p>
        </w:tc>
        <w:tc>
          <w:tcPr>
            <w:tcW w:type="dxa" w:w="936"/>
            <w:shd w:val="clear" w:color="auto" w:fill="F8FAFC"/>
            <w:tcMar>
              <w:top w:w="60" w:type="dxa"/>
              <w:bottom w:w="60" w:type="dxa"/>
              <w:left w:w="60" w:type="dxa"/>
              <w:right w:w="60" w:type="dxa"/>
            </w:tcMar>
          </w:tcPr>
          <w:p>
            <w:pPr>
              <w:jc w:val="center"/>
            </w:pPr>
            <w:r>
              <w:rPr>
                <w:sz w:val="16"/>
              </w:rPr>
              <w:t>77.01%</w:t>
            </w:r>
          </w:p>
        </w:tc>
        <w:tc>
          <w:tcPr>
            <w:tcW w:type="dxa" w:w="936"/>
            <w:shd w:val="clear" w:color="auto" w:fill="F8FAFC"/>
            <w:tcMar>
              <w:top w:w="60" w:type="dxa"/>
              <w:bottom w:w="60" w:type="dxa"/>
              <w:left w:w="60" w:type="dxa"/>
              <w:right w:w="60" w:type="dxa"/>
            </w:tcMar>
          </w:tcPr>
          <w:p>
            <w:pPr>
              <w:jc w:val="center"/>
            </w:pPr>
            <w:r>
              <w:rPr>
                <w:sz w:val="16"/>
              </w:rPr>
              <w:t>4.30%</w:t>
            </w:r>
          </w:p>
        </w:tc>
        <w:tc>
          <w:tcPr>
            <w:tcW w:type="dxa" w:w="936"/>
            <w:shd w:val="clear" w:color="auto" w:fill="F8FAFC"/>
            <w:tcMar>
              <w:top w:w="60" w:type="dxa"/>
              <w:bottom w:w="60" w:type="dxa"/>
              <w:left w:w="60" w:type="dxa"/>
              <w:right w:w="60" w:type="dxa"/>
            </w:tcMar>
          </w:tcPr>
          <w:p>
            <w:pPr>
              <w:jc w:val="center"/>
            </w:pPr>
            <w:r>
              <w:rPr>
                <w:sz w:val="16"/>
              </w:rPr>
              <w:t>0.884</w:t>
            </w:r>
          </w:p>
        </w:tc>
        <w:tc>
          <w:tcPr>
            <w:tcW w:type="dxa" w:w="936"/>
            <w:shd w:val="clear" w:color="auto" w:fill="F8FAFC"/>
            <w:tcMar>
              <w:top w:w="60" w:type="dxa"/>
              <w:bottom w:w="60" w:type="dxa"/>
              <w:left w:w="60" w:type="dxa"/>
              <w:right w:w="60" w:type="dxa"/>
            </w:tcMar>
          </w:tcPr>
          <w:p>
            <w:pPr>
              <w:jc w:val="center"/>
            </w:pPr>
            <w:r>
              <w:rPr>
                <w:sz w:val="16"/>
              </w:rPr>
              <w:t>0.842</w:t>
            </w:r>
          </w:p>
        </w:tc>
        <w:tc>
          <w:tcPr>
            <w:tcW w:type="dxa" w:w="936"/>
            <w:shd w:val="clear" w:color="auto" w:fill="F8FAFC"/>
            <w:tcMar>
              <w:top w:w="60" w:type="dxa"/>
              <w:bottom w:w="60" w:type="dxa"/>
              <w:left w:w="60" w:type="dxa"/>
              <w:right w:w="60" w:type="dxa"/>
            </w:tcMar>
          </w:tcPr>
          <w:p>
            <w:pPr>
              <w:jc w:val="center"/>
            </w:pPr>
            <w:r>
              <w:rPr>
                <w:sz w:val="16"/>
              </w:rPr>
              <w:t>0.862</w:t>
            </w:r>
          </w:p>
        </w:tc>
        <w:tc>
          <w:tcPr>
            <w:tcW w:type="dxa" w:w="936"/>
            <w:shd w:val="clear" w:color="auto" w:fill="F8FAFC"/>
            <w:tcMar>
              <w:top w:w="60" w:type="dxa"/>
              <w:bottom w:w="60" w:type="dxa"/>
              <w:left w:w="60" w:type="dxa"/>
              <w:right w:w="60" w:type="dxa"/>
            </w:tcMar>
          </w:tcPr>
          <w:p>
            <w:pPr>
              <w:jc w:val="center"/>
            </w:pPr>
            <w:r>
              <w:rPr>
                <w:sz w:val="16"/>
              </w:rPr>
              <w:t>61.20%</w:t>
            </w:r>
          </w:p>
        </w:tc>
        <w:tc>
          <w:tcPr>
            <w:tcW w:type="dxa" w:w="936"/>
            <w:shd w:val="clear" w:color="auto" w:fill="F8FAFC"/>
            <w:tcMar>
              <w:top w:w="60" w:type="dxa"/>
              <w:bottom w:w="60" w:type="dxa"/>
              <w:left w:w="60" w:type="dxa"/>
              <w:right w:w="60" w:type="dxa"/>
            </w:tcMar>
          </w:tcPr>
          <w:p>
            <w:pPr>
              <w:jc w:val="center"/>
            </w:pPr>
            <w:r>
              <w:rPr>
                <w:sz w:val="16"/>
              </w:rPr>
              <w:t>38.80%</w:t>
            </w:r>
          </w:p>
        </w:tc>
      </w:tr>
      <w:tr>
        <w:tc>
          <w:tcPr>
            <w:tcW w:type="dxa" w:w="936"/>
            <w:shd w:val="clear" w:color="auto" w:fill="FFFFFF"/>
            <w:tcMar>
              <w:top w:w="60" w:type="dxa"/>
              <w:bottom w:w="60" w:type="dxa"/>
              <w:left w:w="60" w:type="dxa"/>
              <w:right w:w="60" w:type="dxa"/>
            </w:tcMar>
          </w:tcPr>
          <w:p>
            <w:pPr>
              <w:jc w:val="center"/>
            </w:pPr>
            <w:r>
              <w:rPr>
                <w:b/>
                <w:sz w:val="16"/>
              </w:rPr>
              <w:t>A2</w:t>
            </w:r>
          </w:p>
        </w:tc>
        <w:tc>
          <w:tcPr>
            <w:tcW w:type="dxa" w:w="936"/>
            <w:shd w:val="clear" w:color="auto" w:fill="FFFFFF"/>
            <w:tcMar>
              <w:top w:w="60" w:type="dxa"/>
              <w:bottom w:w="60" w:type="dxa"/>
              <w:left w:w="60" w:type="dxa"/>
              <w:right w:w="60" w:type="dxa"/>
            </w:tcMar>
          </w:tcPr>
          <w:p>
            <w:pPr>
              <w:jc w:val="center"/>
            </w:pPr>
            <w:r>
              <w:rPr>
                <w:b/>
                <w:sz w:val="16"/>
              </w:rPr>
              <w:t>Logistics &amp; Distribution</w:t>
            </w:r>
          </w:p>
        </w:tc>
        <w:tc>
          <w:tcPr>
            <w:tcW w:type="dxa" w:w="936"/>
            <w:shd w:val="clear" w:color="auto" w:fill="FFFFFF"/>
            <w:tcMar>
              <w:top w:w="60" w:type="dxa"/>
              <w:bottom w:w="60" w:type="dxa"/>
              <w:left w:w="60" w:type="dxa"/>
              <w:right w:w="60" w:type="dxa"/>
            </w:tcMar>
          </w:tcPr>
          <w:p>
            <w:pPr>
              <w:jc w:val="center"/>
            </w:pPr>
            <w:r>
              <w:rPr>
                <w:sz w:val="16"/>
              </w:rPr>
              <w:t>403 (17.66%)</w:t>
            </w:r>
          </w:p>
        </w:tc>
        <w:tc>
          <w:tcPr>
            <w:tcW w:type="dxa" w:w="936"/>
            <w:shd w:val="clear" w:color="auto" w:fill="FFFFFF"/>
            <w:tcMar>
              <w:top w:w="60" w:type="dxa"/>
              <w:bottom w:w="60" w:type="dxa"/>
              <w:left w:w="60" w:type="dxa"/>
              <w:right w:w="60" w:type="dxa"/>
            </w:tcMar>
          </w:tcPr>
          <w:p>
            <w:pPr>
              <w:jc w:val="center"/>
            </w:pPr>
            <w:r>
              <w:rPr>
                <w:sz w:val="16"/>
              </w:rPr>
              <w:t>78.91%</w:t>
            </w:r>
          </w:p>
        </w:tc>
        <w:tc>
          <w:tcPr>
            <w:tcW w:type="dxa" w:w="936"/>
            <w:shd w:val="clear" w:color="auto" w:fill="FFFFFF"/>
            <w:tcMar>
              <w:top w:w="60" w:type="dxa"/>
              <w:bottom w:w="60" w:type="dxa"/>
              <w:left w:w="60" w:type="dxa"/>
              <w:right w:w="60" w:type="dxa"/>
            </w:tcMar>
          </w:tcPr>
          <w:p>
            <w:pPr>
              <w:jc w:val="center"/>
            </w:pPr>
            <w:r>
              <w:rPr>
                <w:sz w:val="16"/>
              </w:rPr>
              <w:t>5.21%</w:t>
            </w:r>
          </w:p>
        </w:tc>
        <w:tc>
          <w:tcPr>
            <w:tcW w:type="dxa" w:w="936"/>
            <w:shd w:val="clear" w:color="auto" w:fill="FFFFFF"/>
            <w:tcMar>
              <w:top w:w="60" w:type="dxa"/>
              <w:bottom w:w="60" w:type="dxa"/>
              <w:left w:w="60" w:type="dxa"/>
              <w:right w:w="60" w:type="dxa"/>
            </w:tcMar>
          </w:tcPr>
          <w:p>
            <w:pPr>
              <w:jc w:val="center"/>
            </w:pPr>
            <w:r>
              <w:rPr>
                <w:sz w:val="16"/>
              </w:rPr>
              <w:t>0.862</w:t>
            </w:r>
          </w:p>
        </w:tc>
        <w:tc>
          <w:tcPr>
            <w:tcW w:type="dxa" w:w="936"/>
            <w:shd w:val="clear" w:color="auto" w:fill="FFFFFF"/>
            <w:tcMar>
              <w:top w:w="60" w:type="dxa"/>
              <w:bottom w:w="60" w:type="dxa"/>
              <w:left w:w="60" w:type="dxa"/>
              <w:right w:w="60" w:type="dxa"/>
            </w:tcMar>
          </w:tcPr>
          <w:p>
            <w:pPr>
              <w:jc w:val="center"/>
            </w:pPr>
            <w:r>
              <w:rPr>
                <w:sz w:val="16"/>
              </w:rPr>
              <w:t>0.819</w:t>
            </w:r>
          </w:p>
        </w:tc>
        <w:tc>
          <w:tcPr>
            <w:tcW w:type="dxa" w:w="936"/>
            <w:shd w:val="clear" w:color="auto" w:fill="FFFFFF"/>
            <w:tcMar>
              <w:top w:w="60" w:type="dxa"/>
              <w:bottom w:w="60" w:type="dxa"/>
              <w:left w:w="60" w:type="dxa"/>
              <w:right w:w="60" w:type="dxa"/>
            </w:tcMar>
          </w:tcPr>
          <w:p>
            <w:pPr>
              <w:jc w:val="center"/>
            </w:pPr>
            <w:r>
              <w:rPr>
                <w:sz w:val="16"/>
              </w:rPr>
              <w:t>0.840</w:t>
            </w:r>
          </w:p>
        </w:tc>
        <w:tc>
          <w:tcPr>
            <w:tcW w:type="dxa" w:w="936"/>
            <w:shd w:val="clear" w:color="auto" w:fill="FFFFFF"/>
            <w:tcMar>
              <w:top w:w="60" w:type="dxa"/>
              <w:bottom w:w="60" w:type="dxa"/>
              <w:left w:w="60" w:type="dxa"/>
              <w:right w:w="60" w:type="dxa"/>
            </w:tcMar>
          </w:tcPr>
          <w:p>
            <w:pPr>
              <w:jc w:val="center"/>
            </w:pPr>
            <w:r>
              <w:rPr>
                <w:sz w:val="16"/>
              </w:rPr>
              <w:t>58.70%</w:t>
            </w:r>
          </w:p>
        </w:tc>
        <w:tc>
          <w:tcPr>
            <w:tcW w:type="dxa" w:w="936"/>
            <w:shd w:val="clear" w:color="auto" w:fill="FFFFFF"/>
            <w:tcMar>
              <w:top w:w="60" w:type="dxa"/>
              <w:bottom w:w="60" w:type="dxa"/>
              <w:left w:w="60" w:type="dxa"/>
              <w:right w:w="60" w:type="dxa"/>
            </w:tcMar>
          </w:tcPr>
          <w:p>
            <w:pPr>
              <w:jc w:val="center"/>
            </w:pPr>
            <w:r>
              <w:rPr>
                <w:sz w:val="16"/>
              </w:rPr>
              <w:t>41.30%</w:t>
            </w:r>
          </w:p>
        </w:tc>
      </w:tr>
      <w:tr>
        <w:tc>
          <w:tcPr>
            <w:tcW w:type="dxa" w:w="936"/>
            <w:shd w:val="clear" w:color="auto" w:fill="F8FAFC"/>
            <w:tcMar>
              <w:top w:w="60" w:type="dxa"/>
              <w:bottom w:w="60" w:type="dxa"/>
              <w:left w:w="60" w:type="dxa"/>
              <w:right w:w="60" w:type="dxa"/>
            </w:tcMar>
          </w:tcPr>
          <w:p>
            <w:pPr>
              <w:jc w:val="center"/>
            </w:pPr>
            <w:r>
              <w:rPr>
                <w:b/>
                <w:sz w:val="16"/>
              </w:rPr>
              <w:t>A3</w:t>
            </w:r>
          </w:p>
        </w:tc>
        <w:tc>
          <w:tcPr>
            <w:tcW w:type="dxa" w:w="936"/>
            <w:shd w:val="clear" w:color="auto" w:fill="F8FAFC"/>
            <w:tcMar>
              <w:top w:w="60" w:type="dxa"/>
              <w:bottom w:w="60" w:type="dxa"/>
              <w:left w:w="60" w:type="dxa"/>
              <w:right w:w="60" w:type="dxa"/>
            </w:tcMar>
          </w:tcPr>
          <w:p>
            <w:pPr>
              <w:jc w:val="center"/>
            </w:pPr>
            <w:r>
              <w:rPr>
                <w:b/>
                <w:sz w:val="16"/>
              </w:rPr>
              <w:t>Nutritional Quality &amp; Hygiene</w:t>
            </w:r>
          </w:p>
        </w:tc>
        <w:tc>
          <w:tcPr>
            <w:tcW w:type="dxa" w:w="936"/>
            <w:shd w:val="clear" w:color="auto" w:fill="F8FAFC"/>
            <w:tcMar>
              <w:top w:w="60" w:type="dxa"/>
              <w:bottom w:w="60" w:type="dxa"/>
              <w:left w:w="60" w:type="dxa"/>
              <w:right w:w="60" w:type="dxa"/>
            </w:tcMar>
          </w:tcPr>
          <w:p>
            <w:pPr>
              <w:jc w:val="center"/>
            </w:pPr>
            <w:r>
              <w:rPr>
                <w:sz w:val="16"/>
              </w:rPr>
              <w:t>1,344 (58.90%)</w:t>
            </w:r>
          </w:p>
        </w:tc>
        <w:tc>
          <w:tcPr>
            <w:tcW w:type="dxa" w:w="936"/>
            <w:shd w:val="clear" w:color="auto" w:fill="F8FAFC"/>
            <w:tcMar>
              <w:top w:w="60" w:type="dxa"/>
              <w:bottom w:w="60" w:type="dxa"/>
              <w:left w:w="60" w:type="dxa"/>
              <w:right w:w="60" w:type="dxa"/>
            </w:tcMar>
          </w:tcPr>
          <w:p>
            <w:pPr>
              <w:jc w:val="center"/>
            </w:pPr>
            <w:r>
              <w:rPr>
                <w:sz w:val="16"/>
              </w:rPr>
              <w:t>71.13%</w:t>
            </w:r>
          </w:p>
        </w:tc>
        <w:tc>
          <w:tcPr>
            <w:tcW w:type="dxa" w:w="936"/>
            <w:shd w:val="clear" w:color="auto" w:fill="F8FAFC"/>
            <w:tcMar>
              <w:top w:w="60" w:type="dxa"/>
              <w:bottom w:w="60" w:type="dxa"/>
              <w:left w:w="60" w:type="dxa"/>
              <w:right w:w="60" w:type="dxa"/>
            </w:tcMar>
          </w:tcPr>
          <w:p>
            <w:pPr>
              <w:jc w:val="center"/>
            </w:pPr>
            <w:r>
              <w:rPr>
                <w:sz w:val="16"/>
              </w:rPr>
              <w:t>8.85%</w:t>
            </w:r>
          </w:p>
        </w:tc>
        <w:tc>
          <w:tcPr>
            <w:tcW w:type="dxa" w:w="936"/>
            <w:shd w:val="clear" w:color="auto" w:fill="F8FAFC"/>
            <w:tcMar>
              <w:top w:w="60" w:type="dxa"/>
              <w:bottom w:w="60" w:type="dxa"/>
              <w:left w:w="60" w:type="dxa"/>
              <w:right w:w="60" w:type="dxa"/>
            </w:tcMar>
          </w:tcPr>
          <w:p>
            <w:pPr>
              <w:jc w:val="center"/>
            </w:pPr>
            <w:r>
              <w:rPr>
                <w:sz w:val="16"/>
              </w:rPr>
              <w:t>0.915</w:t>
            </w:r>
          </w:p>
        </w:tc>
        <w:tc>
          <w:tcPr>
            <w:tcW w:type="dxa" w:w="936"/>
            <w:shd w:val="clear" w:color="auto" w:fill="F8FAFC"/>
            <w:tcMar>
              <w:top w:w="60" w:type="dxa"/>
              <w:bottom w:w="60" w:type="dxa"/>
              <w:left w:w="60" w:type="dxa"/>
              <w:right w:w="60" w:type="dxa"/>
            </w:tcMar>
          </w:tcPr>
          <w:p>
            <w:pPr>
              <w:jc w:val="center"/>
            </w:pPr>
            <w:r>
              <w:rPr>
                <w:sz w:val="16"/>
              </w:rPr>
              <w:t>0.887</w:t>
            </w:r>
          </w:p>
        </w:tc>
        <w:tc>
          <w:tcPr>
            <w:tcW w:type="dxa" w:w="936"/>
            <w:shd w:val="clear" w:color="auto" w:fill="F8FAFC"/>
            <w:tcMar>
              <w:top w:w="60" w:type="dxa"/>
              <w:bottom w:w="60" w:type="dxa"/>
              <w:left w:w="60" w:type="dxa"/>
              <w:right w:w="60" w:type="dxa"/>
            </w:tcMar>
          </w:tcPr>
          <w:p>
            <w:pPr>
              <w:jc w:val="center"/>
            </w:pPr>
            <w:r>
              <w:rPr>
                <w:sz w:val="16"/>
              </w:rPr>
              <w:t>0.901</w:t>
            </w:r>
          </w:p>
        </w:tc>
        <w:tc>
          <w:tcPr>
            <w:tcW w:type="dxa" w:w="936"/>
            <w:shd w:val="clear" w:color="auto" w:fill="F8FAFC"/>
            <w:tcMar>
              <w:top w:w="60" w:type="dxa"/>
              <w:bottom w:w="60" w:type="dxa"/>
              <w:left w:w="60" w:type="dxa"/>
              <w:right w:w="60" w:type="dxa"/>
            </w:tcMar>
          </w:tcPr>
          <w:p>
            <w:pPr>
              <w:jc w:val="center"/>
            </w:pPr>
            <w:r>
              <w:rPr>
                <w:sz w:val="16"/>
              </w:rPr>
              <w:t>55.40%</w:t>
            </w:r>
          </w:p>
        </w:tc>
        <w:tc>
          <w:tcPr>
            <w:tcW w:type="dxa" w:w="936"/>
            <w:shd w:val="clear" w:color="auto" w:fill="F8FAFC"/>
            <w:tcMar>
              <w:top w:w="60" w:type="dxa"/>
              <w:bottom w:w="60" w:type="dxa"/>
              <w:left w:w="60" w:type="dxa"/>
              <w:right w:w="60" w:type="dxa"/>
            </w:tcMar>
          </w:tcPr>
          <w:p>
            <w:pPr>
              <w:jc w:val="center"/>
            </w:pPr>
            <w:r>
              <w:rPr>
                <w:sz w:val="16"/>
              </w:rPr>
              <w:t>44.60%</w:t>
            </w:r>
          </w:p>
        </w:tc>
      </w:tr>
      <w:tr>
        <w:tc>
          <w:tcPr>
            <w:tcW w:type="dxa" w:w="936"/>
            <w:shd w:val="clear" w:color="auto" w:fill="FFFFFF"/>
            <w:tcMar>
              <w:top w:w="60" w:type="dxa"/>
              <w:bottom w:w="60" w:type="dxa"/>
              <w:left w:w="60" w:type="dxa"/>
              <w:right w:w="60" w:type="dxa"/>
            </w:tcMar>
          </w:tcPr>
          <w:p>
            <w:pPr>
              <w:jc w:val="center"/>
            </w:pPr>
            <w:r>
              <w:rPr>
                <w:b/>
                <w:sz w:val="16"/>
              </w:rPr>
              <w:t>ALL</w:t>
            </w:r>
          </w:p>
        </w:tc>
        <w:tc>
          <w:tcPr>
            <w:tcW w:type="dxa" w:w="936"/>
            <w:shd w:val="clear" w:color="auto" w:fill="FFFFFF"/>
            <w:tcMar>
              <w:top w:w="60" w:type="dxa"/>
              <w:bottom w:w="60" w:type="dxa"/>
              <w:left w:w="60" w:type="dxa"/>
              <w:right w:w="60" w:type="dxa"/>
            </w:tcMar>
          </w:tcPr>
          <w:p>
            <w:pPr>
              <w:jc w:val="center"/>
            </w:pPr>
            <w:r>
              <w:rPr>
                <w:b/>
                <w:sz w:val="16"/>
              </w:rPr>
              <w:t>Macro-Policy Aggregation</w:t>
            </w:r>
          </w:p>
        </w:tc>
        <w:tc>
          <w:tcPr>
            <w:tcW w:type="dxa" w:w="936"/>
            <w:shd w:val="clear" w:color="auto" w:fill="FFFFFF"/>
            <w:tcMar>
              <w:top w:w="60" w:type="dxa"/>
              <w:bottom w:w="60" w:type="dxa"/>
              <w:left w:w="60" w:type="dxa"/>
              <w:right w:w="60" w:type="dxa"/>
            </w:tcMar>
          </w:tcPr>
          <w:p>
            <w:pPr>
              <w:jc w:val="center"/>
            </w:pPr>
            <w:r>
              <w:rPr>
                <w:sz w:val="16"/>
              </w:rPr>
              <w:t>2,282 (100.0%)</w:t>
            </w:r>
          </w:p>
        </w:tc>
        <w:tc>
          <w:tcPr>
            <w:tcW w:type="dxa" w:w="936"/>
            <w:shd w:val="clear" w:color="auto" w:fill="FFFFFF"/>
            <w:tcMar>
              <w:top w:w="60" w:type="dxa"/>
              <w:bottom w:w="60" w:type="dxa"/>
              <w:left w:w="60" w:type="dxa"/>
              <w:right w:w="60" w:type="dxa"/>
            </w:tcMar>
          </w:tcPr>
          <w:p>
            <w:pPr>
              <w:jc w:val="center"/>
            </w:pPr>
            <w:r>
              <w:rPr>
                <w:sz w:val="16"/>
              </w:rPr>
              <w:t>75.68%</w:t>
            </w:r>
          </w:p>
        </w:tc>
        <w:tc>
          <w:tcPr>
            <w:tcW w:type="dxa" w:w="936"/>
            <w:shd w:val="clear" w:color="auto" w:fill="FFFFFF"/>
            <w:tcMar>
              <w:top w:w="60" w:type="dxa"/>
              <w:bottom w:w="60" w:type="dxa"/>
              <w:left w:w="60" w:type="dxa"/>
              <w:right w:w="60" w:type="dxa"/>
            </w:tcMar>
          </w:tcPr>
          <w:p>
            <w:pPr>
              <w:jc w:val="center"/>
            </w:pPr>
            <w:r>
              <w:rPr>
                <w:sz w:val="16"/>
              </w:rPr>
              <w:t>6.12%</w:t>
            </w:r>
          </w:p>
        </w:tc>
        <w:tc>
          <w:tcPr>
            <w:tcW w:type="dxa" w:w="936"/>
            <w:shd w:val="clear" w:color="auto" w:fill="FFFFFF"/>
            <w:tcMar>
              <w:top w:w="60" w:type="dxa"/>
              <w:bottom w:w="60" w:type="dxa"/>
              <w:left w:w="60" w:type="dxa"/>
              <w:right w:w="60" w:type="dxa"/>
            </w:tcMar>
          </w:tcPr>
          <w:p>
            <w:pPr>
              <w:jc w:val="center"/>
            </w:pPr>
            <w:r>
              <w:rPr>
                <w:sz w:val="16"/>
              </w:rPr>
              <w:t>0.887</w:t>
            </w:r>
          </w:p>
        </w:tc>
        <w:tc>
          <w:tcPr>
            <w:tcW w:type="dxa" w:w="936"/>
            <w:shd w:val="clear" w:color="auto" w:fill="FFFFFF"/>
            <w:tcMar>
              <w:top w:w="60" w:type="dxa"/>
              <w:bottom w:w="60" w:type="dxa"/>
              <w:left w:w="60" w:type="dxa"/>
              <w:right w:w="60" w:type="dxa"/>
            </w:tcMar>
          </w:tcPr>
          <w:p>
            <w:pPr>
              <w:jc w:val="center"/>
            </w:pPr>
            <w:r>
              <w:rPr>
                <w:sz w:val="16"/>
              </w:rPr>
              <w:t>0.849</w:t>
            </w:r>
          </w:p>
        </w:tc>
        <w:tc>
          <w:tcPr>
            <w:tcW w:type="dxa" w:w="936"/>
            <w:shd w:val="clear" w:color="auto" w:fill="FFFFFF"/>
            <w:tcMar>
              <w:top w:w="60" w:type="dxa"/>
              <w:bottom w:w="60" w:type="dxa"/>
              <w:left w:w="60" w:type="dxa"/>
              <w:right w:w="60" w:type="dxa"/>
            </w:tcMar>
          </w:tcPr>
          <w:p>
            <w:pPr>
              <w:jc w:val="center"/>
            </w:pPr>
            <w:r>
              <w:rPr>
                <w:sz w:val="16"/>
              </w:rPr>
              <w:t>0.868</w:t>
            </w:r>
          </w:p>
        </w:tc>
        <w:tc>
          <w:tcPr>
            <w:tcW w:type="dxa" w:w="936"/>
            <w:shd w:val="clear" w:color="auto" w:fill="FFFFFF"/>
            <w:tcMar>
              <w:top w:w="60" w:type="dxa"/>
              <w:bottom w:w="60" w:type="dxa"/>
              <w:left w:w="60" w:type="dxa"/>
              <w:right w:w="60" w:type="dxa"/>
            </w:tcMar>
          </w:tcPr>
          <w:p>
            <w:pPr>
              <w:jc w:val="center"/>
            </w:pPr>
            <w:r>
              <w:rPr>
                <w:sz w:val="16"/>
              </w:rPr>
              <w:t>57.41%</w:t>
            </w:r>
          </w:p>
        </w:tc>
        <w:tc>
          <w:tcPr>
            <w:tcW w:type="dxa" w:w="936"/>
            <w:shd w:val="clear" w:color="auto" w:fill="FFFFFF"/>
            <w:tcMar>
              <w:top w:w="60" w:type="dxa"/>
              <w:bottom w:w="60" w:type="dxa"/>
              <w:left w:w="60" w:type="dxa"/>
              <w:right w:w="60" w:type="dxa"/>
            </w:tcMar>
          </w:tcPr>
          <w:p>
            <w:pPr>
              <w:jc w:val="center"/>
            </w:pPr>
            <w:r>
              <w:rPr>
                <w:sz w:val="16"/>
              </w:rPr>
              <w:t>42.59%</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p>
      <w:pPr>
        <w:spacing w:after="80"/>
      </w:pPr>
      <w:r>
        <w:rPr>
          <w:b/>
          <w:sz w:val="21"/>
        </w:rPr>
        <w:t xml:space="preserve">4. Silver-Standard Reference Labels &amp; Affective Sparsity: </w:t>
      </w:r>
      <w:r>
        <w:rPr>
          <w:sz w:val="21"/>
        </w:rPr>
        <w:t>Initial model fine-tuning and holdout validation relied on rule-assisted silver-standard reference annotations rather than extensive multi-coder gold standards. Severe affective skew led to F1 = 0.000 on minority classes Anger and Sadness, while Joy, Surprise, and Fear lacked test-set representation. Future research should deploy independent multi-coder panels to establish an adjudicated gold standard with targeted minority-class oversampling.</w:t>
      </w:r>
    </w:p>
    <w:p>
      <w:pPr>
        <w:pStyle w:val="Heading1"/>
        <w:spacing w:before="280" w:after="120"/>
      </w:pPr>
      <w:r>
        <w:rPr>
          <w:rFonts w:ascii="Times New Roman" w:hAnsi="Times New Roman"/>
          <w:b/>
          <w:color w:val="0F172A"/>
          <w:sz w:val="28"/>
        </w:rPr>
        <w:t>7. STATEMENTS, ETHICAL DISCLOSURES &amp; DATA AVAILABILITY</w:t>
      </w:r>
    </w:p>
    <w:p>
      <w:pPr>
        <w:spacing w:after="80"/>
      </w:pPr>
      <w:r>
        <w:rPr>
          <w:b/>
          <w:sz w:val="21"/>
        </w:rPr>
        <w:t xml:space="preserve">Data Availability (Zenodo Permanent DOI): </w:t>
      </w:r>
      <w:r>
        <w:rPr>
          <w:sz w:val="21"/>
        </w:rPr>
        <w:t>In strict adherence to International Communication Association (ICA) and Oxford University Press Open Science mandates and FAIR data principles, all research replication materials—including AoIR 3.0-pseudonymized directed network interaction edge lists (|V|=971, |E|=666), silver-standard reference annotations and held-out evaluation splits, spatial epidemiological benchmarks, ABSA matrices, and PyTorch inference pipelines—are permanently archived in the Zenodo open-access repository under Digital Object Identifier (DOI): 10.5281/zenodo.11029482 (https://doi.org/10.5281/zenodo.11029482). The active development repository remains mirrored at GitHub: https://github.com/indri007/ThisIsEconomy.</w:t>
      </w:r>
    </w:p>
    <w:p>
      <w:pPr>
        <w:spacing w:after="80"/>
      </w:pPr>
      <w:r>
        <w:rPr>
          <w:b/>
          <w:sz w:val="21"/>
        </w:rPr>
        <w:t xml:space="preserve">Ethical Compliance &amp; AoIR 3.0: </w:t>
      </w:r>
      <w:r>
        <w:rPr>
          <w:sz w:val="21"/>
        </w:rPr>
        <w:t>The research protocol complied strictly with the Association of Internet Researchers (AoIR 3.0) ethics guidelines. All citizen microblogging handles have been pseudonymized via SHA-256 HMAC cryptographic hashing to safeguard subject physical privacy under Indonesian jurisprudence (UU ITE).</w:t>
      </w:r>
    </w:p>
    <w:p>
      <w:pPr>
        <w:spacing w:after="80"/>
      </w:pPr>
      <w:r>
        <w:rPr>
          <w:b/>
          <w:sz w:val="21"/>
        </w:rPr>
        <w:t xml:space="preserve">Funding &amp; Conflicts of Interest: </w:t>
      </w:r>
      <w:r>
        <w:rPr>
          <w:sz w:val="21"/>
        </w:rPr>
        <w:t>The authors declare no external funding grants and zero competing financial or personal conflicts of interest.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