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2060"/>
          <w:sz w:val="32"/>
        </w:rPr>
        <w:t>Mapping the 'Phygital Gap' in Public Policy Crisis: A Tri-Layer Computational Communication Study of Indonesia's Free Nutritious Meal (MBG) Program on Platform X</w:t>
      </w:r>
    </w:p>
    <w:p>
      <w:pPr>
        <w:spacing w:line="276" w:lineRule="auto" w:after="120"/>
      </w:pPr>
      <w:r>
        <w:t>**Authors:** [Names and Affiliations Anonymized for Double-Blind Peer Review]</w:t>
      </w:r>
    </w:p>
    <w:p>
      <w:pPr>
        <w:spacing w:line="276" w:lineRule="auto" w:after="120"/>
      </w:pPr>
      <w:r>
        <w:t>**Target Publication:** *Social Network Analysis and Mining* (Springer Nature Switzerland, Scopus Q1, SJR 0.76)</w:t>
      </w:r>
    </w:p>
    <w:p>
      <w:pPr>
        <w:spacing w:line="276" w:lineRule="auto" w:after="120"/>
      </w:pPr>
      <w:r>
        <w:t>**Scopus ASJC Classification:** `3315` (Communication), `1702` (Artificial Intelligence), `3312` (Sociology and Political Science)</w:t>
      </w:r>
    </w:p>
    <w:p>
      <w:pPr>
        <w:spacing w:line="276" w:lineRule="auto" w:after="120"/>
      </w:pPr>
      <w:r>
        <w:t>---</w:t>
      </w:r>
    </w:p>
    <w:p>
      <w:pPr>
        <w:pStyle w:val="Heading2"/>
        <w:spacing w:before="200" w:after="80"/>
      </w:pPr>
      <w:r>
        <w:t>ABSTRACT</w:t>
      </w:r>
    </w:p>
    <w:p>
      <w:pPr>
        <w:spacing w:line="276" w:lineRule="auto" w:after="120"/>
      </w:pPr>
      <w:r>
        <w:t>Public policy communication in the algorithmic era faces severe scrutiny when polished digital narratives clash with ground-level physical execution failures. This research investigates the digital crisis surrounding Indonesia's flagship Free Nutritious Meal (*Makan Bergizi Gratis* / MBG) program on Platform X (formerly Twitter) through an integrated tri-layer computational communication science framework. Bridging Philip Kotler's Marketing 6.0 concept of the *Phygital Gap* with Coombs' Situational Crisis Communication Theory (SCCT), Clark &amp; Gerrig's *Pretense Theory* of irony, and Habermas' structural transformation of the digital public sphere, this study audits a verified inference corpus of $N = 5,263$ tweets and a dedicated sarcasm validation corpus of $N = 3,395$ tweets. Methodologically, the research executes: (1) a fine-tuned transformer language model (`indobenchmark/indobert-base-p2`) for granular 9-category emotion classification adapted from Plutchik's taxonomy; (2) rule-based algorithmic modeling of binary lexical contradictions and text-emoji semiotic incongruence to capture digital sarcasm; (3) directed Communication Network Analysis (CNA / SNA) via NetworkX and Louvain community detection to measure topological polarization and network modularity; and (4) thematic Aspect-Based Sentiment Analysis (ABSA) across three operational pillars (logistics, budgeting, and nutritional quality). Empirical results demonstrate that public affective response is overwhelmingly dominated by **Disgust (56.24%, 2,960 tweets)**, followed by **Trust (20.39%, 1,073 tweets)**, **Neutral (12.33%, 649 tweets)**, and **Anticipation (9.60%, 505 tweets)**, while Anger, Sadness, Joy, Surprise, and Fear collectively constitute less than 2%. Sarcasm detection validated 315 tweets (9.28%) characterized by sharp binary semantic oppositions pairing superficial praise with nauseated emojis (🤡, 🤮). Topological graph modeling ($|V| = 971$ nodes, $|E| = 666$ unique directed edges) revealed extreme network sparsity (density = 0.0011) and near-zero reciprocity (1.21%), demonstrating a catastrophic failure of deliberative dialogue. Community detection uncovered hyper-fragmentation with a modularity score of **$Q = 0.9837$ across 332 isolated clusters**, where the giant component encompassed only 9.17% of participating nodes. Structural centrality exposed a stark *Power Asymmetry*: while the designated institutional authority figure (@prabowo) exhibited high in-degree (15) but zero out-degree (0), representing an epistemic power vacuum, an artificial intelligence agent (@grok) emerged as the supreme *Algorithmic Oracle* commanding the highest out-degree (42). Finally, ABSA empirically substantiated the *Phygital Gap*, demonstrating that public disgust concentrated specifically on operational breakdowns in Logistics (78.91% Disgust), Budgeting (77.01% Disgust), and Nutrition (71.13% Disgust). This study provides a reproducible, open-science framework for computational public relations, proving that in hyper-fragmented digital arenas, algorithmic verifiers supplant silent institutions when public policy experiences physical-digital decoupling.</w:t>
      </w:r>
    </w:p>
    <w:p>
      <w:pPr>
        <w:spacing w:line="276" w:lineRule="auto" w:after="120"/>
      </w:pPr>
      <w:r>
        <w:t>**Keywords:** Phygital Gap, Marketing 6.0, Computational Communication Science, IndoBERT, Communication Network Analysis, Social Network Analysis, Sarcasm Detection, Algorithmic Oracle, Public Policy Crisis.</w:t>
      </w:r>
    </w:p>
    <w:p>
      <w:pPr>
        <w:spacing w:line="276" w:lineRule="auto" w:after="120"/>
      </w:pPr>
      <w:r>
        <w:t>**Scopus Subject Area:** Social Sciences (Communication) · Computer Science (Artificial Intelligence)</w:t>
      </w:r>
    </w:p>
    <w:p>
      <w:pPr>
        <w:spacing w:line="276" w:lineRule="auto" w:after="120"/>
      </w:pPr>
      <w:r>
        <w:t>---</w:t>
      </w:r>
    </w:p>
    <w:p>
      <w:pPr>
        <w:pStyle w:val="Heading1"/>
        <w:spacing w:before="240" w:after="120"/>
      </w:pPr>
      <w:r>
        <w:t>1. INTRODUCTION</w:t>
      </w:r>
    </w:p>
    <w:p>
      <w:pPr>
        <w:spacing w:line="276" w:lineRule="auto" w:after="120"/>
      </w:pPr>
      <w: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76" w:lineRule="auto" w:after="120"/>
      </w:pPr>
      <w:r>
        <w:t>A prime empirical manifestation of this dynamic occurred during the rollout of the Indonesian government's Free Nutritious Meal (*Makan Bergizi Gratis*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76" w:lineRule="auto" w:after="120"/>
      </w:pPr>
      <w:r>
        <w:t>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*'Menunya sangat mewah dan bergizi'*)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pStyle w:val="Heading2"/>
        <w:spacing w:before="200" w:after="80"/>
      </w:pPr>
      <w:r>
        <w:t>1.1 The Epistemological Problem and Scopus Q1 Research Gaps</w:t>
      </w:r>
    </w:p>
    <w:p>
      <w:pPr>
        <w:spacing w:line="276" w:lineRule="auto" w:after="120"/>
      </w:pPr>
      <w:r>
        <w:t>While digital policy evaluation has proliferated across computational social science, contemporary scholarship remains constrained by four fundamental theoretical, methodological, and empirical limitations:</w:t>
      </w:r>
    </w:p>
    <w:p>
      <w:pPr>
        <w:spacing w:line="276" w:lineRule="auto" w:after="120"/>
      </w:pPr>
      <w:r>
        <w:t>1. **The Theoretical Domain Gap (From Commercial Marketing to State Legitimacy Crisis):**</w:t>
      </w:r>
    </w:p>
    <w:p>
      <w:pPr>
        <w:spacing w:line="276" w:lineRule="auto" w:after="120"/>
      </w:pPr>
      <w:r>
        <w:t>The conceptualization of the *Phygital Gap* (Kotler, Kartajaya, &amp; Setiawan, 2023) originated strictly within commercial marketing and consumer experience management, explaining how broken omni-channel promises drive consumer brand-switching. However, political communication and public administration scholarship has overwhelmingly failed to translate this paradigm to state-sponsored welfare megaprojects. In public governance, broken sensory promises—such as state-disseminated digital utopias colliding with rancid physical meals—do not merely diminish brand loyalty; they inflict severe trauma on political trust (*political trust erosion*, Levi &amp; Stoker, 2000), paralyze institutional legitimacy, and dismantle the conditions for deliberative democratic consensus (Habermas, 1989, 2006; Coombs, 2007).</w:t>
      </w:r>
    </w:p>
    <w:p>
      <w:pPr>
        <w:spacing w:line="276" w:lineRule="auto" w:after="120"/>
      </w:pPr>
      <w:r>
        <w:t>2. **The Methodological Silo Gap (Tri-Layer Synthesis vs. Disconnected Strands):**</w:t>
      </w:r>
    </w:p>
    <w:p>
      <w:pPr>
        <w:spacing w:line="276" w:lineRule="auto" w:after="120"/>
      </w:pPr>
      <w:r>
        <w:t>Current computational scholarship remains deeply polarized into two disconnected silos: (a) natural language processing studies that treat digital texts as atomized, independent semantic units while completely ignoring structural power, social influence, and network topography (Chiorrini et al., 2021; Riza &amp; Charibaldi, 2021); and (b) social network analyses that map mathematical graph topographies while reducing human actors to 'emotionless nodes' devoid of semantic context (Suaib &amp; Pratiwi, 2025; Sulafasyah, 2026). A severe gap persists in developing an integrated tri-layer computational architecture capable of simultaneously answering: *What visceral affects animate public discourse? How do these affects distribute across operational policy pillars? And what topological structures govern their institutional diffusion?*</w:t>
      </w:r>
    </w:p>
    <w:p>
      <w:pPr>
        <w:spacing w:line="276" w:lineRule="auto" w:after="120"/>
      </w:pPr>
      <w:r>
        <w:t>3. **The Pragmatic Subversion Gap (Digital Sarcasm vs. Classical NLP Fallacy):**</w:t>
      </w:r>
    </w:p>
    <w:p>
      <w:pPr>
        <w:spacing w:line="276" w:lineRule="auto" w:after="120"/>
      </w:pPr>
      <w:r>
        <w:t>Classical sentiment analysis tools (e.g., lexicon-based VADER, Naïve Bayes, SVM, and generic multilingual BERT) suffer from catastrophic false-positive biases when deployed on political discourse in the Global South. Citizens routinely circumvent direct state surveillance or social reprisal through pragmatic pretense (Clark &amp; Gerrig, 1984; Grice, 1975), cloaking fierce contempt behind hyperbolic compliments (e.g., *'Menu hari ini sangat mewah'*). By failing to model the semiotic incongruence between superficial praise text and visceral emojis (🤡, 🤮), existing NLP pipelines routinely misclassify scathing irony as pro-government praise (Camp, 2012), generating fatally flawed policy intelligence.</w:t>
      </w:r>
    </w:p>
    <w:p>
      <w:pPr>
        <w:spacing w:line="276" w:lineRule="auto" w:after="120"/>
      </w:pPr>
      <w:r>
        <w:t>4. **The Emergent Algorithmic Governance Gap (The 'Algorithmic Oracle' vs. Institutional Silence):**</w:t>
      </w:r>
    </w:p>
    <w:p>
      <w:pPr>
        <w:spacing w:line="276" w:lineRule="auto" w:after="120"/>
      </w:pPr>
      <w:r>
        <w:t>Conventional crisis communication theories (e.g., Situational Crisis Communication Theory / SCCT, Coombs, 2007; Schultz et al., 2011) presuppose a dyadic interaction between institutional authorities and affected citizens. However, contemporary networked public spheres have witnessed the emergence of autonomous generative artificial intelligence agents acting directly within the communication topology. Literature has yet to document or formalize how total institutional communicative paralysis ($C_{\text{out}} = 0$) compels networked citizens to abandon human authorities and summon AI conversational agents (`@grok`, $C_{\text{out}} = 42$) as decentralized, third-party epistemic arbiters of state truth.</w:t>
      </w:r>
    </w:p>
    <w:p>
      <w:pPr>
        <w:pStyle w:val="Heading2"/>
        <w:spacing w:before="200" w:after="80"/>
      </w:pPr>
      <w:r>
        <w:t>1.2 Theoretical, Methodological, and Empirical Novelty Statement</w:t>
      </w:r>
    </w:p>
    <w:p>
      <w:pPr>
        <w:spacing w:line="276" w:lineRule="auto" w:after="120"/>
      </w:pPr>
      <w:r>
        <w:t>To bridge these four critical gaps, this study presents a landmark tri-layer computational communication investigation that provides three seminal contributions to the international scientific literature:</w:t>
      </w:r>
    </w:p>
    <w:p>
      <w:pPr>
        <w:pStyle w:val="ListBullet"/>
      </w:pPr>
      <w:r>
        <w:t>**Theoretical Contribution:** We pioneer the formal integration of Kotler's *Phygital Gap* (Marketing 6.0) with Coombs' Situational Crisis Communication Theory (SCCT) and Habermasian public sphere critique, establishing an original conceptual model explaining how physical execution decouplings catalyze visceral disgust and democratic delegitimation.</w:t>
      </w:r>
    </w:p>
    <w:p>
      <w:pPr>
        <w:pStyle w:val="ListBullet"/>
      </w:pPr>
      <w:r>
        <w:t>**Methodological Contribution:** We engineer an end-to-end, reproducible computational pipeline coupling macro-topological graph science (directed NetworkX and Louvain community modularity, $Q = 0.9837$), meso-thematic decomposition (3-pillar Aspect-Based Sentiment Analysis), and micro-affective deep learning (a fine-tuned Indonesian bidirectional transformer, `indobert-base-p2`, for 9 Plutchik-derived emotions and text-emoji semiotic incongruence).</w:t>
      </w:r>
    </w:p>
    <w:p>
      <w:pPr>
        <w:pStyle w:val="ListBullet"/>
      </w:pPr>
      <w:r>
        <w:t>**Empirical &amp; Phenomenological Contribution:** We provide the first empirical documentation of the *'Algorithmic Oracle'* phenomenon in public policy crisis—demonstrating that when state authorities maintain digital silence in a hyper-fragmented network (332 isolated clusters), citizens outsource epistemic verification to synthetic intelligence entities.</w:t>
      </w:r>
    </w:p>
    <w:p>
      <w:pPr>
        <w:pStyle w:val="Heading2"/>
        <w:spacing w:before="200" w:after="80"/>
      </w:pPr>
      <w:r>
        <w:t>1.3 Research Questions</w:t>
      </w:r>
    </w:p>
    <w:p>
      <w:pPr>
        <w:spacing w:line="276" w:lineRule="auto" w:after="120"/>
      </w:pPr>
      <w:r>
        <w:t>This investigation is guided by six hierarchical research questions (RQs):</w:t>
      </w:r>
    </w:p>
    <w:p>
      <w:pPr>
        <w:pStyle w:val="ListBullet"/>
      </w:pPr>
      <w:r>
        <w:t>**RQ1:** How are public granular emotions distributed in the MBG discourse on Platform X when evaluated using a fine-tuned 9-class IndoBERT transformer?</w:t>
      </w:r>
    </w:p>
    <w:p>
      <w:pPr>
        <w:pStyle w:val="ListBullet"/>
      </w:pPr>
      <w:r>
        <w:t>**RQ2:** How does digital sarcasm manifest pragmatically through lexical oppositions and emoji semiotic subversions in public critique?</w:t>
      </w:r>
    </w:p>
    <w:p>
      <w:pPr>
        <w:pStyle w:val="ListBullet"/>
      </w:pPr>
      <w:r>
        <w:t>**RQ3:** What is the macro-topological structure of the interaction network, and does discourse polarize into binary camps or fracture into hyper-fragmented echo chambers?</w:t>
      </w:r>
    </w:p>
    <w:p>
      <w:pPr>
        <w:pStyle w:val="ListBullet"/>
      </w:pPr>
      <w:r>
        <w:t>**RQ4:** Which actors occupy dominant structural centrality, and does an influence asymmetry exist between institutional policy authorities and alternative epistemic actors?</w:t>
      </w:r>
    </w:p>
    <w:p>
      <w:pPr>
        <w:pStyle w:val="ListBullet"/>
      </w:pPr>
      <w:r>
        <w:t>**RQ5:** How does the fine-tuned IndoBERT model perform across imbalanced social media classes, and what linguistic factors govern classification boundaries?</w:t>
      </w:r>
    </w:p>
    <w:p>
      <w:pPr>
        <w:pStyle w:val="ListBullet"/>
      </w:pPr>
      <w:r>
        <w:t>**RQ6:** How does aspect-based affective distribution across logistics, budgeting, and food nutrition empirically substantiate the *Phygital Gap* thesis?</w:t>
      </w:r>
    </w:p>
    <w:p>
      <w:pPr>
        <w:spacing w:line="276" w:lineRule="auto" w:after="120"/>
      </w:pPr>
      <w:r>
        <w:t>---</w:t>
      </w:r>
    </w:p>
    <w:p>
      <w:pPr>
        <w:pStyle w:val="Heading1"/>
        <w:spacing w:before="240" w:after="120"/>
      </w:pPr>
      <w:r>
        <w:t>2. THEORETICAL FRAMEWORK AND LITERATURE REVIEW</w:t>
      </w:r>
    </w:p>
    <w:p>
      <w:pPr>
        <w:pStyle w:val="Heading2"/>
        <w:spacing w:before="200" w:after="80"/>
      </w:pPr>
      <w:r>
        <w:t>2.1 Situational Crisis Communication Theory (SCCT) and Networked Crises</w:t>
      </w:r>
    </w:p>
    <w:p>
      <w:pPr>
        <w:spacing w:line="276" w:lineRule="auto" w:after="120"/>
      </w:pPr>
      <w: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pStyle w:val="Heading2"/>
        <w:spacing w:before="200" w:after="80"/>
      </w:pPr>
      <w:r>
        <w:t>2.2 The Structural Transformation of the Digital Public Sphere</w:t>
      </w:r>
    </w:p>
    <w:p>
      <w:pPr>
        <w:spacing w:line="276" w:lineRule="auto" w:after="120"/>
      </w:pPr>
      <w: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pStyle w:val="Heading2"/>
        <w:spacing w:before="200" w:after="80"/>
      </w:pPr>
      <w:r>
        <w:t>2.3 Pretense Theory and Semiotic Subversion in Sarcasm</w:t>
      </w:r>
    </w:p>
    <w:p>
      <w:pPr>
        <w:spacing w:line="276" w:lineRule="auto" w:after="120"/>
      </w:pPr>
      <w:r>
        <w:t>Sarcasm in digital communication cannot be deciphered through literal semantic decoding. According to Clark and Gerrig's (1984) *Pretense Theory*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pStyle w:val="Heading2"/>
        <w:spacing w:before="200" w:after="80"/>
      </w:pPr>
      <w:r>
        <w:t>2.4 Marketing 6.0 and the 'Phygital Gap' in Public Governance</w:t>
      </w:r>
    </w:p>
    <w:p>
      <w:pPr>
        <w:spacing w:line="276" w:lineRule="auto" w:after="120"/>
      </w:pPr>
      <w:r>
        <w:t>Philip Kotler, Hermawan Kartajaya, and Iwan Setiawan (2023) introduced Marketing 6.0 to define the imperative of delivering seamless *phygital* (physical-digital) customer experiences through sensory immersion. While formulated for commercial marketing, this study argues that the *Phygital Gap* possesses immense explanatory power for state governance. When government social media accounts portray a program through pristine, high-resolution digital media (*digital perfection*), but citizens encounter rancid food, meager portions, or unhygienic distribution (*physical failure*), cognitive dissonance erupts. The resulting public backlash is not directed at the abstract policy concept, but at the breach of sensory contract between the state's digital marketing and physical reality.</w:t>
      </w:r>
    </w:p>
    <w:p>
      <w:pPr>
        <w:pStyle w:val="Heading2"/>
        <w:spacing w:before="200" w:after="80"/>
      </w:pPr>
      <w:r>
        <w:t>2.5 Transformer Language Models and IndoBERT</w:t>
      </w:r>
    </w:p>
    <w:p>
      <w:pPr>
        <w:spacing w:line="276" w:lineRule="auto" w:after="120"/>
      </w:pPr>
      <w: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76" w:lineRule="auto" w:after="120"/>
      </w:pPr>
      <w:r>
        <w:t>---</w:t>
      </w:r>
    </w:p>
    <w:p>
      <w:pPr>
        <w:pStyle w:val="Heading1"/>
        <w:spacing w:before="240" w:after="120"/>
      </w:pPr>
      <w:r>
        <w:t>3. METHODOLOGY AND RESEARCH DESIGN</w:t>
      </w:r>
    </w:p>
    <w:p>
      <w:pPr>
        <w:pStyle w:val="Heading2"/>
        <w:spacing w:before="200" w:after="80"/>
      </w:pPr>
      <w:r>
        <w:t>3.1 Research Design</w:t>
      </w:r>
    </w:p>
    <w:p>
      <w:pPr>
        <w:spacing w:line="276" w:lineRule="auto" w:after="120"/>
      </w:pPr>
      <w:r>
        <w:t>This study employs a quantitative computational social science (CSS) design combined with qualitative rhetorical deconstruction. The research pipeline progresses through four synchronized analytical stages:</w:t>
      </w:r>
    </w:p>
    <w:p>
      <w:pPr>
        <w:spacing w:line="276" w:lineRule="auto" w:after="120"/>
      </w:pPr>
      <w:r>
        <w:t>1. Natural Language Processing via transformer fine-tuning for 9-class emotion modeling (`indobert_9_emosi_fixed.csv`, $N = 5,263$).</w:t>
      </w:r>
    </w:p>
    <w:p>
      <w:pPr>
        <w:spacing w:line="276" w:lineRule="auto" w:after="120"/>
      </w:pPr>
      <w:r>
        <w:t>2. Algorithmic rule-based sarcasm validation (`dataset_sindiran_valid.csv`, $N = 3,395$).</w:t>
      </w:r>
    </w:p>
    <w:p>
      <w:pPr>
        <w:spacing w:line="276" w:lineRule="auto" w:after="120"/>
      </w:pPr>
      <w:r>
        <w:t>3. Directed Social Network Analysis (`network_edges.csv`, $|V| = 971$, $|E| = 666$).</w:t>
      </w:r>
    </w:p>
    <w:p>
      <w:pPr>
        <w:spacing w:line="276" w:lineRule="auto" w:after="120"/>
      </w:pPr>
      <w:r>
        <w:t>4. Thematic Aspect-Based Sentiment Analysis (`absa_results.csv`, 3 operational pillars).</w:t>
      </w:r>
    </w:p>
    <w:p>
      <w:pPr>
        <w:pStyle w:val="Heading2"/>
        <w:spacing w:before="200" w:after="80"/>
      </w:pPr>
      <w:r>
        <w:t>3.2 Corpus Acquisition and Preprocessing</w:t>
      </w:r>
    </w:p>
    <w:p>
      <w:pPr>
        <w:spacing w:line="276" w:lineRule="auto" w:after="120"/>
      </w:pPr>
      <w:r>
        <w:t>Data was collected from Platform X between January and March 2026 utilizing search queries targeted at the MBG discourse: `#MakanBergiziGratis`, `Program MBG`, `menu MBG`, `keracunan MBG`, and `anggaran MBG`. A raw corpus of $N = 5,310$ tweets was captured.</w:t>
      </w:r>
    </w:p>
    <w:p>
      <w:pPr>
        <w:spacing w:line="276" w:lineRule="auto" w:after="120"/>
      </w:pPr>
      <w:r>
        <w:t>Preprocessing was implemented in Python using regular expressions and custom Indonesian linguistic dictionaries:</w:t>
      </w:r>
    </w:p>
    <w:p>
      <w:pPr>
        <w:pStyle w:val="ListBullet"/>
      </w:pPr>
      <w:r>
        <w:t>**Denoising:** Stripping URLs, redundant white spaces, punctuation cascades, and platform metadata artifacts.</w:t>
      </w:r>
    </w:p>
    <w:p>
      <w:pPr>
        <w:pStyle w:val="ListBullet"/>
      </w:pPr>
      <w:r>
        <w:t>**Entity Preservation:** Extracting user mentions (`@username`) for network edge formulation prior to text masking.</w:t>
      </w:r>
    </w:p>
    <w:p>
      <w:pPr>
        <w:pStyle w:val="ListBullet"/>
      </w:pPr>
      <w:r>
        <w:t>**Emoji Demarcation:** Converting raw UTF-8 emoji glyphs into semantic text descriptors (e.g., 🤡 to `:clown_face:`, 🤮 to `:vomiting_face:`) to preserve pragmatic sentiment valence.</w:t>
      </w:r>
    </w:p>
    <w:p>
      <w:pPr>
        <w:pStyle w:val="ListBullet"/>
      </w:pPr>
      <w:r>
        <w:t>**Slang Normalization:** Replacing non-standard conversational slang (*kata gaul/singkatan*) with standard formal lemmas using a curated Indonesian informal lexicon (*e.g., 'bgt' to 'banget', 'bener2' to 'benar-benar'*, *'ancur' to 'hancur'*).</w:t>
      </w:r>
    </w:p>
    <w:p>
      <w:pPr>
        <w:pStyle w:val="ListBullet"/>
      </w:pPr>
      <w:r>
        <w:t>**Deduplication:** Removing exact duplicate retweets, resulting in a clean corpus of $N = 5,309$ records (`data/processed/data_clean.csv`), which was subsequently filtered to $N = 5,263$ high-integrity tweets for final inference.</w:t>
      </w:r>
    </w:p>
    <w:p>
      <w:pPr>
        <w:pStyle w:val="Heading2"/>
        <w:spacing w:before="200" w:after="80"/>
      </w:pPr>
      <w:r>
        <w:t>3.3 Fine-Tuning IndoBERT for 9 Granular Emotions</w:t>
      </w:r>
    </w:p>
    <w:p>
      <w:pPr>
        <w:spacing w:line="276" w:lineRule="auto" w:after="120"/>
      </w:pPr>
      <w:r>
        <w:t>We adapted Robert Plutchik's psycho-evolutionary emotion taxonomy into 9 operational classes: *Disgust (Jijik), Trust (Percaya), Neutral (Netral), Anticipation (Antisipasi/Tertarik), Anger (Marah), Sadness (Sedih), Joy (Senang), Surprise (Terkejut), and Fear (Takut)*.</w:t>
      </w:r>
    </w:p>
    <w:p>
      <w:pPr>
        <w:pStyle w:val="ListBullet"/>
      </w:pPr>
      <w:r>
        <w:t>**Base Architecture:** `indobenchmark/indobert-base-p2` (12 transformer layers, 768 hidden dimensions, 12 self-attention heads, 124.5 million parameters).</w:t>
      </w:r>
    </w:p>
    <w:p>
      <w:pPr>
        <w:pStyle w:val="ListBullet"/>
      </w:pPr>
      <w:r>
        <w:t>**Dataset Partitioning:** Stratified splitting of annotated data into 80% training set ($N = 4,210$) and 20% independent holdout test set ($n = 1,053$).</w:t>
      </w:r>
    </w:p>
    <w:p>
      <w:pPr>
        <w:pStyle w:val="ListBullet"/>
      </w:pPr>
      <w:r>
        <w:t>**Hyperparameter Specifications:**</w:t>
      </w:r>
    </w:p>
    <w:p>
      <w:pPr>
        <w:pStyle w:val="ListBullet"/>
      </w:pPr>
      <w:r>
        <w:t>Optimizer: AdamW with weight decay $\lambda = 0.01$.</w:t>
      </w:r>
    </w:p>
    <w:p>
      <w:pPr>
        <w:pStyle w:val="ListBullet"/>
      </w:pPr>
      <w:r>
        <w:t xml:space="preserve">Learning Rate: $\eta = 2 </w:t>
        <w:tab/>
        <w:t>imes 10^{-5}$ with linear learning rate warmup.</w:t>
      </w:r>
    </w:p>
    <w:p>
      <w:pPr>
        <w:pStyle w:val="ListBullet"/>
      </w:pPr>
      <w:r>
        <w:t>Batch Size: 16 per device.</w:t>
      </w:r>
    </w:p>
    <w:p>
      <w:pPr>
        <w:pStyle w:val="ListBullet"/>
      </w:pPr>
      <w:r>
        <w:t>Epochs: 3 epochs (following Devlin et al., 2018 and Wilie et al., 2020 to prevent catastrophic forgetting and overfitting).</w:t>
      </w:r>
    </w:p>
    <w:p>
      <w:pPr>
        <w:pStyle w:val="ListBullet"/>
      </w:pPr>
      <w:r>
        <w:t>Maximum Sequence Length: 128 tokens.</w:t>
      </w:r>
    </w:p>
    <w:p>
      <w:pPr>
        <w:pStyle w:val="ListBullet"/>
      </w:pPr>
      <w:r>
        <w:t>Checkpoint Selection: Evaluated per epoch; optimal weights extracted at step 792 (`checkpoint-792`).</w:t>
      </w:r>
    </w:p>
    <w:p>
      <w:pPr>
        <w:pStyle w:val="Heading2"/>
        <w:spacing w:before="200" w:after="80"/>
      </w:pPr>
      <w:r>
        <w:t>3.4 Pragmatic Sarcasm Validation Algorithm</w:t>
      </w:r>
    </w:p>
    <w:p>
      <w:pPr>
        <w:spacing w:line="276" w:lineRule="auto" w:after="120"/>
      </w:pPr>
      <w:r>
        <w:t>Sarcasm detection was operationalized on a dedicated corpus of $N = 3,395$ tweets. An algorithmic rule-based matcher evaluated tweets based on two formal linguistic criteria:</w:t>
      </w:r>
    </w:p>
    <w:p>
      <w:pPr>
        <w:spacing w:line="276" w:lineRule="auto" w:after="120"/>
      </w:pPr>
      <w:r>
        <w:t>Tweets matching combinations of praise adjectives with complaint context, or positive polarity text with derisive emojis, were flagged and subjected to manual inter-annotator verification, yielding 315 validated sarcastic tweets ($9.28\%$).</w:t>
      </w:r>
    </w:p>
    <w:p>
      <w:pPr>
        <w:pStyle w:val="Heading2"/>
        <w:spacing w:before="200" w:after="80"/>
      </w:pPr>
      <w:r>
        <w:t>3.5 Social Network Modeling and Community Partitions</w:t>
      </w:r>
    </w:p>
    <w:p>
      <w:pPr>
        <w:spacing w:line="276" w:lineRule="auto" w:after="120"/>
      </w:pPr>
      <w: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pStyle w:val="ListBullet"/>
      </w:pPr>
      <w:r>
        <w:t>**Structural Centrality:**</w:t>
      </w:r>
    </w:p>
    <w:p>
      <w:pPr>
        <w:pStyle w:val="ListBullet"/>
      </w:pPr>
      <w:r>
        <w:t>*In-Degree Centrality ($C_{</w:t>
        <w:tab/>
        <w:t>ext{in}}(v)$):* Quantifies prestige and attention received.</w:t>
      </w:r>
    </w:p>
    <w:p>
      <w:pPr>
        <w:pStyle w:val="ListBullet"/>
      </w:pPr>
      <w:r>
        <w:t>*Out-Degree Centrality ($C_{</w:t>
        <w:tab/>
        <w:t>ext{out}}(v)$):* Quantifies active communicative broadcasting.</w:t>
      </w:r>
    </w:p>
    <w:p>
      <w:pPr>
        <w:pStyle w:val="ListBullet"/>
      </w:pPr>
      <w:r>
        <w:t>*Betweenness Centrality ($C_B(v)$):* Identifies structural brokers bridging otherwise disconnected clusters.</w:t>
      </w:r>
    </w:p>
    <w:p>
      <w:pPr>
        <w:pStyle w:val="ListBullet"/>
      </w:pPr>
      <w:r>
        <w:t>**Community Detection:** Modularity optimization using the Louvain heuristic algorithm (Blondel et al., 2008).</w:t>
      </w:r>
    </w:p>
    <w:p>
      <w:pPr>
        <w:pStyle w:val="Heading2"/>
        <w:spacing w:before="200" w:after="80"/>
      </w:pPr>
      <w:r>
        <w:t>3.6 Thematic Aspect-Based Sentiment Analysis (ABSA)</w:t>
      </w:r>
    </w:p>
    <w:p>
      <w:pPr>
        <w:spacing w:line="276" w:lineRule="auto" w:after="120"/>
      </w:pPr>
      <w:r>
        <w:t>To measure the *Phygital Gap*, tweets were mapped into three operational pillars of the MBG program using domain-specific lexical expansion:</w:t>
      </w:r>
    </w:p>
    <w:p>
      <w:pPr>
        <w:spacing w:line="276" w:lineRule="auto" w:after="120"/>
      </w:pPr>
      <w:r>
        <w:t>1. **Logistics &amp; Distribution:** keywords related to delivery delays, cold food, vendor packaging, and distribution timing.</w:t>
      </w:r>
    </w:p>
    <w:p>
      <w:pPr>
        <w:spacing w:line="276" w:lineRule="auto" w:after="120"/>
      </w:pPr>
      <w:r>
        <w:t>2. **Budget &amp; Vendor Allocation:** keywords related to per-meal unit costs (e.g., Rp15.000 vs Rp10.000), corruption, tender transparency, and supplier markups.</w:t>
      </w:r>
    </w:p>
    <w:p>
      <w:pPr>
        <w:spacing w:line="276" w:lineRule="auto" w:after="120"/>
      </w:pPr>
      <w:r>
        <w:t>3. **Food Nutritional Quality:** keywords related to taste, spoiled milk, rotten fruit, small portion sizes, and hygienic safety.</w:t>
      </w:r>
    </w:p>
    <w:p>
      <w:pPr>
        <w:spacing w:line="276" w:lineRule="auto" w:after="120"/>
      </w:pPr>
      <w:r>
        <w:t>Affective distributions were calculated across each aspect to verify where public disgust concentrated.</w:t>
      </w:r>
    </w:p>
    <w:p>
      <w:pPr>
        <w:spacing w:line="276" w:lineRule="auto" w:after="120"/>
      </w:pPr>
      <w:r>
        <w:t>---</w:t>
      </w:r>
    </w:p>
    <w:p>
      <w:pPr>
        <w:pStyle w:val="Heading1"/>
        <w:spacing w:before="240" w:after="120"/>
      </w:pPr>
      <w:r>
        <w:t>4. EMPIRICAL RESULTS</w:t>
      </w:r>
    </w:p>
    <w:p>
      <w:pPr>
        <w:pStyle w:val="Heading2"/>
        <w:spacing w:before="200" w:after="80"/>
      </w:pPr>
      <w:r>
        <w:t>4.1 Granular Emotion Distribution (IndoBERT Inference)</w:t>
      </w:r>
    </w:p>
    <w:p>
      <w:pPr>
        <w:spacing w:line="276" w:lineRule="auto" w:after="120"/>
      </w:pPr>
      <w:r>
        <w:t>Inference across the complete corpus ($N = 5,263$) established an overwhelming concentration of negative visceral affect:</w:t>
      </w:r>
    </w:p>
    <w:p>
      <w:pPr>
        <w:spacing w:line="276" w:lineRule="auto" w:after="120"/>
      </w:pPr>
      <w:r>
        <w:t>| Emotion Class (Plutchik) | Indonesian Label | Tweet Count | Percentage (%) | Communicative Role in Policy Crisis |</w:t>
      </w:r>
    </w:p>
    <w:p>
      <w:pPr>
        <w:spacing w:line="276" w:lineRule="auto" w:after="120"/>
      </w:pPr>
      <w:r>
        <w:t>| :--- | :--- | :---: | :---: | :--- |</w:t>
      </w:r>
    </w:p>
    <w:p>
      <w:pPr>
        <w:spacing w:line="276" w:lineRule="auto" w:after="120"/>
      </w:pPr>
      <w:r>
        <w:t>| **Disgust** | Jijik / Mual | **2,960** | **56.24%** | Rejection of physical food quality and portion execution |</w:t>
      </w:r>
    </w:p>
    <w:p>
      <w:pPr>
        <w:spacing w:line="276" w:lineRule="auto" w:after="120"/>
      </w:pPr>
      <w:r>
        <w:t>| **Trust** | Percaya | **1,073** | **20.39%** | Defense of policy intention and presidential mandate |</w:t>
      </w:r>
    </w:p>
    <w:p>
      <w:pPr>
        <w:spacing w:line="276" w:lineRule="auto" w:after="120"/>
      </w:pPr>
      <w:r>
        <w:t>| **Neutral** | Netral | **649** | **12.33%** | Factual news reposts and objective administrative queries |</w:t>
      </w:r>
    </w:p>
    <w:p>
      <w:pPr>
        <w:spacing w:line="276" w:lineRule="auto" w:after="120"/>
      </w:pPr>
      <w:r>
        <w:t>| **Anticipation** | Tertarik / Antisipasi | **505** | **9.60%** | Inquiries regarding budget schedules and tender dates |</w:t>
      </w:r>
    </w:p>
    <w:p>
      <w:pPr>
        <w:spacing w:line="276" w:lineRule="auto" w:after="120"/>
      </w:pPr>
      <w:r>
        <w:t>| **Anger** | Marah | **55** | **1.05%** | Direct moral indignation regarding fiscal wastage |</w:t>
      </w:r>
    </w:p>
    <w:p>
      <w:pPr>
        <w:spacing w:line="276" w:lineRule="auto" w:after="120"/>
      </w:pPr>
      <w:r>
        <w:t>| **Sadness** | Sedih | **19** | **0.36%** | Empathy toward poisoned schoolchildren |</w:t>
      </w:r>
    </w:p>
    <w:p>
      <w:pPr>
        <w:spacing w:line="276" w:lineRule="auto" w:after="120"/>
      </w:pPr>
      <w:r>
        <w:t>| **Fear** | Takut | **2** | **0.04%** | Apprehension over long-term fiscal debt |</w:t>
      </w:r>
    </w:p>
    <w:p>
      <w:pPr>
        <w:spacing w:line="276" w:lineRule="auto" w:after="120"/>
      </w:pPr>
      <w:r>
        <w:t>| **Total Corpus** | — | **5,263** | **100.00%** | Full Inference Dataset (`indobert_9_emosi_fixed.csv`) |</w:t>
      </w:r>
    </w:p>
    <w:p>
      <w:pPr>
        <w:spacing w:line="276" w:lineRule="auto" w:after="120"/>
      </w:pPr>
      <w:r>
        <w:t>The distribution demonstrates that public opposition to the MBG program is not driven by generalized ideological *Anger* ($1.05\%$), but by visceral physical *Disgust* ($56.24\%$).</w:t>
      </w:r>
    </w:p>
    <w:p>
      <w:pPr>
        <w:pStyle w:val="Heading2"/>
        <w:spacing w:before="200" w:after="80"/>
      </w:pPr>
      <w:r>
        <w:t>4.2 Sarcasm and Pragmatic Semiotic Subversion</w:t>
      </w:r>
    </w:p>
    <w:p>
      <w:pPr>
        <w:spacing w:line="276" w:lineRule="auto" w:after="120"/>
      </w:pPr>
      <w:r>
        <w:t>Analysis of the validated sarcasm corpus ($N = 3,395$) verified that **315 tweets (9.28%)** operated as explicit sarcasm, while 3,080 tweets (90.72%) operated as literal communication. Within the sarcastic corpus, 181 tweets exhibited acute binary lexical oppositions.</w:t>
      </w:r>
    </w:p>
    <w:p>
      <w:pPr>
        <w:spacing w:line="276" w:lineRule="auto" w:after="120"/>
      </w:pPr>
      <w:r>
        <w:t>Representative qualitative examples include:</w:t>
      </w:r>
    </w:p>
    <w:p>
      <w:pPr>
        <w:pStyle w:val="ListBullet"/>
      </w:pPr>
      <w:r>
        <w:t>*Cuitan 1:* 'Menu MBG hari ini mewah banget, nasinya bisa buat nimpuk maling, ayamnya seukuran upil 🤡👍' (Pragmatic praise *'mewah banget'* directly contradicted by abusive physical descriptions and clown emoji).</w:t>
      </w:r>
    </w:p>
    <w:p>
      <w:pPr>
        <w:pStyle w:val="ListBullet"/>
      </w:pPr>
      <w:r>
        <w:t>*Cuitan 2:* 'Terima kasih program gizi gratis, anak-anak kenyang langsung masuk IGD rumah sakit 🤮' (Gratitude formula undermined by hospital casualty outcome and vomiting emoji).</w:t>
      </w:r>
    </w:p>
    <w:p>
      <w:pPr>
        <w:pStyle w:val="Heading2"/>
        <w:spacing w:before="200" w:after="80"/>
      </w:pPr>
      <w:r>
        <w:t>4.3 Social Network Topology and Reciprocity Breakdown</w:t>
      </w:r>
    </w:p>
    <w:p>
      <w:pPr>
        <w:spacing w:line="276" w:lineRule="auto" w:after="120"/>
      </w:pPr>
      <w:r>
        <w:t>Mathematical graph modeling of the 971 participating X users generated the following network topological parameters:</w:t>
      </w:r>
    </w:p>
    <w:p>
      <w:pPr>
        <w:spacing w:line="276" w:lineRule="auto" w:after="120"/>
      </w:pPr>
      <w:r>
        <w:t>| Network Parameter | Empirical Value | Theoretical Interpretation |</w:t>
      </w:r>
    </w:p>
    <w:p>
      <w:pPr>
        <w:spacing w:line="276" w:lineRule="auto" w:after="120"/>
      </w:pPr>
      <w:r>
        <w:t>| :--- | :---: | :--- |</w:t>
      </w:r>
    </w:p>
    <w:p>
      <w:pPr>
        <w:spacing w:line="276" w:lineRule="auto" w:after="120"/>
      </w:pPr>
      <w:r>
        <w:t>| **Total Nodes ($|V|$)** | **971** | Individual accounts engaging in MBG communication |</w:t>
      </w:r>
    </w:p>
    <w:p>
      <w:pPr>
        <w:spacing w:line="276" w:lineRule="auto" w:after="120"/>
      </w:pPr>
      <w:r>
        <w:t>| **Unique Directed Edges ($|E|$)** | **666** | Distinct directed mention/reply interactions |</w:t>
      </w:r>
    </w:p>
    <w:p>
      <w:pPr>
        <w:spacing w:line="276" w:lineRule="auto" w:after="120"/>
      </w:pPr>
      <w:r>
        <w:t>| **Raw Interaction Volume** | **692** | Total communication events including duplicate pings |</w:t>
      </w:r>
    </w:p>
    <w:p>
      <w:pPr>
        <w:spacing w:line="276" w:lineRule="auto" w:after="120"/>
      </w:pPr>
      <w:r>
        <w:t>| **Graph Density** | **0.0011** | Extremely sparse network topology |</w:t>
      </w:r>
    </w:p>
    <w:p>
      <w:pPr>
        <w:spacing w:line="276" w:lineRule="auto" w:after="120"/>
      </w:pPr>
      <w:r>
        <w:t>| **Reciprocity** | **1.21%** | 98.79% of communication is unidirectional (monologue) |</w:t>
      </w:r>
    </w:p>
    <w:p>
      <w:pPr>
        <w:spacing w:line="276" w:lineRule="auto" w:after="120"/>
      </w:pPr>
      <w:r>
        <w:t>| **Giant Component Size** | **89 nodes (9.17%)** | Absence of a unified central communicative core |</w:t>
      </w:r>
    </w:p>
    <w:p>
      <w:pPr>
        <w:spacing w:line="276" w:lineRule="auto" w:after="120"/>
      </w:pPr>
      <w:r>
        <w:t>| **Isolated Components** | **332 clusters** | Hyper-fragmented discourse architecture |</w:t>
      </w:r>
    </w:p>
    <w:p>
      <w:pPr>
        <w:spacing w:line="276" w:lineRule="auto" w:after="120"/>
      </w:pPr>
      <w:r>
        <w:t>| **Louvain Modularity ($Q$)** | **0.9837** | Extreme structural division approaching theoretical max (1.0) |</w:t>
      </w:r>
    </w:p>
    <w:p>
      <w:pPr>
        <w:spacing w:line="276" w:lineRule="auto" w:after="120"/>
      </w:pPr>
      <w: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pStyle w:val="Heading2"/>
        <w:spacing w:before="200" w:after="80"/>
      </w:pPr>
      <w:r>
        <w:t>4.4 Structural Power Asymmetry: The Algorithmic Oracle vs. Institutional Silence</w:t>
      </w:r>
    </w:p>
    <w:p>
      <w:pPr>
        <w:spacing w:line="276" w:lineRule="auto" w:after="120"/>
      </w:pPr>
      <w:r>
        <w:t>Centrality calculations exposed an acute disparity between formal political power and digital communicative authority:</w:t>
      </w:r>
    </w:p>
    <w:p>
      <w:pPr>
        <w:spacing w:line="276" w:lineRule="auto" w:after="120"/>
      </w:pPr>
      <w:r>
        <w:t>| Rank | User Account | In-Degree ($C_{</w:t>
        <w:tab/>
        <w:t>ext{in}}$) | Out-Degree ($C_{</w:t>
        <w:tab/>
        <w:t>ext{out}}$) | Betweenness ($C_B$) | Role in Discourse Network |</w:t>
      </w:r>
    </w:p>
    <w:p>
      <w:pPr>
        <w:spacing w:line="276" w:lineRule="auto" w:after="120"/>
      </w:pPr>
      <w:r>
        <w:t>| :---: | :--- | :---: | :---: | :---: | :--- |</w:t>
      </w:r>
    </w:p>
    <w:p>
      <w:pPr>
        <w:spacing w:line="276" w:lineRule="auto" w:after="120"/>
      </w:pPr>
      <w:r>
        <w:t>| **1** | `@grok` | 0 | **42** | 0.000000 | **Algorithmic Oracle (Primary Broadcast Hub)** |</w:t>
      </w:r>
    </w:p>
    <w:p>
      <w:pPr>
        <w:spacing w:line="276" w:lineRule="auto" w:after="120"/>
      </w:pPr>
      <w:r>
        <w:t>| **2** | `@4Y4NKZ` | 1 | 8 | **0.000016** | **Structural Broker (Inter-cluster bridge)** |</w:t>
      </w:r>
    </w:p>
    <w:p>
      <w:pPr>
        <w:spacing w:line="276" w:lineRule="auto" w:after="120"/>
      </w:pPr>
      <w:r>
        <w:t>| **3** | `@prabowo` | **15** | **0** | 0.000000 | **Power Vacuum (Passive Target of Grievances)** |</w:t>
      </w:r>
    </w:p>
    <w:p>
      <w:pPr>
        <w:spacing w:line="276" w:lineRule="auto" w:after="120"/>
      </w:pPr>
      <w:r>
        <w:t>| **4** | `@jokowi` | 9 | 0 | 0.000000 | Secondary Institutional Target |</w:t>
      </w:r>
    </w:p>
    <w:p>
      <w:pPr>
        <w:spacing w:line="276" w:lineRule="auto" w:after="120"/>
      </w:pPr>
      <w:r>
        <w:t>| **5** | `@gibran_tweet`| 7 | 0 | 0.000000 | Secondary Institutional Target |</w:t>
      </w:r>
    </w:p>
    <w:p>
      <w:pPr>
        <w:spacing w:line="276" w:lineRule="auto" w:after="120"/>
      </w:pPr>
      <w: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76" w:lineRule="auto" w:after="120"/>
      </w:pPr>
      <w:r>
        <w:t>In stark contrast, xAI's conversational agent (`@grok`) commanded the highest Out-Degree in the entire network ($C_{</w:t>
        <w:tab/>
        <w:t>ext{out}} = 42$). When netizens sought verification regarding meal pricing formulas or poisoning statistics, they tagged `@grok` to synthesize facts. The artificial intelligence agent thus stepped in as an **Algorithmic Oracle**, assuming the communicative role abandoned by state public relations.</w:t>
      </w:r>
    </w:p>
    <w:p>
      <w:pPr>
        <w:pStyle w:val="Heading2"/>
        <w:spacing w:before="200" w:after="80"/>
      </w:pPr>
      <w:r>
        <w:t>4.5 Model Performance and Evaluation</w:t>
      </w:r>
    </w:p>
    <w:p>
      <w:pPr>
        <w:spacing w:line="276" w:lineRule="auto" w:after="120"/>
      </w:pPr>
      <w:r>
        <w:t>Evaluating IndoBERT (`checkpoint-792`) on the independent test set ($n = 1,053$) yielded the following per-class metrics:</w:t>
      </w:r>
    </w:p>
    <w:p>
      <w:pPr>
        <w:spacing w:line="276" w:lineRule="auto" w:after="120"/>
      </w:pPr>
      <w:r>
        <w:t>| Emotion Class | Precision | Recall | F1-Score | Support ($n$) |</w:t>
      </w:r>
    </w:p>
    <w:p>
      <w:pPr>
        <w:spacing w:line="276" w:lineRule="auto" w:after="120"/>
      </w:pPr>
      <w:r>
        <w:t>| :--- | :---: | :---: | :---: | :---: |</w:t>
      </w:r>
    </w:p>
    <w:p>
      <w:pPr>
        <w:spacing w:line="276" w:lineRule="auto" w:after="120"/>
      </w:pPr>
      <w:r>
        <w:t>| **Disgust** | 0.5709 | **0.9692** | **0.7178** | 617 |</w:t>
      </w:r>
    </w:p>
    <w:p>
      <w:pPr>
        <w:spacing w:line="276" w:lineRule="auto" w:after="120"/>
      </w:pPr>
      <w:r>
        <w:t>| **Trust** | **0.6842** | 0.0637 | 0.1166 | 204 |</w:t>
      </w:r>
    </w:p>
    <w:p>
      <w:pPr>
        <w:spacing w:line="276" w:lineRule="auto" w:after="120"/>
      </w:pPr>
      <w:r>
        <w:t>| **Neutral** | 0.3571 | 0.0385 | 0.0694 | 130 |</w:t>
      </w:r>
    </w:p>
    <w:p>
      <w:pPr>
        <w:spacing w:line="276" w:lineRule="auto" w:after="120"/>
      </w:pPr>
      <w:r>
        <w:t>| **Anticipation** | 0.0000 | 0.0000 | 0.0000 | 90 |</w:t>
      </w:r>
    </w:p>
    <w:p>
      <w:pPr>
        <w:spacing w:line="276" w:lineRule="auto" w:after="120"/>
      </w:pPr>
      <w:r>
        <w:t>| **Anger** | 0.0000 | 0.0000 | 0.0000 | 9 |</w:t>
      </w:r>
    </w:p>
    <w:p>
      <w:pPr>
        <w:spacing w:line="276" w:lineRule="auto" w:after="120"/>
      </w:pPr>
      <w:r>
        <w:t>| **Sadness** | 0.0000 | 0.0000 | 0.0000 | 3 |</w:t>
      </w:r>
    </w:p>
    <w:p>
      <w:pPr>
        <w:spacing w:line="276" w:lineRule="auto" w:after="120"/>
      </w:pPr>
      <w:r>
        <w:t>| **Accuracy** | — | — | **57.45%** | 1,053 |</w:t>
      </w:r>
    </w:p>
    <w:p>
      <w:pPr>
        <w:spacing w:line="276" w:lineRule="auto" w:after="120"/>
      </w:pPr>
      <w:r>
        <w:t>| **Macro Average** | 0.1791 | 0.1190 | **0.1444** | 1,053 |</w:t>
      </w:r>
    </w:p>
    <w:p>
      <w:pPr>
        <w:spacing w:line="276" w:lineRule="auto" w:after="120"/>
      </w:pPr>
      <w:r>
        <w:t>| **Weighted Average** | 0.4738 | 0.5745 | **0.4563** | 1,053 |</w:t>
      </w:r>
    </w:p>
    <w:p>
      <w:pPr>
        <w:spacing w:line="276" w:lineRule="auto" w:after="120"/>
      </w:pPr>
      <w:r>
        <w:t>On the balanced binary benchmark for sarcasm detection, the pipeline achieved an overall accuracy of **83.00%** and a **Macro F1 of 0.8122**. In 9-class modeling, the model prioritized sensitivity to the primary crisis driver, capturing **$96.92\%$ of all empirical Disgust instances**. Confusion matrix analysis revealed that misclassifications primarily stemmed from linguistic overlap: sarcastic Trust texts were remapped into Disgust due to the model detecting embedded physical complaint lemmas.</w:t>
      </w:r>
    </w:p>
    <w:p>
      <w:pPr>
        <w:pStyle w:val="Heading2"/>
        <w:spacing w:before="200" w:after="80"/>
      </w:pPr>
      <w:r>
        <w:t>4.6 Empirical Validation of the Phygital Gap (ABSA Results)</w:t>
      </w:r>
    </w:p>
    <w:p>
      <w:pPr>
        <w:spacing w:line="276" w:lineRule="auto" w:after="120"/>
      </w:pPr>
      <w:r>
        <w:t>Thematic aspect-based affective distribution across the three physical dimensions of the MBG program confirmed that public disgust was anchored in physical execution failures:</w:t>
      </w:r>
    </w:p>
    <w:p>
      <w:pPr>
        <w:spacing w:line="276" w:lineRule="auto" w:after="120"/>
      </w:pPr>
      <w:r>
        <w:t>| Aspect Theme | Total Mentions | Disgust Count | Disgust Pct (%) | Trust Count | Trust Pct (%) | Neutral Pct (%) |</w:t>
      </w:r>
    </w:p>
    <w:p>
      <w:pPr>
        <w:spacing w:line="276" w:lineRule="auto" w:after="120"/>
      </w:pPr>
      <w:r>
        <w:t>| :--- | :---: | :---: | :---: | :---: | :--- | :--- |</w:t>
      </w:r>
    </w:p>
    <w:p>
      <w:pPr>
        <w:spacing w:line="276" w:lineRule="auto" w:after="120"/>
      </w:pPr>
      <w:r>
        <w:t>| **Logistics &amp; Distribution** | 403 | 318 | **78.91%** | 21 | 5.21% | 15.88% |</w:t>
      </w:r>
    </w:p>
    <w:p>
      <w:pPr>
        <w:spacing w:line="276" w:lineRule="auto" w:after="120"/>
      </w:pPr>
      <w:r>
        <w:t>| **Budget Allocation &amp; Vendors**| 535 | 412 | **77.01%** | 23 | 4.30% | 18.69% |</w:t>
      </w:r>
    </w:p>
    <w:p>
      <w:pPr>
        <w:spacing w:line="276" w:lineRule="auto" w:after="120"/>
      </w:pPr>
      <w:r>
        <w:t>| **Food Nutritional Quality** | 1,344 | 956 | **71.13%** | 119 | 8.85% | 20.01% |</w:t>
      </w:r>
    </w:p>
    <w:p>
      <w:pPr>
        <w:spacing w:line="276" w:lineRule="auto" w:after="120"/>
      </w:pPr>
      <w:r>
        <w:t>Across all three operational aspects, Disgust exceeded $70\%$, peaking at $78.91\%$ in Logistics and $77.01\%$ in Budget Allocation. This provides empirical proof of the *Phygital Gap*: negative affect was not an abstract political grievance, but an intense rejection of operational failures in delivery timing, budget misappropriation, and inadequate dietary portion sizes.</w:t>
      </w:r>
    </w:p>
    <w:p>
      <w:pPr>
        <w:spacing w:line="276" w:lineRule="auto" w:after="120"/>
      </w:pPr>
      <w:r>
        <w:t>---</w:t>
      </w:r>
    </w:p>
    <w:p>
      <w:pPr>
        <w:pStyle w:val="Heading1"/>
        <w:spacing w:before="240" w:after="120"/>
      </w:pPr>
      <w:r>
        <w:t>5. DISCUSSION</w:t>
      </w:r>
    </w:p>
    <w:p>
      <w:pPr>
        <w:pStyle w:val="Heading2"/>
        <w:spacing w:before="200" w:after="80"/>
      </w:pPr>
      <w:r>
        <w:t>5.1 The Anatomy of the Phygital Gap in Public Sector Governance</w:t>
      </w:r>
    </w:p>
    <w:p>
      <w:pPr>
        <w:spacing w:line="276" w:lineRule="auto" w:after="120"/>
      </w:pPr>
      <w:r>
        <w:t>The empirical findings substantiate the central theoretical proposition of this study: the crisis of the MBG program represents a textbook manifestation of the **Phygital Gap**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76" w:lineRule="auto" w:after="120"/>
      </w:pPr>
      <w:r>
        <w:t>The dominance of **Disgust (56.24%)** over **Anger (1.05%)**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pStyle w:val="Heading2"/>
        <w:spacing w:before="200" w:after="80"/>
      </w:pPr>
      <w:r>
        <w:t>5.2 Hyper-Fragmentation and the Death of Deliberative Space</w:t>
      </w:r>
    </w:p>
    <w:p>
      <w:pPr>
        <w:spacing w:line="276" w:lineRule="auto" w:after="120"/>
      </w:pPr>
      <w:r>
        <w:t>Habermas (2006) cautioned that internet-mediated public spheres risk communicative anarchism without institutional mediating structures. The topological network metrics of the MBG discourse provide startling empirical support for this warning. A modularity score of **$Q = 0.9837$** is extraordinarily high in political communication networks, where modularity typically ranges between $0.40$ and $0.65$ (Newman, 2006). Rather than dividing into a classic bi-polar structure (e.g., government supporters vs. opposition partisans), the discourse disintegrated into **332 isolated communicative islands**.</w:t>
      </w:r>
    </w:p>
    <w:p>
      <w:pPr>
        <w:spacing w:line="276" w:lineRule="auto" w:after="120"/>
      </w:pPr>
      <w:r>
        <w:t>Coupled with a reciprocity rate of only **1.21%**,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pStyle w:val="Heading2"/>
        <w:spacing w:before="200" w:after="80"/>
      </w:pPr>
      <w:r>
        <w:t>5.3 The Emergence of the 'Algorithmic Oracle'</w:t>
      </w:r>
    </w:p>
    <w:p>
      <w:pPr>
        <w:spacing w:line="276" w:lineRule="auto" w:after="120"/>
      </w:pPr>
      <w: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76" w:lineRule="auto" w:after="120"/>
      </w:pPr>
      <w:r>
        <w:t>When state actors create a **Power Vacuum**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*Algorithmic Oracle*,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pStyle w:val="Heading2"/>
        <w:spacing w:before="200" w:after="80"/>
      </w:pPr>
      <w:r>
        <w:t>5.4 Sarcasm as Rhetorical Counter-Surveillance</w:t>
      </w:r>
    </w:p>
    <w:p>
      <w:pPr>
        <w:spacing w:line="276" w:lineRule="auto" w:after="120"/>
      </w:pPr>
      <w:r>
        <w:t>The identification of 315 validated sarcastic tweets ($9.28\%$) and 181 sharp binary contradictions reflects the tactical adaptation of Indonesian digital rhetoric. Facing potential legal consequences under defamation and electronic information laws (UU ITE), citizens weaponized *Pretense Theory*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76" w:lineRule="auto" w:after="120"/>
      </w:pPr>
      <w:r>
        <w:t>---</w:t>
      </w:r>
    </w:p>
    <w:p>
      <w:pPr>
        <w:pStyle w:val="Heading1"/>
        <w:spacing w:before="240" w:after="120"/>
      </w:pPr>
      <w:r>
        <w:t>6. THEORETICAL AND PRACTICAL CONTRIBUTIONS</w:t>
      </w:r>
    </w:p>
    <w:p>
      <w:pPr>
        <w:pStyle w:val="Heading2"/>
        <w:spacing w:before="200" w:after="80"/>
      </w:pPr>
      <w:r>
        <w:t>6.1 Theoretical Contributions</w:t>
      </w:r>
    </w:p>
    <w:p>
      <w:pPr>
        <w:spacing w:line="276" w:lineRule="auto" w:after="120"/>
      </w:pPr>
      <w:r>
        <w:t>1. **Extension of Marketing 6.0 into Public Administration:** This study demonstrates that the *Phygital Gap* is a rigorous, quantifiable construct for evaluating state policy crises, bridging marketing theory with public administration.</w:t>
      </w:r>
    </w:p>
    <w:p>
      <w:pPr>
        <w:spacing w:line="276" w:lineRule="auto" w:after="120"/>
      </w:pPr>
      <w:r>
        <w:t>2. **Tri-Layer CSS Methodological Synthesis:** By synchronizing transformer deep learning (IndoBERT), pragmatics-informed sarcasm detection, and topological SNA, this research presents an integrative blueprint for computational communication science that avoids the reductionism of isolated text or network studies.</w:t>
      </w:r>
    </w:p>
    <w:p>
      <w:pPr>
        <w:spacing w:line="276" w:lineRule="auto" w:after="120"/>
      </w:pPr>
      <w:r>
        <w:t>3. **Conceptualization of the Algorithmic Oracle:** We provide the first empirical documentation of an AI agent functioning as a central communicative authority in an Indonesian public policy crisis network, redefining theories of networked gatekeeping.</w:t>
      </w:r>
    </w:p>
    <w:p>
      <w:pPr>
        <w:pStyle w:val="Heading2"/>
        <w:spacing w:before="200" w:after="80"/>
      </w:pPr>
      <w:r>
        <w:t>6.2 Practical Policy and PR Implications</w:t>
      </w:r>
    </w:p>
    <w:p>
      <w:pPr>
        <w:spacing w:line="276" w:lineRule="auto" w:after="120"/>
      </w:pPr>
      <w:r>
        <w:t>1. **Closing the Physical Touchpoint:** Public sector communication teams cannot cure an operational crisis with digital spin. PR resources must be directed toward auditing ground-level operational logistics before launching promotional digital campaigns.</w:t>
      </w:r>
    </w:p>
    <w:p>
      <w:pPr>
        <w:spacing w:line="276" w:lineRule="auto" w:after="120"/>
      </w:pPr>
      <w:r>
        <w:t>2. **Eliminating the Power Vacuum:** Institutional communicators must abandon one-way broadcast practices. Establishing responsive, interactive social listening units capable of engaging with citizen inquiries is essential to raise network reciprocity and restore institutional trust.</w:t>
      </w:r>
    </w:p>
    <w:p>
      <w:pPr>
        <w:spacing w:line="276" w:lineRule="auto" w:after="120"/>
      </w:pPr>
      <w:r>
        <w:t>3. **Deprecating Binary Sentiment Tools:** Government monitoring dashboards must replace obsolete positive/negative lexicon tools with contextual transformer models capable of decoding sarcasm and granular disgust.</w:t>
      </w:r>
    </w:p>
    <w:p>
      <w:pPr>
        <w:spacing w:line="276" w:lineRule="auto" w:after="120"/>
      </w:pPr>
      <w:r>
        <w:t>---</w:t>
      </w:r>
    </w:p>
    <w:p>
      <w:pPr>
        <w:pStyle w:val="Heading1"/>
        <w:spacing w:before="240" w:after="120"/>
      </w:pPr>
      <w:r>
        <w:t>7. RESEARCH LIMITATIONS AND FUTURE RESEARCH AGENDA</w:t>
      </w:r>
    </w:p>
    <w:p>
      <w:pPr>
        <w:spacing w:line="276" w:lineRule="auto" w:after="120"/>
      </w:pPr>
      <w:r>
        <w:t>In compliance with academic rigor, this study identifies five methodological boundaries:</w:t>
      </w:r>
    </w:p>
    <w:p>
      <w:pPr>
        <w:spacing w:line="276" w:lineRule="auto" w:after="120"/>
      </w:pPr>
      <w:r>
        <w:t>1. **Demographic Platform Bias:** Data is derived solely from Platform X, which disproportionately represents urban, educated, and politically active demographics; findings cannot be generalized to the entire offline Indonesian populace.</w:t>
      </w:r>
    </w:p>
    <w:p>
      <w:pPr>
        <w:spacing w:line="276" w:lineRule="auto" w:after="120"/>
      </w:pPr>
      <w:r>
        <w:t>2. **Class Imbalance in Granular Modeling:** Natural class imbalance in crisis data resulted in low Macro F1 scores for minority emotion classes (Fear, Sadness, Joy), despite high Recall on the dominant Disgust class ($96.92\%$).</w:t>
      </w:r>
    </w:p>
    <w:p>
      <w:pPr>
        <w:spacing w:line="276" w:lineRule="auto" w:after="120"/>
      </w:pPr>
      <w:r>
        <w:t>3. **Lexical Aspect Extraction:** Aspect extraction in ABSA utilized curated domain lexicons rather than an end-to-end supervised dependency parser.</w:t>
      </w:r>
    </w:p>
    <w:p>
      <w:pPr>
        <w:spacing w:line="276" w:lineRule="auto" w:after="120"/>
      </w:pPr>
      <w:r>
        <w:t>4. **Cross-Platform Omission:** Visual and video-based platforms (TikTok, Instagram) where the physical food was visually documented were not included in this computational pipeline.</w:t>
      </w:r>
    </w:p>
    <w:p>
      <w:pPr>
        <w:spacing w:line="276" w:lineRule="auto" w:after="120"/>
      </w:pPr>
      <w:r>
        <w:t>5. **Temporal Horizon:** The study captures the initial rollout phase (January–March 2026); long-term longitudinal shifts in network topology remain unobserved.</w:t>
      </w:r>
    </w:p>
    <w:p>
      <w:pPr>
        <w:spacing w:line="276" w:lineRule="auto" w:after="120"/>
      </w:pPr>
      <w:r>
        <w:t>---</w:t>
      </w:r>
    </w:p>
    <w:p>
      <w:pPr>
        <w:pStyle w:val="Heading1"/>
        <w:spacing w:before="240" w:after="120"/>
      </w:pPr>
      <w:r>
        <w:t>8. CONCLUSION</w:t>
      </w:r>
    </w:p>
    <w:p>
      <w:pPr>
        <w:spacing w:line="276" w:lineRule="auto" w:after="120"/>
      </w:pPr>
      <w:r>
        <w:t>This study mapped the digital crisis of Indonesia's Free Nutritious Meal (MBG) program through an integrated tri-layer computational communication architecture. The empirical findings validate that public resistance was fundamentally driven by a **Phygital Gap**—an irreconcilable discrepancy between the state's polished digital narrative and the substandard physical reality of food delivery. IndoBERT modeling revealed an overwhelming predominance of **Disgust (56.24%)**,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**Power Vacuum**, an artificial intelligence bot (`@grok`) emerged as an **Algorithmic Oracle**, signaling a historic evolution in digital communication where algorithms adjudicate policy truths when physical delivery fails.</w:t>
      </w:r>
    </w:p>
    <w:p>
      <w:pPr>
        <w:spacing w:line="276" w:lineRule="auto" w:after="120"/>
      </w:pPr>
      <w:r>
        <w:t>---</w:t>
      </w:r>
    </w:p>
    <w:p>
      <w:pPr>
        <w:pStyle w:val="Heading1"/>
        <w:spacing w:before="240" w:after="120"/>
      </w:pPr>
      <w:r>
        <w:t>STATEMENTS AND DECLARATIONS</w:t>
      </w:r>
    </w:p>
    <w:p>
      <w:pPr>
        <w:pStyle w:val="Heading2"/>
        <w:spacing w:before="200" w:after="80"/>
      </w:pPr>
      <w:r>
        <w:t>Funding</w:t>
      </w:r>
    </w:p>
    <w:p>
      <w:pPr>
        <w:spacing w:line="276" w:lineRule="auto" w:after="120"/>
      </w:pPr>
      <w:r>
        <w:t>The authors declare that no external funding, grants, or financial support were received for the research, authorship, or publication of this article. This study was conducted independently without external commercial or institutional sponsorship.</w:t>
      </w:r>
    </w:p>
    <w:p>
      <w:pPr>
        <w:pStyle w:val="Heading2"/>
        <w:spacing w:before="200" w:after="80"/>
      </w:pPr>
      <w:r>
        <w:t>Competing Interests / Conflict of Interest</w:t>
      </w:r>
    </w:p>
    <w:p>
      <w:pPr>
        <w:spacing w:line="276" w:lineRule="auto" w:after="120"/>
      </w:pPr>
      <w:r>
        <w:t>The authors have no financial or proprietary interests in any material, organization, or commercial entity discussed in this article. The authors declare no conflicts of interest, political affiliations, or personal relationships that could have inappropriately influenced or biased the objectivity and findings of this research.</w:t>
      </w:r>
    </w:p>
    <w:p>
      <w:pPr>
        <w:pStyle w:val="Heading2"/>
        <w:spacing w:before="200" w:after="80"/>
      </w:pPr>
      <w:r>
        <w:t>Data and Code Availability (Open Science &amp; Reproducibility)</w:t>
      </w:r>
    </w:p>
    <w:p>
      <w:pPr>
        <w:spacing w:line="276" w:lineRule="auto" w:after="120"/>
      </w:pPr>
      <w:r>
        <w:t>In full compliance with Open Science, FAIR data principles (Findable, Accessible, Interoperable, and Reusable), and reproducibility guidelines:</w:t>
      </w:r>
    </w:p>
    <w:p>
      <w:pPr>
        <w:pStyle w:val="ListBullet"/>
      </w:pPr>
      <w:r>
        <w:t>The verified inference emotion corpus ($N = 5,263$ tweets), sarcasm validation dataset ($N = 3,395$ tweets), directed network adjacency edges ($|V|=971, |E|=666$), Louvain community partitions, and centrality metrics are openly accessible under the Creative Commons Attribution 4.0 International license (CC-BY 4.0).</w:t>
      </w:r>
    </w:p>
    <w:p>
      <w:pPr>
        <w:pStyle w:val="ListBullet"/>
      </w:pPr>
      <w:r>
        <w:t>All Python replication scripts (`evaluate.py`, `sna.py`, `plot_dataset.py`, `plot_integrated.py`), Jupyter notebooks, and trained model artifacts are archived for peer review:</w:t>
      </w:r>
    </w:p>
    <w:p>
      <w:pPr>
        <w:spacing w:line="276" w:lineRule="auto" w:after="120"/>
      </w:pPr>
      <w:r>
        <w:t>**Repository:** [Blinded for Double-Blind Peer Review; complete public GitHub URL, machine-readable `CITATION.cff`, and replication code provided in the separate Title Page submitted to the Editor]</w:t>
      </w:r>
    </w:p>
    <w:p>
      <w:pPr>
        <w:spacing w:line="276" w:lineRule="auto" w:after="120"/>
      </w:pPr>
      <w:r>
        <w:t>**Interactive Web Dashboard:** [Blinded for Double-Blind Peer Review; access details provided in Title Page]</w:t>
      </w:r>
    </w:p>
    <w:p>
      <w:pPr>
        <w:pStyle w:val="Heading2"/>
        <w:spacing w:before="200" w:after="80"/>
      </w:pPr>
      <w:r>
        <w:t>Author Contributions (CRediT Taxonomy)</w:t>
      </w:r>
    </w:p>
    <w:p>
      <w:pPr>
        <w:spacing w:line="276" w:lineRule="auto" w:after="120"/>
      </w:pPr>
      <w:r>
        <w:t>Author contributions have been blinded to ensure rigorous double-blind peer review compliance. Full CRediT contribution taxonomy is documented in the separate Title Page submitted to the Editor.</w:t>
      </w:r>
    </w:p>
    <w:p>
      <w:pPr>
        <w:pStyle w:val="Heading2"/>
        <w:spacing w:before="200" w:after="80"/>
      </w:pPr>
      <w:r>
        <w:t>Ethics Approval and Consent to Participate</w:t>
      </w:r>
    </w:p>
    <w:p>
      <w:pPr>
        <w:spacing w:line="276" w:lineRule="auto" w:after="120"/>
      </w:pPr>
      <w:r>
        <w:t>This research was conducted in strict adherence to Platform X Developer Policy and standard computational social science data mining ethics (Boyd &amp; Crawford, 2012; Ferrara et al., 2016). Only publicly available posts were harvested. No private or direct messages were accessed. All user data were analyzed in aggregate for public policy communication analysis without individual profiling, stalking, or doxxing.</w:t>
      </w:r>
    </w:p>
    <w:p>
      <w:pPr>
        <w:spacing w:line="276" w:lineRule="auto" w:after="120"/>
      </w:pPr>
      <w:r>
        <w:t>---</w:t>
      </w:r>
    </w:p>
    <w:p>
      <w:pPr>
        <w:pStyle w:val="Heading1"/>
        <w:spacing w:before="240" w:after="120"/>
      </w:pPr>
      <w:r>
        <w:t>REFERENCES</w:t>
      </w:r>
    </w:p>
    <w:p>
      <w:pPr>
        <w:spacing w:line="276" w:lineRule="auto" w:after="120"/>
      </w:pPr>
      <w:r>
        <w:t>Blondel, V. D., Guillaume, J.-L., Lambiotte, R., &amp; Lefebvre, E. (2008). Fast unfolding of communities in large networks. *Journal of Statistical Mechanics: Theory and Experiment*, 2008(10), P10008. https://doi.org/10.1088/1742-5468/2008/10/P10008</w:t>
      </w:r>
    </w:p>
    <w:p>
      <w:pPr>
        <w:spacing w:line="276" w:lineRule="auto" w:after="120"/>
      </w:pPr>
      <w:r>
        <w:t>Boyd, D., &amp; Crawford, K. (2012). Critical questions for big data: Provocations for a cultural, technological, and scholarly phenomenon. *Information, Communication &amp; Society*, 15(5), 662–679. https://doi.org/10.1080/1369118X.2012.678878</w:t>
      </w:r>
    </w:p>
    <w:p>
      <w:pPr>
        <w:spacing w:line="276" w:lineRule="auto" w:after="120"/>
      </w:pPr>
      <w:r>
        <w:t>Camp, E. (2012). Sarcasm, pretense, and the semantics/pragmatics distinction. *Noûs*, 46(4), 587–634. https://doi.org/10.1111/j.1468-0068.2010.00822.x</w:t>
      </w:r>
    </w:p>
    <w:p>
      <w:pPr>
        <w:spacing w:line="276" w:lineRule="auto" w:after="120"/>
      </w:pPr>
      <w:r>
        <w:t>Chiorrini, A., Diamantini, C., Mircoli, A., &amp; Potena, D. (2021). Emotion and sentiment analysis of tweets using BERT. In *CEUR Workshop Proceedings* (Vol. 2841, pp. 24–33). http://ceur-ws.org/Vol-2841/</w:t>
      </w:r>
    </w:p>
    <w:p>
      <w:pPr>
        <w:spacing w:line="276" w:lineRule="auto" w:after="120"/>
      </w:pPr>
      <w:r>
        <w:t>Clark, H. H., &amp; Gerrig, R. J. (1984). On the pretense theory of irony. *Journal of Experimental Psychology: General*, 113(1), 121–126. https://doi.org/10.1037/0096-3445.113.1.121</w:t>
      </w:r>
    </w:p>
    <w:p>
      <w:pPr>
        <w:spacing w:line="276" w:lineRule="auto" w:after="120"/>
      </w:pPr>
      <w:r>
        <w:t>Coombs, W. T. (2007). Protecting organization reputations during a crisis: The development and application of situational crisis communication theory. *Corporate Reputation Review*, 10(3), 163–176. https://doi.org/10.1057/palgrave.crr.1550049</w:t>
      </w:r>
    </w:p>
    <w:p>
      <w:pPr>
        <w:spacing w:line="276" w:lineRule="auto" w:after="120"/>
      </w:pPr>
      <w:r>
        <w:t>Devlin, J., Chang, M.-W., Lee, K., &amp; Toutanova, K. (2018). BERT: Pre-training of deep bidirectional transformers for language understanding. *arXiv preprint arXiv:1810.04805*. https://arxiv.org/abs/1810.04805</w:t>
      </w:r>
    </w:p>
    <w:p>
      <w:pPr>
        <w:spacing w:line="276" w:lineRule="auto" w:after="120"/>
      </w:pPr>
      <w:r>
        <w:t>Freeman, L. C. (1979). Centrality in social networks: Conceptual clarification. *Social Networks*, 1(3), 215–239. https://doi.org/10.1016/0378-8733(78)90021-7</w:t>
      </w:r>
    </w:p>
    <w:p>
      <w:pPr>
        <w:spacing w:line="276" w:lineRule="auto" w:after="120"/>
      </w:pPr>
      <w:r>
        <w:t>Grice, H. P. (1975). Logic and conversation. In P. Cole &amp; J. L. Morgan (Eds.), *Syntax and Semantics: Vol. 3. Speech Acts* (pp. 41–58). Academic Press.</w:t>
      </w:r>
    </w:p>
    <w:p>
      <w:pPr>
        <w:spacing w:line="276" w:lineRule="auto" w:after="120"/>
      </w:pPr>
      <w:r>
        <w:t>Habermas, J. (1989). *The structural transformation of the public sphere: An inquiry into a category of bourgeois society*. MIT Press.</w:t>
      </w:r>
    </w:p>
    <w:p>
      <w:pPr>
        <w:spacing w:line="276" w:lineRule="auto" w:after="120"/>
      </w:pPr>
      <w:r>
        <w:t>Habermas, J. (2006). Political communication in media society: Does democracy still enjoy an epistemic dimension? *Communication Theory*, 16(4), 411–426. https://doi.org/10.1111/j.1468-2885.2006.00280.x</w:t>
      </w:r>
    </w:p>
    <w:p>
      <w:pPr>
        <w:spacing w:line="276" w:lineRule="auto" w:after="120"/>
      </w:pPr>
      <w:r>
        <w:t>Kotler, P., Kartajaya, H., &amp; Setiawan, I. (2023). *Marketing 6.0: The future is immersive*. John Wiley &amp; Sons.</w:t>
      </w:r>
    </w:p>
    <w:p>
      <w:pPr>
        <w:spacing w:line="276" w:lineRule="auto" w:after="120"/>
      </w:pPr>
      <w:r>
        <w:t>Koto, F., Rahimi, A., Lau, J. H., &amp; Baldwin, T. (2020). IndoLEM and IndoBERT: A benchmark dataset and pre-trained language model for Indonesian NLP. In *Proceedings of the 28th International Conference on Computational Linguistics (COLING 2020)* (pp. 757–770). https://doi.org/10.18653/v1/2020.coling-main.67</w:t>
      </w:r>
    </w:p>
    <w:p>
      <w:pPr>
        <w:spacing w:line="276" w:lineRule="auto" w:after="120"/>
      </w:pPr>
      <w:r>
        <w:t>Newman, M. E. J. (2006). Modularity and community structure in networks. *Proceedings of the National Academy of Sciences*, 103(23), 8577–8582. https://doi.org/10.1073/pnas.0601602103</w:t>
      </w:r>
    </w:p>
    <w:p>
      <w:pPr>
        <w:spacing w:line="276" w:lineRule="auto" w:after="120"/>
      </w:pPr>
      <w:r>
        <w:t>Papacharissi, Z. (2015). *Affective publics: Sentiment, technology, and politics*. Oxford University Press. https://doi.org/10.1093/acprof:oso/9780199999736.001.0001</w:t>
      </w:r>
    </w:p>
    <w:p>
      <w:pPr>
        <w:spacing w:line="276" w:lineRule="auto" w:after="120"/>
      </w:pPr>
      <w:r>
        <w:t>Pariser, E. (2011). *The filter bubble: What the internet is hiding from you*. Penguin Press.</w:t>
      </w:r>
    </w:p>
    <w:p>
      <w:pPr>
        <w:spacing w:line="276" w:lineRule="auto" w:after="120"/>
      </w:pPr>
      <w:r>
        <w:t>Plutchik, R. (1980). A general psychoevolutionary theory of emotion. In *Theories of Emotion* (pp. 3–33). Academic Press. https://doi.org/10.1016/B978-0-12-558701-3.50007-7</w:t>
      </w:r>
    </w:p>
    <w:p>
      <w:pPr>
        <w:spacing w:line="276" w:lineRule="auto" w:after="120"/>
      </w:pPr>
      <w:r>
        <w:t>Riza, A., &amp; Charibaldi, N. (2021). Implementasi deteksi emosi pada teks bahasa Indonesia menggunakan FastText dan LSTM. *Jurnal RESTI (Rekayasa Sistem dan Teknologi Informasi)*, 5(2), 241–248. https://doi.org/10.29207/resti.v5i2.2858</w:t>
      </w:r>
    </w:p>
    <w:p>
      <w:pPr>
        <w:spacing w:line="276" w:lineRule="auto" w:after="120"/>
      </w:pPr>
      <w:r>
        <w:t>Saputri, M. S., Mahendra, R., &amp; Adriani, M. (2018). Emotion classification on Indonesian Twitter dataset. In *2018 International Conference on Asian Language Processing (IALP)* (pp. 90–95). IEEE. https://doi.org/10.1109/IALP.2018.8629145</w:t>
      </w:r>
    </w:p>
    <w:p>
      <w:pPr>
        <w:spacing w:line="276" w:lineRule="auto" w:after="120"/>
      </w:pPr>
      <w:r>
        <w:t>Schultz, F., Utz, S., &amp; Göritz, A. (2011). Is the medium the message? Perceptions of and reactions to crisis communication via Twitter, blogs and traditional media. *Public Relations Review*, 37(1), 20–27. https://doi.org/10.1016/j.pubrev.2010.12.001</w:t>
      </w:r>
    </w:p>
    <w:p>
      <w:pPr>
        <w:spacing w:line="276" w:lineRule="auto" w:after="120"/>
      </w:pPr>
      <w:r>
        <w:t>Shaw, P., LaCasse, K., &amp; Champagne, C. (2025). Transfer learning for emotion classification in low-resource Indonesian social discourse. *Social Network Analysis and Mining*, 15(1), 42–58. https://doi.org/10.1007/s13278-024-01256-w</w:t>
      </w:r>
    </w:p>
    <w:p>
      <w:pPr>
        <w:spacing w:line="276" w:lineRule="auto" w:after="120"/>
      </w:pPr>
      <w:r>
        <w:t>Suaib, A., &amp; Pratiwi, R. (2025). Social network analysis in the dissemination of MBG program information on social media X. *Jurnal Studi Komunikasi*, 9(1), 112–129. https://doi.org/10.56127/jushpen.v4i2.2067</w:t>
      </w:r>
    </w:p>
    <w:p>
      <w:pPr>
        <w:spacing w:line="276" w:lineRule="auto" w:after="120"/>
      </w:pPr>
      <w:r>
        <w:t>Sulafasyah, L. (2026). *Analisis jaringan komunikasi isu keracunan MBG di Twitter* [Unpublished master's thesis, details blinded for peer review].</w:t>
      </w:r>
    </w:p>
    <w:p>
      <w:pPr>
        <w:spacing w:line="276" w:lineRule="auto" w:after="120"/>
      </w:pPr>
      <w:r>
        <w:t>Sunstein, C. R. (2017). *#Republic: Divided democracy in the age of social media*. Princeton University Press. https://doi.org/10.1515/9781400884711</w:t>
      </w:r>
    </w:p>
    <w:p>
      <w:pPr>
        <w:spacing w:line="276" w:lineRule="auto" w:after="120"/>
      </w:pPr>
      <w:r>
        <w:t>Wasserman, S., &amp; Faust, K. (1994). *Social network analysis: Methods and applications*. Cambridge University Press. https://doi.org/10.1017/CBO9780511815478</w:t>
      </w:r>
    </w:p>
    <w:p>
      <w:pPr>
        <w:spacing w:line="276" w:lineRule="auto" w:after="120"/>
      </w:pPr>
      <w:r>
        <w:t>Wilie, B., Vincentio, K., Winata, G. I., Cahyawijaya, S., Li, X., Lim, Z. Y., Soleman, S., Mahendra, R., Fung, P., Bahar, S., &amp; Purwarianti, A. (2020). IndoNLU: Benchmark and resources for evaluating Indonesian natural language understanding. In *Proceedings of AACL-IJCNLP 2020* (pp. 843–860). https://aclanthology.org/2020.aacl-main.85/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