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Pr>
          <w:b/>
        </w:rPr>
        <w:t xml:space="preserve">1. </w:t>
      </w:r>
      <w:r>
        <w:rPr>
          <w:rFonts w:ascii="Times New Roman" w:hAnsi="Times New Roman"/>
          <w:b/>
          <w:i w:val="0"/>
          <w:sz w:val="24"/>
        </w:rPr>
        <w:t>Topological Phase Transition</w:t>
      </w:r>
      <w:r>
        <w:rPr>
          <w:rFonts w:ascii="Times New Roman" w:hAnsi="Times New Roman"/>
          <w:b w:val="0"/>
          <w:i w:val="0"/>
          <w:sz w:val="24"/>
        </w:rPr>
        <w:t>: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Pr>
          <w:b/>
        </w:rPr>
        <w:t xml:space="preserve">2. </w:t>
      </w:r>
      <w:r>
        <w:rPr>
          <w:rFonts w:ascii="Times New Roman" w:hAnsi="Times New Roman"/>
          <w:b/>
          <w:i w:val="0"/>
          <w:sz w:val="24"/>
        </w:rPr>
        <w:t>Persistent Deficit of Deliberative Reciprocity</w:t>
      </w:r>
      <w:r>
        <w:rPr>
          <w:rFonts w:ascii="Times New Roman" w:hAnsi="Times New Roman"/>
          <w:b w:val="0"/>
          <w:i w:val="0"/>
          <w:sz w:val="24"/>
        </w:rPr>
        <w:t>: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Pr>
          <w:b/>
        </w:rPr>
        <w:t xml:space="preserve">3. </w:t>
      </w:r>
      <w:r>
        <w:rPr>
          <w:rFonts w:ascii="Times New Roman" w:hAnsi="Times New Roman"/>
          <w:b/>
          <w:i w:val="0"/>
          <w:sz w:val="24"/>
        </w:rPr>
        <w:t>TERGM Generative Dynamics</w:t>
      </w:r>
      <w:r>
        <w:rPr>
          <w:rFonts w:ascii="Times New Roman" w:hAnsi="Times New Roman"/>
          <w:b w:val="0"/>
          <w:i w:val="0"/>
          <w:sz w:val="24"/>
        </w:rPr>
        <w:t xml:space="preserve">: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w:t>
      </w:r>
      <w:r>
        <w:rPr>
          <w:rFonts w:ascii="Courier New" w:hAnsi="Courier New"/>
          <w:sz w:val="23"/>
        </w:rPr>
        <w:t>@grok</w:t>
      </w:r>
      <w:r>
        <w:rPr>
          <w:rFonts w:ascii="Times New Roman" w:hAnsi="Times New Roman"/>
          <w:b w:val="0"/>
          <w:i w:val="0"/>
          <w:sz w:val="24"/>
        </w:rPr>
        <w:t xml:space="preserve"> as an autonomous truth arbiter during institutional communicative vacuums (Snijders et al., 2010).</w:t>
      </w:r>
    </w:p>
    <w:p>
      <w:pPr>
        <w:spacing w:line="480" w:lineRule="auto" w:before="240" w:after="60"/>
        <w:ind w:firstLine="0"/>
        <w:jc w:val="left"/>
      </w:pPr>
      <w:r>
        <w:rPr>
          <w:rFonts w:ascii="Times New Roman" w:hAnsi="Times New Roman"/>
          <w:b/>
          <w:i w:val="0"/>
          <w:sz w:val="25"/>
        </w:rPr>
        <w:t>4.8 Spatial &amp; Epidemiological Ground-Truthing: Triangulating Physical Touchpoints with Digital Dissent</w:t>
      </w:r>
    </w:p>
    <w:p>
      <w:pPr>
        <w:spacing w:line="480" w:lineRule="auto" w:before="0" w:after="0"/>
        <w:ind w:firstLine="720"/>
      </w:pPr>
      <w:r>
        <w:rPr>
          <w:rFonts w:ascii="Times New Roman" w:hAnsi="Times New Roman"/>
          <w:b w:val="0"/>
          <w:i w:val="0"/>
          <w:sz w:val="24"/>
        </w:rPr>
        <w:t>To address peer-reviewer scrutiny regarding the physical grounding of digital affective resistance, we conducted a multi-provincial spatial ground-truthing audit (Table 9). Following Platform X's June 2019 global sunset of precise GPS coordinate metadata (Twitter Support, 2019; Zimmer, 2010), administrative toponyms were extracted across 9,310 citizen posts using rule-based Gazetteer Named Entity Recognition (Dredze et al., 2016; Gelernter &amp; Balaji, 2013) under AoIR 3.0 ethical guidelines (Franzke et al., 2020).</w:t>
      </w:r>
    </w:p>
    <w:p>
      <w:pPr>
        <w:spacing w:before="240" w:after="60" w:line="288" w:lineRule="auto"/>
        <w:jc w:val="left"/>
      </w:pPr>
      <w:r>
        <w:rPr>
          <w:rFonts w:ascii="Times New Roman" w:hAnsi="Times New Roman"/>
          <w:b/>
          <w:i w:val="0"/>
          <w:sz w:val="22"/>
        </w:rPr>
        <w:t>Table 9: Multi-Provincial Spatial &amp; Epidemiological Ground-Truthing Benchmark (N = 10 Key Jurisdictions)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Province / Administrative Unit</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Island Group</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Toponym Posts ($N$)</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Grievance Posts</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Suspended SPPG Units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Hospitalized Students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Primary Outbreak Epicenters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Barat</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92.31%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2,140 (46.71%)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1,650 (48.25%)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Sukabumi, Cianjur, Bandung Barat, Bekasi</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Tengah</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75.52%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890 (19.43%)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680 (19.88%)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Boyolali, Solo, Banyumas, Brebes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96.67%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710 (15.50%)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510 (14.91%)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Bojonegoro, Bangkalan, Jember, Sidoarjo</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Banten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85.71%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395 (8.62%)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285 (8.33%)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Lebak, Tangerang, Pandeglang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DKI Jakarta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245 (5.35%)</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140 (4.09%)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Jakarta Utara, Jakarta Timur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DI Yogyakarta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98.59%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82 (1.79%)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55 (1.61%)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Gunungkidul, Bantul</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Sumatera Utara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 (0.98%)</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35 (1.02%)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Deli Serdang, Medan Labuhan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Nusa Tenggara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 (0.46%)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20 (0.58%)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Kupang, Timor Tengah Selatan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Sulawesi Selatan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38 (0.83%)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30 (0.88%)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Gowa, Makassar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Bali</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17</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94.12%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(0.33%)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(0.44%)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Denpasar, Buleleng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Total Benchmark</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Indonesia</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727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93.30%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4,581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3,420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Nationwide Crisis Wave</w:t>
            </w:r>
          </w:p>
        </w:tc>
      </w:tr>
    </w:tbl>
    <w:p>
      <w:pPr>
        <w:spacing w:after="120"/>
      </w:pPr>
    </w:p>
    <w:p>
      <w:pPr>
        <w:spacing w:line="480" w:lineRule="auto" w:before="0" w:after="0"/>
        <w:ind w:firstLine="720"/>
      </w:pPr>
      <w:r>
        <w:rPr>
          <w:rFonts w:ascii="Times New Roman" w:hAnsi="Times New Roman"/>
          <w:b w:val="0"/>
          <w:i w:val="0"/>
          <w:sz w:val="24"/>
        </w:rPr>
        <w:t xml:space="preserve">Evaluating provincial rankings confirmed a statistically significant positive monotonic rank correlation: </w:t>
      </w:r>
      <w:r>
        <w:rPr>
          <w:rFonts w:ascii="Times New Roman" w:hAnsi="Times New Roman"/>
          <w:b/>
          <w:i w:val="0"/>
          <w:sz w:val="24"/>
        </w:rPr>
        <w:t>Spearman $\rho = 0.7212$ ($p = 0.0186 &lt; 0.05$)</w:t>
      </w:r>
      <w:r>
        <w:rPr>
          <w:rFonts w:ascii="Times New Roman" w:hAnsi="Times New Roman"/>
          <w:b w:val="0"/>
          <w:i w:val="0"/>
          <w:sz w:val="24"/>
        </w:rPr>
        <w:t xml:space="preserve"> against both </w:t>
      </w:r>
      <w:r>
        <w:rPr>
          <w:rFonts w:ascii="Times New Roman" w:hAnsi="Times New Roman"/>
          <w:b/>
          <w:i w:val="0"/>
          <w:sz w:val="24"/>
        </w:rPr>
        <w:t>Hospitalized Food Poisoning Victims</w:t>
      </w:r>
      <w:r>
        <w:rPr>
          <w:rFonts w:ascii="Times New Roman" w:hAnsi="Times New Roman"/>
          <w:b w:val="0"/>
          <w:i w:val="0"/>
          <w:sz w:val="24"/>
        </w:rPr>
        <w:t xml:space="preserve"> and </w:t>
      </w:r>
      <w:r>
        <w:rPr>
          <w:rFonts w:ascii="Times New Roman" w:hAnsi="Times New Roman"/>
          <w:b/>
          <w:i w:val="0"/>
          <w:sz w:val="24"/>
        </w:rPr>
        <w:t>Suspended SPPG Catering Kitchens</w:t>
      </w:r>
      <w:r>
        <w:rPr>
          <w:rFonts w:ascii="Times New Roman" w:hAnsi="Times New Roman"/>
          <w:b w:val="0"/>
          <w:i w:val="0"/>
          <w:sz w:val="24"/>
        </w:rPr>
        <w:t xml:space="preserve"> (Pearson $r = 0.4158, p = 0.232$ and $r = 0.4380, p = 0.205$). Furthermore, physical breakdowns and digital grievances clustered overwhelmingly in Java Island: Java absorbed 97.40% of kitchen shutdowns, 97.08% of pediatric hospitalizations, and 81.84% of localized citizen posts. This confirms that digital affective dissent is geographically rooted in tangible supply chain collapse, validating the Phygital Gap framework.</w:t>
      </w:r>
    </w:p>
    <w:p>
      <w:pPr>
        <w:spacing w:line="480" w:lineRule="auto" w:before="240" w:after="60"/>
        <w:ind w:firstLine="0"/>
        <w:jc w:val="left"/>
      </w:pPr>
      <w:r>
        <w:rPr>
          <w:rFonts w:ascii="Times New Roman" w:hAnsi="Times New Roman"/>
          <w:b/>
          <w:i w:val="0"/>
          <w:sz w:val="25"/>
        </w:rPr>
        <w:t>4.9 Aspect-Based Sentiment Analysis Granularity: Category-Level (ACSA) vs. Token-Span Level (ATE)</w:t>
      </w:r>
    </w:p>
    <w:p>
      <w:pPr>
        <w:spacing w:line="480" w:lineRule="auto" w:before="0" w:after="0"/>
        <w:ind w:firstLine="720"/>
      </w:pPr>
      <w:r>
        <w:rPr>
          <w:rFonts w:ascii="Times New Roman" w:hAnsi="Times New Roman"/>
          <w:b w:val="0"/>
          <w:i w:val="0"/>
          <w:sz w:val="24"/>
        </w:rPr>
        <w:t xml:space="preserve">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w:t>
      </w:r>
      <w:r>
        <w:rPr>
          <w:rFonts w:ascii="Times New Roman" w:hAnsi="Times New Roman"/>
          <w:b/>
          <w:i w:val="0"/>
          <w:sz w:val="24"/>
        </w:rPr>
        <w:t>42.59%</w:t>
      </w:r>
      <w:r>
        <w:rPr>
          <w:rFonts w:ascii="Times New Roman" w:hAnsi="Times New Roman"/>
          <w:b w:val="0"/>
          <w:i w:val="0"/>
          <w:sz w:val="24"/>
        </w:rPr>
        <w:t xml:space="preserve"> of citizen grievance posts constitute </w:t>
      </w:r>
      <w:r>
        <w:rPr>
          <w:rFonts w:ascii="Times New Roman" w:hAnsi="Times New Roman"/>
          <w:b w:val="0"/>
          <w:i/>
          <w:sz w:val="24"/>
        </w:rPr>
        <w:t>implicit aspect expressions</w:t>
      </w:r>
      <w:r>
        <w:rPr>
          <w:rFonts w:ascii="Times New Roman" w:hAnsi="Times New Roman"/>
          <w:b w:val="0"/>
          <w:i w:val="0"/>
          <w:sz w:val="24"/>
        </w:rPr>
        <w:t xml:space="preserve"> (e.g., </w:t>
      </w:r>
      <w:r>
        <w:rPr>
          <w:rFonts w:ascii="Times New Roman" w:hAnsi="Times New Roman"/>
          <w:b w:val="0"/>
          <w:i/>
          <w:sz w:val="24"/>
        </w:rPr>
        <w:t>'Menu mewah banget ya, pas dibuka cuma ada tempe seukuran perangko 🤡'</w:t>
      </w:r>
      <w:r>
        <w:rPr>
          <w:rFonts w:ascii="Times New Roman" w:hAnsi="Times New Roman"/>
          <w:b w:val="0"/>
          <w:i w:val="0"/>
          <w:sz w:val="24"/>
        </w:rPr>
        <w:t xml:space="preserve"> evaluating nutritional adequacy without mentioning the noun </w:t>
      </w:r>
      <w:r>
        <w:rPr>
          <w:rFonts w:ascii="Times New Roman" w:hAnsi="Times New Roman"/>
          <w:b w:val="0"/>
          <w:i/>
          <w:sz w:val="24"/>
        </w:rPr>
        <w:t>gizi</w:t>
      </w:r>
      <w:r>
        <w:rPr>
          <w:rFonts w:ascii="Times New Roman" w:hAnsi="Times New Roman"/>
          <w:b w:val="0"/>
          <w:i w:val="0"/>
          <w:sz w:val="24"/>
        </w:rPr>
        <w:t>). Restricting analysis to span-level ATE results in catastrophic false-negative truncation (~42.6% zero-span omission), discarding vital civic feedback.</w:t>
      </w:r>
    </w:p>
    <w:p>
      <w:pPr>
        <w:spacing w:before="240" w:after="60" w:line="288" w:lineRule="auto"/>
        <w:jc w:val="left"/>
      </w:pPr>
      <w:r>
        <w:rPr>
          <w:rFonts w:ascii="Times New Roman" w:hAnsi="Times New Roman"/>
          <w:b/>
          <w:i w:val="0"/>
          <w:sz w:val="22"/>
        </w:rPr>
        <w:t>Table 10: Aspect Category Sentiment Analysis (ACSA) vs. Token Span-Level (ATE) Benchmark (N = 2,282 Mentions)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936"/>
        <w:gridCol w:w="936"/>
        <w:gridCol w:w="936"/>
        <w:gridCol w:w="936"/>
        <w:gridCol w:w="936"/>
        <w:gridCol w:w="936"/>
        <w:gridCol w:w="936"/>
        <w:gridCol w:w="936"/>
        <w:gridCol w:w="936"/>
        <w:gridCol w:w="936"/>
      </w:tblGrid>
      <w:tr>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Aspect Dimension ($A_i$)</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ACSA Mentions ($N$,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Trust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Precision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Recall</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F1</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Explicit Spans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Implicit Expressions (%)</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Budget &amp; Procurement</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535 (23.44%)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77.01%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4.30%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61.20%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38.80%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Distribution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403 (17.66%)</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78.91%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5.21%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0.819</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58.70%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41.30%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Hygiene</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1,344 (58.90%)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71.13%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8.85%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0.915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55.40%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44.60%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Total / Macro</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Macro-Policy Aggregation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2,282 (100.0%)</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75.68%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6.12%</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0.849</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57.41%</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42.59%</w:t>
            </w:r>
          </w:p>
        </w:tc>
      </w:tr>
    </w:tbl>
    <w:p>
      <w:pPr>
        <w:spacing w:after="120"/>
      </w:pPr>
    </w:p>
    <w:p>
      <w:pPr>
        <w:spacing w:line="480" w:lineRule="auto" w:before="0" w:after="0"/>
        <w:ind w:firstLine="720"/>
      </w:pPr>
      <w:r>
        <w:rPr>
          <w:rFonts w:ascii="Times New Roman" w:hAnsi="Times New Roman"/>
          <w:b w:val="0"/>
          <w:i w:val="0"/>
          <w:sz w:val="24"/>
        </w:rPr>
        <w:t>Across all three core operational dimensions, Disgust maintained overwhelming hegemony (&gt;70%), while Positive affect (Trust) remained confined to a marginal 6.12% aggregate share. Sentence-level ACSA preserves 100% of implicit and sarcastic civic resistance, providing an ecologically valid diagnostic of governance failure.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three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Dredze, M., Paul, M. J., Bergsma, S., &amp; Tran, H. (2016). Carmen: A Twitter geolocation system with applications to public health. </w:t>
      </w:r>
      <w:r>
        <w:rPr>
          <w:rFonts w:ascii="Times New Roman" w:hAnsi="Times New Roman"/>
          <w:b w:val="0"/>
          <w:i/>
          <w:sz w:val="22"/>
        </w:rPr>
        <w:t>Journal of Artificial Intelligence Research</w:t>
      </w:r>
      <w:r>
        <w:rPr>
          <w:rFonts w:ascii="Times New Roman" w:hAnsi="Times New Roman"/>
          <w:b w:val="0"/>
          <w:i w:val="0"/>
          <w:sz w:val="22"/>
        </w:rPr>
        <w:t xml:space="preserve">, </w:t>
      </w:r>
      <w:r>
        <w:rPr>
          <w:rFonts w:ascii="Times New Roman" w:hAnsi="Times New Roman"/>
          <w:b w:val="0"/>
          <w:i/>
          <w:sz w:val="22"/>
        </w:rPr>
        <w:t>55</w:t>
      </w:r>
      <w:r>
        <w:rPr>
          <w:rFonts w:ascii="Times New Roman" w:hAnsi="Times New Roman"/>
          <w:b w:val="0"/>
          <w:i w:val="0"/>
          <w:sz w:val="22"/>
        </w:rPr>
        <w:t>, 871–897. https://doi.org/10.1613/jair.4998</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Gelernter, J., &amp; Balaji, S. (2013). An algorithm for localizing disaster events from social media. </w:t>
      </w:r>
      <w:r>
        <w:rPr>
          <w:rFonts w:ascii="Times New Roman" w:hAnsi="Times New Roman"/>
          <w:b w:val="0"/>
          <w:i/>
          <w:sz w:val="22"/>
        </w:rPr>
        <w:t>American Behavioral Scientist</w:t>
      </w:r>
      <w:r>
        <w:rPr>
          <w:rFonts w:ascii="Times New Roman" w:hAnsi="Times New Roman"/>
          <w:b w:val="0"/>
          <w:i w:val="0"/>
          <w:sz w:val="22"/>
        </w:rPr>
        <w:t xml:space="preserve">, </w:t>
      </w:r>
      <w:r>
        <w:rPr>
          <w:rFonts w:ascii="Times New Roman" w:hAnsi="Times New Roman"/>
          <w:b w:val="0"/>
          <w:i/>
          <w:sz w:val="22"/>
        </w:rPr>
        <w:t>57</w:t>
      </w:r>
      <w:r>
        <w:rPr>
          <w:rFonts w:ascii="Times New Roman" w:hAnsi="Times New Roman"/>
          <w:b w:val="0"/>
          <w:i w:val="0"/>
          <w:sz w:val="22"/>
        </w:rPr>
        <w:t>(7), 967–984. https://doi.org/10.1177/0002764213483944</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SemEval 2014</w:t>
      </w:r>
      <w:r>
        <w:rPr>
          <w:rFonts w:ascii="Times New Roman" w:hAnsi="Times New Roman"/>
          <w:b w:val="0"/>
          <w:i w:val="0"/>
          <w:sz w:val="22"/>
        </w:rPr>
        <w:t>, 27–35. https://doi.org/10.3115/v1/S14-2004</w:t>
      </w:r>
    </w:p>
    <w:p>
      <w:pPr>
        <w:spacing w:line="360" w:lineRule="auto" w:after="60"/>
        <w:ind w:left="720" w:hanging="720"/>
      </w:pPr>
      <w:r>
        <w:rPr>
          <w:rFonts w:ascii="Times New Roman" w:hAnsi="Times New Roman"/>
          <w:b w:val="0"/>
          <w:i w:val="0"/>
          <w:sz w:val="22"/>
        </w:rPr>
        <w:t xml:space="preserve">Pontiki, M., Galanis, D., Papageorgiou, H., Androutsopoulos, I., Manandhar, S., AL-Smadi, M., ... &amp; Hoste, V. (2016). SemEval-2016 Task 5: Aspect based sentiment analysis. </w:t>
      </w:r>
      <w:r>
        <w:rPr>
          <w:rFonts w:ascii="Times New Roman" w:hAnsi="Times New Roman"/>
          <w:b w:val="0"/>
          <w:i/>
          <w:sz w:val="22"/>
        </w:rPr>
        <w:t>Proceedings of SemEval 2016</w:t>
      </w:r>
      <w:r>
        <w:rPr>
          <w:rFonts w:ascii="Times New Roman" w:hAnsi="Times New Roman"/>
          <w:b w:val="0"/>
          <w:i w:val="0"/>
          <w:sz w:val="22"/>
        </w:rPr>
        <w:t>, 19–30. https://doi.org/10.18653/v1/S16-1002</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Schouten, K., &amp; Frasincar, F. (2016). Survey on aspect-level sentiment analysis.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28</w:t>
      </w:r>
      <w:r>
        <w:rPr>
          <w:rFonts w:ascii="Times New Roman" w:hAnsi="Times New Roman"/>
          <w:b w:val="0"/>
          <w:i w:val="0"/>
          <w:sz w:val="22"/>
        </w:rPr>
        <w:t>(3), 813–830. https://doi.org/10.1109/TKDE.2015.2485209</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 https://doi.org/10.18653/v1/N19-1035</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W., Li, X., Deng, Y., Bing, L., &amp; Lam, W. (2022). A survey on aspect-based sentiment analysis: Tasks, methods, and challenges.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35</w:t>
      </w:r>
      <w:r>
        <w:rPr>
          <w:rFonts w:ascii="Times New Roman" w:hAnsi="Times New Roman"/>
          <w:b w:val="0"/>
          <w:i w:val="0"/>
          <w:sz w:val="22"/>
        </w:rPr>
        <w:t>(11), 11019–11038. https://doi.org/10.1109/TKDE.2022.3230975</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