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sz w:val="21"/>
        </w:rPr>
        <w:t xml:space="preserve">Dose, exposure duration and schedule in the effects of CDK4/6 inhibitors on effector and regulatory T cells: protocol for a systematic review</w:t>
      </w:r>
    </w:p>
    <w:p>
      <w:pPr>
        <w:pStyle w:val="Heading1"/>
      </w:pPr>
      <w:r>
        <w:rPr>
          <w:rFonts w:ascii="Times New Roman" w:cs="Times New Roman" w:eastAsia="Times New Roman" w:hAnsi="Times New Roman"/>
          <w:sz w:val="21"/>
        </w:rPr>
        <w:t xml:space="preserve">Halaman Sampul 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Nama</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Dyah Wahyu Tanjung Sari</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NIM</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16112630009</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Program Studi</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Magister Ilmu Laboratorium Klinik</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Institusi</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Universitas Muhammadiyah Semarang</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Dosen Pengampu</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Bu Mudya (nama lengkap dan gelar perlu dikonfirmasi)</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Mata Kuliah</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Nama mata kuliah perlu dikonfirmasi</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Jenis Naskah</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Protokol Tinjauan Sistematis (Study Protocol)</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Tanggal</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20 Oktober 2026</w:t>
            </w:r>
          </w:p>
        </w:tc>
      </w:tr>
    </w:tbl>
    <w:p>
      <w:pPr>
        <w:spacing w:after="60"/>
      </w:pPr>
    </w:p>
    <w:p>
      <w:pPr>
        <w:spacing w:after="120" w:line="276"/>
      </w:pPr>
      <w:r>
        <w:rPr>
          <w:rFonts w:ascii="Times New Roman" w:cs="Times New Roman" w:eastAsia="Times New Roman" w:hAnsi="Times New Roman"/>
          <w:b/>
          <w:bCs/>
          <w:sz w:val="21"/>
        </w:rPr>
        <w:t xml:space="preserve">Judul:</w:t>
      </w:r>
      <w:r>
        <w:rPr>
          <w:rFonts w:ascii="Times New Roman" w:cs="Times New Roman" w:eastAsia="Times New Roman" w:hAnsi="Times New Roman"/>
          <w:sz w:val="21"/>
        </w:rPr>
        <w:t xml:space="preserve"> Dose, exposure duration and schedule in the effects of CDK4/6 inhibitors on effector and regulatory T cells: protocol for a systematic review</w:t>
      </w:r>
    </w:p>
    <w:p>
      <w:pPr>
        <w:spacing w:after="120" w:line="276"/>
      </w:pPr>
      <w:r>
        <w:rPr>
          <w:rFonts w:ascii="Times New Roman" w:cs="Times New Roman" w:eastAsia="Times New Roman" w:hAnsi="Times New Roman"/>
          <w:sz w:val="21"/>
        </w:rPr>
        <w:t xml:space="preserve">Halaman ini untuk pengumpulan tugas. Kalau naskahnya nanti dikirim ke jurnal, hapus halaman ini dan halaman catatan di bagian akhir. NIM, mata kuliah dan nama dosen tidak masuk ke berkas naskah; halaman judul di bawah sudah memuat yang diperlukan.</w:t>
      </w:r>
    </w:p>
    <w:p>
      <w:r>
        <w:rPr>
          <w:rFonts w:ascii="Times New Roman" w:hAnsi="Times New Roman"/>
          <w:sz w:val="21"/>
        </w:rPr>
        <w:br w:type="page"/>
      </w:r>
    </w:p>
    <w:p>
      <w:pPr>
        <w:pStyle w:val="Heading1"/>
      </w:pPr>
      <w:r>
        <w:rPr>
          <w:rFonts w:ascii="Times New Roman" w:cs="Times New Roman" w:eastAsia="Times New Roman" w:hAnsi="Times New Roman"/>
          <w:sz w:val="21"/>
        </w:rPr>
        <w:t xml:space="preserve">Title page</w:t>
      </w:r>
    </w:p>
    <w:p>
      <w:pPr>
        <w:spacing w:after="120" w:line="276"/>
      </w:pPr>
      <w:r>
        <w:rPr>
          <w:rFonts w:ascii="Times New Roman" w:cs="Times New Roman" w:eastAsia="Times New Roman" w:hAnsi="Times New Roman"/>
          <w:b/>
          <w:bCs/>
          <w:sz w:val="21"/>
        </w:rPr>
        <w:t xml:space="preserve">Title:</w:t>
      </w:r>
      <w:r>
        <w:rPr>
          <w:rFonts w:ascii="Times New Roman" w:cs="Times New Roman" w:eastAsia="Times New Roman" w:hAnsi="Times New Roman"/>
          <w:sz w:val="21"/>
        </w:rPr>
        <w:t xml:space="preserve"> Dose, exposure duration and schedule in the effects of CDK4/6 inhibitors on effector and regulatory T cells: protocol for a systematic review</w:t>
      </w:r>
    </w:p>
    <w:p>
      <w:pPr>
        <w:spacing w:after="120" w:line="276"/>
      </w:pPr>
      <w:r>
        <w:rPr>
          <w:rFonts w:ascii="Times New Roman" w:cs="Times New Roman" w:eastAsia="Times New Roman" w:hAnsi="Times New Roman"/>
          <w:b/>
          <w:bCs/>
          <w:sz w:val="21"/>
        </w:rPr>
        <w:t xml:space="preserve">Article type:</w:t>
      </w:r>
      <w:r>
        <w:rPr>
          <w:rFonts w:ascii="Times New Roman" w:cs="Times New Roman" w:eastAsia="Times New Roman" w:hAnsi="Times New Roman"/>
          <w:sz w:val="21"/>
        </w:rPr>
        <w:t xml:space="preserve"> Study Protocol (systematic review, with planned bibliometric mapping)</w:t>
      </w:r>
    </w:p>
    <w:p>
      <w:pPr>
        <w:spacing w:after="120" w:line="276"/>
      </w:pPr>
      <w:r>
        <w:rPr>
          <w:rFonts w:ascii="Times New Roman" w:cs="Times New Roman" w:eastAsia="Times New Roman" w:hAnsi="Times New Roman"/>
          <w:b/>
          <w:bCs/>
          <w:sz w:val="21"/>
        </w:rPr>
        <w:t xml:space="preserve">Running head:</w:t>
      </w:r>
      <w:r>
        <w:rPr>
          <w:rFonts w:ascii="Times New Roman" w:cs="Times New Roman" w:eastAsia="Times New Roman" w:hAnsi="Times New Roman"/>
          <w:sz w:val="21"/>
        </w:rPr>
        <w:t xml:space="preserve"> CDK4/6 inhibitors and T-cell subsets: review protocol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Field</w:t>
            </w:r>
          </w:p>
        </w:tc>
        <w:tc>
          <w:tcPr>
            <w:tcW w:type="dxa" w:w="69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Entry</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1</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Dyah Wahyu Tanjung Sari, Program Studi Magister Ilmu Laboratorium Klinik, Universitas Muhammadiyah Semarang, Semarang, Indonesia. ORCID belum dicantumkan</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2</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No additional author specified in the current draft</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3</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No additional author specified in the current draft</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Corresponding author</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Dyah Wahyu Tanjung Sari; dyah.wts@gmail.com (postal address to be confirmed)</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Word count, main text</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approx. 2,900 (Introduction to Conclusions; excludes abstract, tables, figures, references)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Abstract word count</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199</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Tables / figures</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10 tables; Figures 1–2 are conceptual; Figures 3–4 are planned templates; Figure 5 will be generated after the search</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Supplementary files</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 (PRISMA 2020 checklist; full search strategies)</w:t>
            </w:r>
          </w:p>
        </w:tc>
      </w:tr>
      <w:tr>
        <w:trPr>
          <w:cantSplit/>
        </w:trPr>
        <w:tc>
          <w:tcPr>
            <w:tcW w:type="dxa" w:w="24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Registration</w:t>
            </w:r>
          </w:p>
        </w:tc>
        <w:tc>
          <w:tcPr>
            <w:tcW w:type="dxa" w:w="69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registered; registration status to be updated before data extraction</w:t>
            </w:r>
          </w:p>
        </w:tc>
      </w:tr>
    </w:tbl>
    <w:p>
      <w:pPr>
        <w:pStyle w:val="Heading1"/>
      </w:pPr>
      <w:r>
        <w:rPr>
          <w:rFonts w:ascii="Times New Roman" w:cs="Times New Roman" w:eastAsia="Times New Roman" w:hAnsi="Times New Roman"/>
          <w:sz w:val="21"/>
        </w:rPr>
        <w:t xml:space="preserve">Abstract</w:t>
      </w:r>
    </w:p>
    <w:p>
      <w:pPr>
        <w:spacing w:after="100" w:line="276"/>
        <w:jc w:val="both"/>
      </w:pPr>
      <w:r>
        <w:rPr>
          <w:rFonts w:ascii="Times New Roman" w:cs="Times New Roman" w:eastAsia="Times New Roman" w:hAnsi="Times New Roman"/>
          <w:b/>
          <w:bCs/>
          <w:sz w:val="21"/>
        </w:rPr>
        <w:t xml:space="preserve">Background:</w:t>
      </w:r>
      <w:r>
        <w:rPr>
          <w:rFonts w:ascii="Times New Roman" w:cs="Times New Roman" w:eastAsia="Times New Roman" w:hAnsi="Times New Roman"/>
          <w:sz w:val="21"/>
        </w:rPr>
        <w:t xml:space="preserve"> CDK4/6 inhibitors are standard treatment in hormone receptor-positive, HER2-negative breast cancer and are being combined with immune checkpoint blockade. Preclinical work suggests they suppress regulatory T-cell proliferation but also restrain effector T-cell proliferation, so net benefit may depend on concentration, exposure duration and schedule.</w:t>
      </w:r>
    </w:p>
    <w:p>
      <w:pPr>
        <w:spacing w:after="100" w:line="276"/>
        <w:jc w:val="both"/>
      </w:pPr>
      <w:r>
        <w:rPr>
          <w:rFonts w:ascii="Times New Roman" w:cs="Times New Roman" w:eastAsia="Times New Roman" w:hAnsi="Times New Roman"/>
          <w:b/>
          <w:bCs/>
          <w:sz w:val="21"/>
        </w:rPr>
        <w:t xml:space="preserve">Objectives:</w:t>
      </w:r>
      <w:r>
        <w:rPr>
          <w:rFonts w:ascii="Times New Roman" w:cs="Times New Roman" w:eastAsia="Times New Roman" w:hAnsi="Times New Roman"/>
          <w:sz w:val="21"/>
        </w:rPr>
        <w:t xml:space="preserve"> To determine whether reported effects of palbociclib, ribociclib and abemaciclib differ between antitumour effector T cells and Foxp3+ regulatory T cells, and whether any difference is consistent across dose, duration, schedule and experimental model.</w:t>
      </w:r>
    </w:p>
    <w:p>
      <w:pPr>
        <w:spacing w:after="100" w:line="276"/>
        <w:jc w:val="both"/>
      </w:pPr>
      <w:r>
        <w:rPr>
          <w:rFonts w:ascii="Times New Roman" w:cs="Times New Roman" w:eastAsia="Times New Roman" w:hAnsi="Times New Roman"/>
          <w:b/>
          <w:bCs/>
          <w:sz w:val="21"/>
        </w:rPr>
        <w:t xml:space="preserve">Methods and analysis:</w:t>
      </w:r>
      <w:r>
        <w:rPr>
          <w:rFonts w:ascii="Times New Roman" w:cs="Times New Roman" w:eastAsia="Times New Roman" w:hAnsi="Times New Roman"/>
          <w:sz w:val="21"/>
        </w:rPr>
        <w:t xml:space="preserve"> We will search PubMed/MEDLINE, Embase, Scopus, Web of Science and Cochrane CENTRAL, with trial registries and preprint servers, without language restriction. Two reviewers will screen and extract independently. Risk of bias will be assessed with SYRCLE, RoB 2, ROBINS-I and pre-specified in vitro domains. Doses will be standardised against clinically achievable exposure. Synthesis will be narrative (SWiM) with harvest plots; a VOSviewer map will describe the field.</w:t>
      </w:r>
    </w:p>
    <w:p>
      <w:pPr>
        <w:spacing w:after="100" w:line="276"/>
        <w:jc w:val="both"/>
      </w:pPr>
      <w:r>
        <w:rPr>
          <w:rFonts w:ascii="Times New Roman" w:cs="Times New Roman" w:eastAsia="Times New Roman" w:hAnsi="Times New Roman"/>
          <w:b/>
          <w:bCs/>
          <w:sz w:val="21"/>
        </w:rPr>
        <w:t xml:space="preserve">Ethics and registration:</w:t>
      </w:r>
      <w:r>
        <w:rPr>
          <w:rFonts w:ascii="Times New Roman" w:cs="Times New Roman" w:eastAsia="Times New Roman" w:hAnsi="Times New Roman"/>
          <w:sz w:val="21"/>
        </w:rPr>
        <w:t xml:space="preserve"> Ethical approval is not required. This protocol has not yet been registered; registration status will be updated before data extraction.</w:t>
      </w:r>
      <w:r>
        <w:rPr>
          <w:rFonts w:ascii="Times New Roman" w:cs="Times New Roman" w:eastAsia="Times New Roman" w:hAnsi="Times New Roman"/>
          <w:sz w:val="21"/>
        </w:rPr>
      </w:r>
    </w:p>
    <w:p>
      <w:pPr>
        <w:spacing w:after="100" w:line="276"/>
        <w:jc w:val="both"/>
      </w:pPr>
      <w:r>
        <w:rPr>
          <w:rFonts w:ascii="Times New Roman" w:cs="Times New Roman" w:eastAsia="Times New Roman" w:hAnsi="Times New Roman"/>
          <w:b/>
          <w:bCs/>
          <w:sz w:val="21"/>
        </w:rPr>
        <w:t xml:space="preserve">Discussion:</w:t>
      </w:r>
      <w:r>
        <w:rPr>
          <w:rFonts w:ascii="Times New Roman" w:cs="Times New Roman" w:eastAsia="Times New Roman" w:hAnsi="Times New Roman"/>
          <w:sz w:val="21"/>
        </w:rPr>
        <w:t xml:space="preserve"> The review will test whether a therapeutic window separating effector from regulatory T-cell effects is supported, informing how CDK4/6 inhibitors are scheduled alongside immunotherapy.</w:t>
      </w:r>
    </w:p>
    <w:p>
      <w:pPr>
        <w:spacing w:before="100"/>
      </w:pPr>
      <w:r>
        <w:rPr>
          <w:rFonts w:ascii="Times New Roman" w:cs="Times New Roman" w:eastAsia="Times New Roman" w:hAnsi="Times New Roman"/>
          <w:b/>
          <w:bCs/>
          <w:sz w:val="21"/>
        </w:rPr>
        <w:t xml:space="preserve">Keywords: </w:t>
      </w:r>
      <w:r>
        <w:rPr>
          <w:rFonts w:ascii="Times New Roman" w:cs="Times New Roman" w:eastAsia="Times New Roman" w:hAnsi="Times New Roman"/>
          <w:sz w:val="21"/>
        </w:rPr>
        <w:t xml:space="preserve">CDK4/6 inhibitors; regulatory T cells; CD8-positive T-lymphocytes; tumour microenvironment; systematic review protocol</w:t>
      </w:r>
    </w:p>
    <w:p>
      <w:pPr>
        <w:pStyle w:val="Heading1"/>
      </w:pPr>
      <w:r>
        <w:rPr>
          <w:rFonts w:ascii="Times New Roman" w:cs="Times New Roman" w:eastAsia="Times New Roman" w:hAnsi="Times New Roman"/>
          <w:sz w:val="21"/>
        </w:rPr>
        <w:t xml:space="preserve">Introduction</w:t>
      </w:r>
    </w:p>
    <w:p>
      <w:pPr>
        <w:spacing w:after="140" w:line="300"/>
        <w:jc w:val="both"/>
      </w:pPr>
      <w:r>
        <w:rPr>
          <w:rFonts w:ascii="Times New Roman" w:cs="Times New Roman" w:eastAsia="Times New Roman" w:hAnsi="Times New Roman"/>
          <w:sz w:val="21"/>
        </w:rPr>
        <w:t xml:space="preserve">Selective inhibitors of cyclin-dependent kinases 4 and 6 (palbociclib, ribociclib and abemaciclib) are established components of treatment for hormone receptor-positive, HER2-negative breast cancer and are under evaluation in other malignancies. Their intended mechanism is cytostatic: inhibition of retinoblastoma protein phosphorylation arrests tumour cells in G1.</w:t>
      </w:r>
      <w:r>
        <w:rPr>
          <w:rFonts w:ascii="Times New Roman" w:cs="Times New Roman" w:eastAsia="Times New Roman" w:hAnsi="Times New Roman"/>
          <w:sz w:val="21"/>
          <w:vertAlign w:val="superscript"/>
        </w:rPr>
        <w:t xml:space="preserve">1</w:t>
      </w:r>
      <w:r>
        <w:rPr>
          <w:rFonts w:ascii="Times New Roman" w:cs="Times New Roman" w:eastAsia="Times New Roman" w:hAnsi="Times New Roman"/>
          <w:sz w:val="21"/>
        </w:rPr>
        <w:t xml:space="preserve"> Attention has since shifted to a second property. In murine models, CDK4/6 inhibition increased tumour cell antigen presentation through derepression of endogenous retroviral elements and induction of type III interferons, and suppressed the proliferation of regulatory T cells, both effects being associated with reduced activity of the E2F target DNA methyltransferase 1.</w:t>
      </w:r>
      <w:r>
        <w:rPr>
          <w:rFonts w:ascii="Times New Roman" w:cs="Times New Roman" w:eastAsia="Times New Roman" w:hAnsi="Times New Roman"/>
          <w:sz w:val="21"/>
          <w:vertAlign w:val="superscript"/>
        </w:rPr>
        <w:t xml:space="preserve">1</w:t>
      </w:r>
      <w:r>
        <w:rPr>
          <w:rFonts w:ascii="Times New Roman" w:cs="Times New Roman" w:eastAsia="Times New Roman" w:hAnsi="Times New Roman"/>
          <w:sz w:val="21"/>
        </w:rPr>
        <w:t xml:space="preserve"> Combination with immune checkpoint blockade produced greater tumour control than either agent alone.</w:t>
      </w:r>
      <w:r>
        <w:rPr>
          <w:rFonts w:ascii="Times New Roman" w:cs="Times New Roman" w:eastAsia="Times New Roman" w:hAnsi="Times New Roman"/>
          <w:sz w:val="21"/>
          <w:vertAlign w:val="superscript"/>
        </w:rPr>
        <w:t xml:space="preserve">1,2</w:t>
      </w:r>
      <w:r>
        <w:rPr>
          <w:rFonts w:ascii="Times New Roman" w:cs="Times New Roman" w:eastAsia="Times New Roman" w:hAnsi="Times New Roman"/>
          <w:sz w:val="21"/>
        </w:rPr>
        <w:t xml:space="preserve"> A substantial programme of combination trials has followed.</w:t>
      </w:r>
    </w:p>
    <w:p>
      <w:pPr>
        <w:spacing w:after="140" w:line="300"/>
        <w:jc w:val="both"/>
      </w:pPr>
      <w:r>
        <w:rPr>
          <w:rFonts w:ascii="Times New Roman" w:cs="Times New Roman" w:eastAsia="Times New Roman" w:hAnsi="Times New Roman"/>
          <w:sz w:val="21"/>
        </w:rPr>
        <w:t xml:space="preserve">The rationale for those combinations rests on an assumption that has not been examined systematically: that CDK4/6 inhibition acts differently on antitumour effector T cells than on regulatory T cells. The assumption is plausible, but the evidence is more equivocal than the combination literature generally acknowledges. CDK4 and CDK6 are required for lymphocyte proliferation as much as for tumour cell proliferation, and the same pharmacology that arrests a tumour cell arrests a dividing T cell. Deng and colleagues reported that palbociclib and abemaciclib enhanced T-cell activation through derepression of NFAT family transcription factors and increased tumour infiltration, while simultaneously reducing T-cell proliferation, and that antigen-experienced T cells were more sensitive to CDK4/6 inhibition than naive cells.</w:t>
      </w:r>
      <w:r>
        <w:rPr>
          <w:rFonts w:ascii="Times New Roman" w:cs="Times New Roman" w:eastAsia="Times New Roman" w:hAnsi="Times New Roman"/>
          <w:sz w:val="21"/>
          <w:vertAlign w:val="superscript"/>
        </w:rPr>
        <w:t xml:space="preserve">2</w:t>
      </w:r>
      <w:r>
        <w:rPr>
          <w:rFonts w:ascii="Times New Roman" w:cs="Times New Roman" w:eastAsia="Times New Roman" w:hAnsi="Times New Roman"/>
          <w:sz w:val="21"/>
        </w:rPr>
        <w:t xml:space="preserve"> Schaer and colleagues described an abemaciclib-induced T cell-inflamed microenvironment with a reduced intratumoural regulatory to CD8+ ratio.</w:t>
      </w:r>
      <w:r>
        <w:rPr>
          <w:rFonts w:ascii="Times New Roman" w:cs="Times New Roman" w:eastAsia="Times New Roman" w:hAnsi="Times New Roman"/>
          <w:sz w:val="21"/>
          <w:vertAlign w:val="superscript"/>
        </w:rPr>
        <w:t xml:space="preserve">3</w:t>
      </w:r>
      <w:r>
        <w:rPr>
          <w:rFonts w:ascii="Times New Roman" w:cs="Times New Roman" w:eastAsia="Times New Roman" w:hAnsi="Times New Roman"/>
          <w:sz w:val="21"/>
        </w:rPr>
        <w:t xml:space="preserve"> Two subsequent studies reported that exposure at the time of priming skews newly activated CD8+ T cells toward a memory phenotype, in mice and in patients receiving treatment.</w:t>
      </w:r>
      <w:r>
        <w:rPr>
          <w:rFonts w:ascii="Times New Roman" w:cs="Times New Roman" w:eastAsia="Times New Roman" w:hAnsi="Times New Roman"/>
          <w:sz w:val="21"/>
          <w:vertAlign w:val="superscript"/>
        </w:rPr>
        <w:t xml:space="preserve">4,5</w:t>
      </w:r>
      <w:r>
        <w:rPr>
          <w:rFonts w:ascii="Times New Roman" w:cs="Times New Roman" w:eastAsia="Times New Roman" w:hAnsi="Times New Roman"/>
          <w:sz w:val="21"/>
        </w:rPr>
        <w:t xml:space="preserve"> More recent work has continued to examine how proliferation and cytotoxic function are affected when activated T cells are exposed to palbociclib,</w:t>
      </w:r>
      <w:r>
        <w:rPr>
          <w:rFonts w:ascii="Times New Roman" w:cs="Times New Roman" w:eastAsia="Times New Roman" w:hAnsi="Times New Roman"/>
          <w:sz w:val="21"/>
          <w:vertAlign w:val="superscript"/>
        </w:rPr>
        <w:t xml:space="preserve">6</w:t>
      </w:r>
      <w:r>
        <w:rPr>
          <w:rFonts w:ascii="Times New Roman" w:cs="Times New Roman" w:eastAsia="Times New Roman" w:hAnsi="Times New Roman"/>
          <w:sz w:val="21"/>
        </w:rPr>
        <w:t xml:space="preserve"> and how CDK4/6 inhibition can be paired with checkpoint blockade and cellular approaches that engage CD4+ T-cell responses.</w:t>
      </w:r>
      <w:r>
        <w:rPr>
          <w:rFonts w:ascii="Times New Roman" w:cs="Times New Roman" w:eastAsia="Times New Roman" w:hAnsi="Times New Roman"/>
          <w:sz w:val="21"/>
          <w:vertAlign w:val="superscript"/>
        </w:rPr>
        <w:t xml:space="preserve">7</w:t>
      </w:r>
    </w:p>
    <w:p>
      <w:pPr>
        <w:spacing w:after="140" w:line="300"/>
        <w:jc w:val="both"/>
      </w:pPr>
      <w:r>
        <w:rPr>
          <w:rFonts w:ascii="Times New Roman" w:cs="Times New Roman" w:eastAsia="Times New Roman" w:hAnsi="Times New Roman"/>
          <w:sz w:val="21"/>
        </w:rPr>
        <w:t xml:space="preserve">Taken together, these findings describe effects that are not uniformly favourable, that vary with the stage of T-cell activation at which exposure occurs, and that may depend on how long exposure is sustained. Whether a net benefit is obtained therefore appears to be a question of dose and timing rather than of agent. This is not an abstract concern. Narrative reviews of this literature note that simultaneous administration of CDK4/6 inhibitors with checkpoint blockade has been associated with hepatotoxicity and pneumonitis, and that low-dose and intermittent or pretreatment schedules have been proposed to preserve the immunological benefit while limiting that toxicity.</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Dose and schedule are therefore immunological and safety variables, not merely pharmacological ones.</w:t>
      </w:r>
    </w:p>
    <w:p>
      <w:pPr>
        <w:spacing w:after="140" w:line="300"/>
        <w:jc w:val="both"/>
      </w:pPr>
      <w:r>
        <w:rPr>
          <w:rFonts w:ascii="Times New Roman" w:cs="Times New Roman" w:eastAsia="Times New Roman" w:hAnsi="Times New Roman"/>
          <w:sz w:val="21"/>
        </w:rPr>
        <w:t xml:space="preserve">Table 1 summarises the five anchor studies and two later studies as they are described above, and Figure 1 shows the framework that structures the review question.</w:t>
      </w:r>
    </w:p>
    <w:p>
      <w:pPr>
        <w:keepNext/>
        <w:spacing w:after="80" w:before="200"/>
      </w:pPr>
      <w:r>
        <w:rPr>
          <w:rFonts w:ascii="Times New Roman" w:cs="Times New Roman" w:eastAsia="Times New Roman" w:hAnsi="Times New Roman"/>
          <w:b/>
          <w:bCs/>
          <w:sz w:val="21"/>
          <w:szCs w:val="21"/>
        </w:rPr>
        <w:t xml:space="preserve">Table 1.</w:t>
      </w:r>
      <w:r>
        <w:rPr>
          <w:rFonts w:ascii="Times New Roman" w:cs="Times New Roman" w:eastAsia="Times New Roman" w:hAnsi="Times New Roman"/>
          <w:sz w:val="21"/>
          <w:szCs w:val="21"/>
        </w:rPr>
        <w:t xml:space="preserve"> Studies underpinning the review question, as summarised in this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3260"/>
        <w:gridCol w:w="2500"/>
      </w:tblGrid>
      <w:tr>
        <w:trPr>
          <w:cantSplit/>
          <w:tblHeader/>
        </w:trPr>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21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Agent</w:t>
            </w:r>
          </w:p>
        </w:tc>
        <w:tc>
          <w:tcPr>
            <w:tcW w:type="dxa" w:w="32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Finding relevant to the question</w:t>
            </w:r>
          </w:p>
        </w:tc>
        <w:tc>
          <w:tcPr>
            <w:tcW w:type="dxa" w:w="2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Why it matters for dose and timing</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Goel et al.</w:t>
            </w:r>
            <w:r>
              <w:rPr>
                <w:rFonts w:ascii="Times New Roman" w:cs="Times New Roman" w:eastAsia="Times New Roman" w:hAnsi="Times New Roman"/>
                <w:b w:val="false"/>
                <w:bCs w:val="false"/>
                <w:sz w:val="18"/>
                <w:szCs w:val="18"/>
                <w:vertAlign w:val="superscript"/>
              </w:rPr>
              <w:t xml:space="preserve">1</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inhibitors</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Murine models: increased tumour antigen presentation; suppressed regulatory T-cell proliferation; greater control with checkpoint blockade</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Treg effect reported; effector-cell exposure dependence not summarised here</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Deng et al.</w:t>
            </w:r>
            <w:r>
              <w:rPr>
                <w:rFonts w:ascii="Times New Roman" w:cs="Times New Roman" w:eastAsia="Times New Roman" w:hAnsi="Times New Roman"/>
                <w:b w:val="false"/>
                <w:bCs w:val="false"/>
                <w:sz w:val="18"/>
                <w:szCs w:val="18"/>
                <w:vertAlign w:val="superscript"/>
              </w:rPr>
              <w:t xml:space="preserve">2</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Palbociclib, abemaciclib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Enhanced T-cell activation via NFAT derepression and tumour infiltration, with reduced T-cell proliferation</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Antigen-experienced cells more sensitive than naive cells</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Schaer et al.</w:t>
            </w:r>
            <w:r>
              <w:rPr>
                <w:rFonts w:ascii="Times New Roman" w:cs="Times New Roman" w:eastAsia="Times New Roman" w:hAnsi="Times New Roman"/>
                <w:b w:val="false"/>
                <w:bCs w:val="false"/>
                <w:sz w:val="18"/>
                <w:szCs w:val="18"/>
                <w:vertAlign w:val="superscript"/>
              </w:rPr>
              <w:t xml:space="preserve">3</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Abemaciclib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 cell-inflamed microenvironment; reduced intratumoural regulatory to CD8+ ratio</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Subset ratio changes with treatment</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Heckler et al.</w:t>
            </w:r>
            <w:r>
              <w:rPr>
                <w:rFonts w:ascii="Times New Roman" w:cs="Times New Roman" w:eastAsia="Times New Roman" w:hAnsi="Times New Roman"/>
                <w:b w:val="false"/>
                <w:bCs w:val="false"/>
                <w:sz w:val="18"/>
                <w:szCs w:val="18"/>
                <w:vertAlign w:val="superscript"/>
              </w:rPr>
              <w:t xml:space="preserve">4</w:t>
            </w:r>
            <w:r>
              <w:rPr>
                <w:rFonts w:ascii="Times New Roman" w:cs="Times New Roman" w:eastAsia="Times New Roman" w:hAnsi="Times New Roman"/>
                <w:b w:val="false"/>
                <w:bCs w:val="false"/>
                <w:sz w:val="18"/>
                <w:szCs w:val="18"/>
              </w:rPr>
              <w:t xml:space="preserve">; Lelliott et al.</w:t>
            </w:r>
            <w:r>
              <w:rPr>
                <w:rFonts w:ascii="Times New Roman" w:cs="Times New Roman" w:eastAsia="Times New Roman" w:hAnsi="Times New Roman"/>
                <w:b w:val="false"/>
                <w:bCs w:val="false"/>
                <w:sz w:val="18"/>
                <w:szCs w:val="18"/>
                <w:vertAlign w:val="superscript"/>
              </w:rPr>
              <w:t xml:space="preserve">5</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inhibition</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Exposure at priming skews new CD8+ cells toward memory, in mice and in treated patients</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Timing relative to activation</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Arndt et al.</w:t>
            </w:r>
            <w:r>
              <w:rPr>
                <w:rFonts w:ascii="Times New Roman" w:cs="Times New Roman" w:eastAsia="Times New Roman" w:hAnsi="Times New Roman"/>
                <w:b w:val="false"/>
                <w:bCs w:val="false"/>
                <w:sz w:val="18"/>
                <w:szCs w:val="18"/>
                <w:vertAlign w:val="superscript"/>
              </w:rPr>
              <w:t xml:space="preserve">6</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Palbociclib</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Impaired proliferation of activated T cells with retained cytotoxic efficacy</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Concentration and exposure window</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Kumar et al.</w:t>
            </w:r>
            <w:r>
              <w:rPr>
                <w:rFonts w:ascii="Times New Roman" w:cs="Times New Roman" w:eastAsia="Times New Roman" w:hAnsi="Times New Roman"/>
                <w:b w:val="false"/>
                <w:bCs w:val="false"/>
                <w:sz w:val="18"/>
                <w:szCs w:val="18"/>
                <w:vertAlign w:val="superscript"/>
              </w:rPr>
              <w:t xml:space="preserve">7</w:t>
            </w:r>
          </w:p>
        </w:tc>
        <w:tc>
          <w:tcPr>
            <w:tcW w:type="dxa" w:w="21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CDK4/6 inhibition with checkpoint blockade</w:t>
            </w:r>
          </w:p>
        </w:tc>
        <w:tc>
          <w:tcPr>
            <w:tcW w:type="dxa" w:w="3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Combination with dendritic cell therapy engaged systemic CD4 T-cell responses</w:t>
            </w:r>
          </w:p>
        </w:tc>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Combination context</w:t>
            </w:r>
          </w:p>
        </w:tc>
      </w:tr>
    </w:tbl>
    <w:p>
      <w:pPr>
        <w:spacing w:after="60"/>
      </w:pPr>
    </w:p>
    <w:p>
      <w:pPr>
        <w:keepNext/>
        <w:spacing w:after="60" w:before="120"/>
        <w:jc w:val="center"/>
      </w:pPr>
      <w:r>
        <w:rPr>
          <w:rFonts w:ascii="Times New Roman" w:hAnsi="Times New Roman"/>
          <w:sz w:val="21"/>
        </w:rPr>
        <w:drawing>
          <wp:inline distT="0" distB="0" distL="0" distR="0">
            <wp:extent cx="4286250" cy="2466975"/>
            <wp:effectExtent t="0" r="0" b="0" l="0"/>
            <wp:docPr id="1" name="Conceptual framework: exposure variables act on effector and regulatory T cells, which determine outcomes" descr="Conceptual framework: exposure variables act on effector and regulatory T cells, which determine outcomes" title="Conceptual framework: exposure variables act on effector and regulatory T cells, which determine outco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2466975"/>
                    </a:xfrm>
                    <a:prstGeom prst="rect">
                      <a:avLst/>
                    </a:prstGeom>
                  </pic:spPr>
                </pic:pic>
              </a:graphicData>
            </a:graphic>
          </wp:inline>
        </w:drawing>
      </w:r>
    </w:p>
    <w:p>
      <w:pPr>
        <w:spacing w:after="200" w:before="60"/>
      </w:pPr>
      <w:r>
        <w:rPr>
          <w:rFonts w:ascii="Times New Roman" w:cs="Times New Roman" w:eastAsia="Times New Roman" w:hAnsi="Times New Roman"/>
          <w:b/>
          <w:bCs/>
          <w:i/>
          <w:iCs/>
          <w:sz w:val="18"/>
          <w:szCs w:val="18"/>
        </w:rPr>
        <w:t xml:space="preserve">Figure 1.</w:t>
      </w:r>
      <w:r>
        <w:rPr>
          <w:rFonts w:ascii="Times New Roman" w:cs="Times New Roman" w:eastAsia="Times New Roman" w:hAnsi="Times New Roman"/>
          <w:i/>
          <w:iCs/>
          <w:sz w:val="18"/>
          <w:szCs w:val="18"/>
        </w:rPr>
        <w:t xml:space="preserve"> Conceptual framework of the review. Exposure variables are examined separately for effector and regulatory T cells, with cell source, activation protocol, tumour model and co-administered agents treated as moderators.</w:t>
      </w:r>
    </w:p>
    <w:p>
      <w:pPr>
        <w:spacing w:after="140" w:line="300"/>
        <w:jc w:val="both"/>
      </w:pPr>
      <w:r>
        <w:rPr>
          <w:rFonts w:ascii="Times New Roman" w:hAnsi="Times New Roman"/>
          <w:sz w:val="21"/>
        </w:rPr>
        <w:t>Existing reviews have surveyed the immunomodulatory properties of CDK4/6 inhibitors across immune cell populations.</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The scope of additional reviews will be documented after the planned scoping search. To our knowledge, the specific combination of concentration or dose, exposure duration, schedule, and outcomes separated by T-cell subtype has not yet been systematically synthesised. This novelty statement is provisional and will be checked against PubMed and PROSPERO immediately before registration.</w:t>
      </w:r>
    </w:p>
    <w:p>
      <w:pPr>
        <w:spacing w:after="140" w:line="300"/>
        <w:jc w:val="both"/>
      </w:pPr>
      <w:r>
        <w:rPr>
          <w:rFonts w:ascii="Times New Roman" w:cs="Times New Roman" w:eastAsia="Times New Roman" w:hAnsi="Times New Roman"/>
          <w:sz w:val="21"/>
        </w:rPr>
        <w:t xml:space="preserve">We therefore present the protocol for a systematic review addressing the following question: in studies reporting effects of CDK4/6 inhibitors on antitumour effector T cells or Foxp3+ regulatory T cells, how do concentration or dose, exposure duration and schedule relate to functional outcomes, and are the reported differences between these cell populations consistent across experimental models? A secondary aim is to characterise the extent to which in vitro findings have been corroborated in vivo and clinically. A bibliometric map of the field will accompany the review to show how this literature is organised and where it is thin.</w:t>
      </w:r>
    </w:p>
    <w:p>
      <w:pPr>
        <w:pStyle w:val="Heading1"/>
      </w:pPr>
      <w:r>
        <w:rPr>
          <w:rFonts w:ascii="Times New Roman" w:cs="Times New Roman" w:eastAsia="Times New Roman" w:hAnsi="Times New Roman"/>
          <w:sz w:val="21"/>
        </w:rPr>
        <w:t xml:space="preserve">Method</w:t>
      </w:r>
    </w:p>
    <w:p>
      <w:pPr>
        <w:spacing w:after="140" w:line="300"/>
        <w:jc w:val="both"/>
      </w:pPr>
      <w:r>
        <w:rPr>
          <w:rFonts w:ascii="Times New Roman" w:cs="Times New Roman" w:eastAsia="Times New Roman" w:hAnsi="Times New Roman"/>
          <w:sz w:val="21"/>
        </w:rPr>
        <w:t xml:space="preserve">The review follows the sequence shown in Figure 2. All eligibility rules, outcome definitions, standardisation rules, risk-of-bias domains, synthesis bands and bibliometric settings are fixed in this protocol before any search is run, and later changes will be documented as amendments.</w:t>
      </w:r>
    </w:p>
    <w:p>
      <w:pPr>
        <w:keepNext/>
        <w:spacing w:after="60" w:before="120"/>
        <w:jc w:val="center"/>
      </w:pPr>
      <w:r>
        <w:rPr>
          <w:rFonts w:ascii="Times New Roman" w:hAnsi="Times New Roman"/>
          <w:sz w:val="21"/>
        </w:rPr>
        <w:drawing>
          <wp:inline distT="0" distB="0" distL="0" distR="0">
            <wp:extent cx="4286250" cy="1924050"/>
            <wp:effectExtent t="0" r="0" b="0" l="0"/>
            <wp:docPr id="2" name="Review workflow from protocol and registration to certainty of evidence, with a parallel bibliometric stream" descr="Review workflow from protocol and registration to certainty of evidence, with a parallel bibliometric stream" title="Review workflow from protocol and registration to certainty of evidence, with a parallel bibliometric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24050"/>
                    </a:xfrm>
                    <a:prstGeom prst="rect">
                      <a:avLst/>
                    </a:prstGeom>
                  </pic:spPr>
                </pic:pic>
              </a:graphicData>
            </a:graphic>
          </wp:inline>
        </w:drawing>
      </w:r>
    </w:p>
    <w:p>
      <w:pPr>
        <w:spacing w:after="200" w:before="60"/>
      </w:pPr>
      <w:r>
        <w:rPr>
          <w:rFonts w:ascii="Times New Roman" w:cs="Times New Roman" w:eastAsia="Times New Roman" w:hAnsi="Times New Roman"/>
          <w:b/>
          <w:bCs/>
          <w:i/>
          <w:iCs/>
          <w:sz w:val="18"/>
          <w:szCs w:val="18"/>
        </w:rPr>
        <w:t xml:space="preserve">Figure 2.</w:t>
      </w:r>
      <w:r>
        <w:rPr>
          <w:rFonts w:ascii="Times New Roman" w:cs="Times New Roman" w:eastAsia="Times New Roman" w:hAnsi="Times New Roman"/>
          <w:i/>
          <w:iCs/>
          <w:sz w:val="18"/>
          <w:szCs w:val="18"/>
        </w:rPr>
        <w:t xml:space="preserve"> Workflow of the review and of the parallel bibliometric mapping.</w:t>
      </w:r>
    </w:p>
    <w:p>
      <w:pPr>
        <w:pStyle w:val="Heading2"/>
      </w:pPr>
      <w:r>
        <w:rPr>
          <w:rFonts w:ascii="Times New Roman" w:cs="Times New Roman" w:eastAsia="Times New Roman" w:hAnsi="Times New Roman"/>
          <w:sz w:val="21"/>
        </w:rPr>
        <w:t xml:space="preserve">Design and registration</w:t>
      </w:r>
    </w:p>
    <w:p>
      <w:pPr>
        <w:spacing w:after="140" w:line="300"/>
        <w:jc w:val="both"/>
      </w:pPr>
      <w:r>
        <w:rPr>
          <w:rFonts w:ascii="Times New Roman" w:cs="Times New Roman" w:eastAsia="Times New Roman" w:hAnsi="Times New Roman"/>
          <w:sz w:val="21"/>
        </w:rPr>
        <w:t xml:space="preserve">This protocol describes a systematic review of in vitro, in vivo and clinical studies. The protocol is reported in accordance with PRISMA-P,</w:t>
      </w:r>
      <w:r>
        <w:rPr>
          <w:rFonts w:ascii="Times New Roman" w:cs="Times New Roman" w:eastAsia="Times New Roman" w:hAnsi="Times New Roman"/>
          <w:sz w:val="21"/>
          <w:vertAlign w:val="superscript"/>
        </w:rPr>
        <w:t xml:space="preserve">9,10</w:t>
      </w:r>
      <w:r>
        <w:rPr>
          <w:rFonts w:ascii="Times New Roman" w:cs="Times New Roman" w:eastAsia="Times New Roman" w:hAnsi="Times New Roman"/>
          <w:sz w:val="21"/>
        </w:rPr>
        <w:t xml:space="preserve"> and the completed review will be reported in accordance with the PRISMA 2020 statement,</w:t>
      </w:r>
      <w:r>
        <w:rPr>
          <w:rFonts w:ascii="Times New Roman" w:cs="Times New Roman" w:eastAsia="Times New Roman" w:hAnsi="Times New Roman"/>
          <w:sz w:val="21"/>
          <w:vertAlign w:val="superscript"/>
        </w:rPr>
        <w:t xml:space="preserve">11</w:t>
      </w:r>
      <w:r>
        <w:rPr>
          <w:rFonts w:ascii="Times New Roman" w:cs="Times New Roman" w:eastAsia="Times New Roman" w:hAnsi="Times New Roman"/>
          <w:sz w:val="21"/>
        </w:rPr>
        <w:t xml:space="preserve"> with the checklist submitted as Supplementary File 1. Table 10 maps each PRISMA-P item to its location in this document.</w:t>
      </w:r>
    </w:p>
    <w:p>
      <w:pPr>
        <w:spacing w:after="140" w:line="300"/>
        <w:jc w:val="both"/>
      </w:pPr>
      <w:r>
        <w:rPr>
          <w:rFonts w:ascii="Times New Roman" w:cs="Times New Roman" w:eastAsia="Times New Roman" w:hAnsi="Times New Roman"/>
          <w:sz w:val="21"/>
        </w:rPr>
        <w:t>The protocol has not yet been registered. Registration will be completed before data extraction, and the registry and identifier will be reported in the final protocol version. Any amendment made after registration will be recorded in the registry and reported in the review with its date and rationale.</w:t>
      </w:r>
    </w:p>
    <w:p>
      <w:pPr>
        <w:spacing w:after="140" w:line="300"/>
        <w:jc w:val="both"/>
      </w:pPr>
      <w:r>
        <w:rPr>
          <w:rFonts w:ascii="Times New Roman" w:cs="Times New Roman" w:eastAsia="Times New Roman" w:hAnsi="Times New Roman"/>
          <w:sz w:val="21"/>
        </w:rPr>
        <w:t xml:space="preserve">PROSPERO operates separate registers for reviews of human studies and reviews of animal studies, and does not accept reviews of in vitro studies alone. Because this review includes clinical studies, registration is in the human-studies register. If the eligible evidence proves to be entirely preclinical, registration will move to the animal-studies register or, if in vitro studies alone are eligible, to the Open Science Framework, and the review will state this.</w:t>
      </w:r>
    </w:p>
    <w:p>
      <w:pPr>
        <w:pStyle w:val="Heading2"/>
      </w:pPr>
      <w:r>
        <w:rPr>
          <w:rFonts w:ascii="Times New Roman" w:cs="Times New Roman" w:eastAsia="Times New Roman" w:hAnsi="Times New Roman"/>
          <w:sz w:val="21"/>
        </w:rPr>
        <w:t xml:space="preserve">Eligibility criteria</w:t>
      </w:r>
    </w:p>
    <w:p>
      <w:pPr>
        <w:spacing w:after="140" w:line="300"/>
        <w:jc w:val="both"/>
      </w:pPr>
      <w:r>
        <w:rPr>
          <w:rFonts w:ascii="Times New Roman" w:cs="Times New Roman" w:eastAsia="Times New Roman" w:hAnsi="Times New Roman"/>
          <w:sz w:val="21"/>
        </w:rPr>
        <w:t xml:space="preserve">Studies will be eligible if they satisfy all of the criteria in Table 2, framed as PICO.</w:t>
      </w:r>
    </w:p>
    <w:p>
      <w:pPr>
        <w:keepNext/>
        <w:spacing w:after="80" w:before="200"/>
      </w:pPr>
      <w:r>
        <w:rPr>
          <w:rFonts w:ascii="Times New Roman" w:cs="Times New Roman" w:eastAsia="Times New Roman" w:hAnsi="Times New Roman"/>
          <w:b/>
          <w:bCs/>
          <w:sz w:val="21"/>
          <w:szCs w:val="21"/>
        </w:rPr>
        <w:t xml:space="preserve">Table 2.</w:t>
      </w:r>
      <w:r>
        <w:rPr>
          <w:rFonts w:ascii="Times New Roman" w:cs="Times New Roman" w:eastAsia="Times New Roman" w:hAnsi="Times New Roman"/>
          <w:sz w:val="21"/>
          <w:szCs w:val="21"/>
        </w:rPr>
        <w:t xml:space="preserve"> Eligibility criteria (PICO).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3760"/>
      </w:tblGrid>
      <w:tr>
        <w:trPr>
          <w:cantSplit/>
          <w:tblHeader/>
        </w:trPr>
        <w:tc>
          <w:tcPr>
            <w:tcW w:type="dxa" w:w="1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Element</w:t>
            </w:r>
          </w:p>
        </w:tc>
        <w:tc>
          <w:tcPr>
            <w:tcW w:type="dxa" w:w="4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Include</w:t>
            </w:r>
          </w:p>
        </w:tc>
        <w:tc>
          <w:tcPr>
            <w:tcW w:type="dxa" w:w="37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Exclude</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Population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CD8+ effector T cells, CD4+ Th1 cells, memory or exhausted T-cell subsets, and Foxp3+ regulatory T cells, of human or murine origin</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Other lymphocyte populations reported without a T-cell outcome; bulk T-cell data that cannot be separated into effector and regulatory subsets</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Intervention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Palbociclib, ribociclib or abemaciclib, at any concentration, dose or schedule</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Inhibitors of CDK2, CDK7, CDK9 or CDK12; non-selective CDK inhibitors; genetic knockdown without pharmacological inhibition</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Comparator</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Vehicle, untreated control, or a different dose, duration or schedule of the same agent</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Studies with no comparator condition</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At least one of: T-cell proliferation; differentiation or subset composition; IFN-γ, TNF or IL-2 production; PD-1, TIM-3 or LAG-3 expression; regulatory T-cell frequency; regulatory T-cell suppressive function; tumour infiltration by subset; outcome of combination with immune checkpoint blockade</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Studies reporting none of these</w:t>
            </w:r>
          </w:p>
        </w:tc>
      </w:tr>
      <w:tr>
        <w:trPr>
          <w:cantSplit/>
        </w:trPr>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Design</w:t>
            </w:r>
          </w:p>
        </w:tc>
        <w:tc>
          <w:tcPr>
            <w:tcW w:type="dxa" w:w="4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studies using primary T cells or T-cell lines; in vivo studies in animal tumour models; clinical studies reporting immune correlates</w:t>
            </w:r>
          </w:p>
        </w:tc>
        <w:tc>
          <w:tcPr>
            <w:tcW w:type="dxa" w:w="37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Reviews, editorials, conference abstracts without primary data, case reports; studies without extractable concentration, dose or exposure duration</w:t>
            </w:r>
          </w:p>
        </w:tc>
      </w:tr>
    </w:tbl>
    <w:p>
      <w:pPr>
        <w:spacing w:after="60"/>
      </w:pPr>
    </w:p>
    <w:p>
      <w:pPr>
        <w:spacing w:after="140" w:line="300"/>
        <w:jc w:val="both"/>
      </w:pPr>
      <w:r>
        <w:rPr>
          <w:rFonts w:ascii="Times New Roman" w:hAnsi="Times New Roman"/>
          <w:sz w:val="21"/>
        </w:rPr>
        <w:t>No restriction will be applied by publication year or language at the search stage. For records not available in a language understood by the review team, the authors will document the translation method used before full-text eligibility decisions are made.</w:t>
      </w:r>
    </w:p>
    <w:p>
      <w:pPr>
        <w:spacing w:after="140" w:line="300"/>
        <w:jc w:val="both"/>
      </w:pPr>
      <w:r>
        <w:rPr>
          <w:rFonts w:ascii="Times New Roman" w:cs="Times New Roman" w:eastAsia="Times New Roman" w:hAnsi="Times New Roman"/>
          <w:sz w:val="21"/>
        </w:rPr>
        <w:t xml:space="preserve">The review is restricted to CDK4/6 inhibitors. CDK7, CDK9 and CDK12 are transcriptional kinases whose mechanism differs from the G1/S regulation targeted here, and the T-cell literature for those agents is sparse; including them would introduce heterogeneity that the synthesis could not support. Any such studies encountered during screening will be logged and noted in the discussion as a direction for future work.</w:t>
      </w:r>
    </w:p>
    <w:p>
      <w:pPr>
        <w:pStyle w:val="Heading2"/>
      </w:pPr>
      <w:r>
        <w:rPr>
          <w:rFonts w:ascii="Times New Roman" w:cs="Times New Roman" w:eastAsia="Times New Roman" w:hAnsi="Times New Roman"/>
          <w:sz w:val="21"/>
        </w:rPr>
        <w:t xml:space="preserve">Outcomes and prioritisation</w:t>
      </w:r>
    </w:p>
    <w:p>
      <w:pPr>
        <w:spacing w:after="140" w:line="300"/>
        <w:jc w:val="both"/>
      </w:pPr>
      <w:r>
        <w:rPr>
          <w:rFonts w:ascii="Times New Roman" w:cs="Times New Roman" w:eastAsia="Times New Roman" w:hAnsi="Times New Roman"/>
          <w:sz w:val="21"/>
        </w:rPr>
        <w:t xml:space="preserve">The two primary outcomes are (i) proliferation of antitumour effector T cells (CD8+ and CD4+ Th1) and (ii) frequency or suppressive function of Foxp3+ regulatory T cells, each recorded against standardised concentration or dose, exposure duration and schedule. These were chosen because the proposed therapeutic window rests on a divergence between exactly these two readouts. Secondary outcomes are cytokine production (IFN-γ, TNF, IL-2), exhaustion markers (PD-1, TIM-3, LAG-3), differentiation toward memory phenotypes, tumour infiltration by subset, and the outcome of combination with immune checkpoint blockade. Where clinical studies report hepatotoxicity or pneumonitis in combination regimens, these will be extracted as contextual safety information and will not be pooled with the immunological outcomes.</w:t>
      </w:r>
    </w:p>
    <w:p>
      <w:pPr>
        <w:pStyle w:val="Heading2"/>
      </w:pPr>
      <w:r>
        <w:rPr>
          <w:rFonts w:ascii="Times New Roman" w:cs="Times New Roman" w:eastAsia="Times New Roman" w:hAnsi="Times New Roman"/>
          <w:sz w:val="21"/>
        </w:rPr>
        <w:t xml:space="preserve">Unit of analysis and sample size</w:t>
      </w:r>
    </w:p>
    <w:p>
      <w:pPr>
        <w:spacing w:after="140" w:line="300"/>
        <w:jc w:val="both"/>
      </w:pPr>
      <w:r>
        <w:rPr>
          <w:rFonts w:ascii="Times New Roman" w:cs="Times New Roman" w:eastAsia="Times New Roman" w:hAnsi="Times New Roman"/>
          <w:sz w:val="21"/>
        </w:rPr>
        <w:t xml:space="preserve">The unit of analysis is the experimental comparison: one exposure condition versus its control for one T-cell subset in one study, so a single publication may contribute several comparisons. Each comparison will carry the number of independent biological replicates, animals or patients reported by the original study, and these numbers will be extracted but not pooled unless the meta-analysis criteria below are met. No sample-size calculation applies to a systematic review: the number of included studies is determined by the search and by the eligibility criteria, and will be reported in the PRISMA flow diagram. Multiple comparisons from one study will be flagged so that they are not counted as independent evidence in the narrative synthesis.</w:t>
      </w:r>
    </w:p>
    <w:p>
      <w:pPr>
        <w:pStyle w:val="Heading2"/>
      </w:pPr>
      <w:r>
        <w:rPr>
          <w:rFonts w:ascii="Times New Roman" w:cs="Times New Roman" w:eastAsia="Times New Roman" w:hAnsi="Times New Roman"/>
          <w:sz w:val="21"/>
        </w:rPr>
        <w:t xml:space="preserve">Information sources</w:t>
      </w:r>
    </w:p>
    <w:p>
      <w:pPr>
        <w:spacing w:after="140" w:line="300"/>
        <w:jc w:val="both"/>
      </w:pPr>
      <w:r>
        <w:rPr>
          <w:rFonts w:ascii="Times New Roman" w:cs="Times New Roman" w:eastAsia="Times New Roman" w:hAnsi="Times New Roman"/>
          <w:sz w:val="21"/>
        </w:rPr>
        <w:t>We will search PubMed/MEDLINE, Embase, Scopus, Web of Science Core Collection and Cochrane CENTRAL from inception to the final search date (to be recorded when the search is run). ClinicalTrials.gov and the WHO ICTRP will be searched for unpublished and ongoing studies, and medRxiv and bioRxiv for preprints. Reference lists of included studies and of relevant reviews will be hand-searched, and forward citation searching will be performed on the five anchor studies identified a priori.</w:t>
      </w:r>
      <w:r>
        <w:rPr>
          <w:rFonts w:ascii="Times New Roman" w:cs="Times New Roman" w:eastAsia="Times New Roman" w:hAnsi="Times New Roman"/>
          <w:sz w:val="21"/>
          <w:vertAlign w:val="superscript"/>
        </w:rPr>
        <w:t xml:space="preserve">1–5</w:t>
      </w:r>
      <w:r>
        <w:rPr>
          <w:rFonts w:ascii="Times New Roman" w:cs="Times New Roman" w:eastAsia="Times New Roman" w:hAnsi="Times New Roman"/>
          <w:sz w:val="21"/>
        </w:rPr>
        <w:t xml:space="preserve"> The search will be re-run before final analysis if more than six months elapse.</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pStyle w:val="Heading2"/>
      </w:pPr>
      <w:r>
        <w:rPr>
          <w:rFonts w:ascii="Times New Roman" w:cs="Times New Roman" w:eastAsia="Times New Roman" w:hAnsi="Times New Roman"/>
          <w:sz w:val="21"/>
        </w:rPr>
        <w:t xml:space="preserve">Search strategy</w:t>
      </w:r>
    </w:p>
    <w:p>
      <w:pPr>
        <w:spacing w:after="140" w:line="300"/>
        <w:jc w:val="both"/>
      </w:pPr>
      <w:r>
        <w:t>The PubMed/MEDLINE strategy combines an intervention block with a T-cell population block using controlled vocabulary and free-text terms. No outcome block or species/design filter is applied at the search stage to preserve sensitivity. The strategy below is a draft to be peer-reviewed using the PRESS checklist and tested against the five anchor studies before the final search is run. Search date and retrieved-record count must be recorded at execution.</w:t>
      </w:r>
    </w:p>
    <w:p>
      <w:pPr>
        <w:spacing w:after="0" w:line="252"/>
      </w:pPr>
      <w:r>
        <w:t>(</w:t>
        <w:br/>
        <w:t xml:space="preserve">  "palbociclib"[tiab] OR "ribociclib"[tiab] OR "abemaciclib"[tiab]</w:t>
        <w:br/>
        <w:t xml:space="preserve">  OR "PD-0332991"[tiab] OR "PD 0332991"[tiab] OR "LEE011"[tiab]</w:t>
        <w:br/>
        <w:t xml:space="preserve">  OR "LY2835219"[tiab] OR "LY-2835219"[tiab] OR "Ibrance"[tiab]</w:t>
        <w:br/>
        <w:t xml:space="preserve">  OR "Kisqali"[tiab] OR "Verzenio"[tiab] OR "CDK4/6 inhibitor*"[tiab]</w:t>
        <w:br/>
        <w:t xml:space="preserve">  OR "CDK 4/6 inhibitor*"[tiab] OR "cyclin-dependent kinase 4"[tiab]</w:t>
        <w:br/>
        <w:t xml:space="preserve">  OR "cyclin-dependent kinase 6"[tiab] OR "Cyclin-Dependent Kinase 4"[Mesh]</w:t>
        <w:br/>
        <w:t xml:space="preserve">  OR "Cyclin-Dependent Kinase 6"[Mesh]</w:t>
        <w:br/>
        <w:t>)</w:t>
        <w:br/>
        <w:t>AND</w:t>
        <w:br/>
        <w:t>(</w:t>
        <w:br/>
        <w:t xml:space="preserve">  "T-Lymphocytes"[Mesh] OR "T-Lymphocytes, Regulatory"[Mesh]</w:t>
        <w:br/>
        <w:t xml:space="preserve">  OR "CD8-Positive T-Lymphocytes"[Mesh] OR "T cell*"[tiab] OR "T-cell*"[tiab]</w:t>
        <w:br/>
        <w:t xml:space="preserve">  OR "T lymphocyte*"[tiab] OR "CD8"[tiab] OR "CD4"[tiab] OR "Treg*"[tiab]</w:t>
        <w:br/>
        <w:t xml:space="preserve">  OR "regulatory T"[tiab] OR "FOXP3"[tiab] OR "Th1"[tiab]</w:t>
        <w:br/>
        <w:t xml:space="preserve">  OR "tumor infiltrating lymphocyte*"[tiab] OR "tumour infiltrating lymphocyte*"[tiab]</w:t>
        <w:br/>
        <w:t>)</w:t>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0" w:line="252"/>
      </w:pPr>
      <w:r>
        <w:rPr>
          <w:rFonts w:ascii="Times New Roman" w:hAnsi="Times New Roman"/>
          <w:sz w:val="21"/>
        </w:rPr>
      </w:r>
    </w:p>
    <w:p>
      <w:pPr>
        <w:spacing w:after="60"/>
      </w:pPr>
    </w:p>
    <w:p>
      <w:pPr>
        <w:spacing w:after="140" w:line="300"/>
        <w:jc w:val="both"/>
      </w:pPr>
      <w:r>
        <w:rPr>
          <w:rFonts w:ascii="Times New Roman" w:cs="Times New Roman" w:eastAsia="Times New Roman" w:hAnsi="Times New Roman"/>
          <w:sz w:val="21"/>
        </w:rPr>
        <w:t xml:space="preserve">The strategy will be peer-reviewed by an information specialist using the PRESS checklist before it is run. Sensitivity will be checked against the five anchor studies: if any is not retrieved, the strategy will be revised.</w:t>
      </w:r>
    </w:p>
    <w:p>
      <w:pPr>
        <w:pStyle w:val="Heading2"/>
      </w:pPr>
      <w:r>
        <w:rPr>
          <w:rFonts w:ascii="Times New Roman" w:cs="Times New Roman" w:eastAsia="Times New Roman" w:hAnsi="Times New Roman"/>
          <w:sz w:val="21"/>
        </w:rPr>
        <w:t xml:space="preserve">Selection process</w:t>
      </w:r>
    </w:p>
    <w:p>
      <w:pPr>
        <w:spacing w:after="140" w:line="300"/>
        <w:jc w:val="both"/>
      </w:pPr>
      <w:r>
        <w:rPr>
          <w:rFonts w:ascii="Times New Roman" w:hAnsi="Times New Roman"/>
          <w:sz w:val="21"/>
        </w:rPr>
        <w:t>Records will be exported to a reference manager selected by the review team before screening and deduplicated. Two reviewers will independently screen titles and abstracts, followed by full texts, using a screening platform selected before screening begins (for example, Rayyan</w:t>
      </w:r>
      <w:r>
        <w:rPr>
          <w:rFonts w:ascii="Times New Roman" w:cs="Times New Roman" w:eastAsia="Times New Roman" w:hAnsi="Times New Roman"/>
          <w:sz w:val="21"/>
          <w:vertAlign w:val="superscript"/>
        </w:rPr>
        <w:t xml:space="preserve">12</w:t>
      </w:r>
      <w:r>
        <w:rPr>
          <w:rFonts w:ascii="Times New Roman" w:cs="Times New Roman" w:eastAsia="Times New Roman" w:hAnsi="Times New Roman"/>
          <w:sz w:val="21"/>
        </w:rPr>
        <w:t xml:space="preserve">). The reviewers will calibrate the eligibility criteria on the first 50 records before proceeding independently. Disagreements will be resolved by discussion and, where consensus is not reached, by a third reviewer if one is available. Reviewer identities, the reference manager, and the screening platform will be documented in the final review. Inter-rater agreement at title and abstract stage will be reported as Cohen's κ. Reasons for exclusion at full-text stage will be recorded and reported in the PRISMA flow diagram (Figure 3).</w:t>
      </w:r>
    </w:p>
    <w:p>
      <w:pPr>
        <w:pStyle w:val="Heading2"/>
      </w:pPr>
      <w:r>
        <w:rPr>
          <w:rFonts w:ascii="Times New Roman" w:cs="Times New Roman" w:eastAsia="Times New Roman" w:hAnsi="Times New Roman"/>
          <w:sz w:val="21"/>
        </w:rPr>
        <w:t xml:space="preserve">Data extraction</w:t>
      </w:r>
    </w:p>
    <w:p>
      <w:pPr>
        <w:spacing w:after="140" w:line="300"/>
        <w:jc w:val="both"/>
      </w:pPr>
      <w:r>
        <w:rPr>
          <w:rFonts w:ascii="Times New Roman" w:cs="Times New Roman" w:eastAsia="Times New Roman" w:hAnsi="Times New Roman"/>
          <w:sz w:val="21"/>
        </w:rPr>
        <w:t>Two reviewers will extract data independently using a standardised form piloted on five randomly selected studies. Disagreements will be resolved by consensus or third-reviewer adjudication. Where outcomes are reported graphically only, values will be digitised using software selected before extraction, or requested from the authors. Corresponding authors will be contacted up to twice for missing dose or duration data, allowing four weeks for reply; studies remaining incomplete will be retained and the gap reported as "not reported". The data items are listed in Table 3.</w:t>
      </w:r>
    </w:p>
    <w:p>
      <w:pPr>
        <w:keepNext/>
        <w:spacing w:after="80" w:before="200"/>
      </w:pPr>
      <w:r>
        <w:rPr>
          <w:rFonts w:ascii="Times New Roman" w:cs="Times New Roman" w:eastAsia="Times New Roman" w:hAnsi="Times New Roman"/>
          <w:b/>
          <w:bCs/>
          <w:sz w:val="21"/>
          <w:szCs w:val="21"/>
        </w:rPr>
        <w:t xml:space="preserve">Table 3.</w:t>
      </w:r>
      <w:r>
        <w:rPr>
          <w:rFonts w:ascii="Times New Roman" w:cs="Times New Roman" w:eastAsia="Times New Roman" w:hAnsi="Times New Roman"/>
          <w:sz w:val="21"/>
          <w:szCs w:val="21"/>
        </w:rPr>
        <w:t xml:space="preserve"> Data items to be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blHeader/>
        </w:trPr>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Category</w:t>
            </w:r>
          </w:p>
        </w:tc>
        <w:tc>
          <w:tcPr>
            <w:tcW w:type="dxa" w:w="75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Fields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Study</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First author, year, country, funding source, declared conflicts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Design</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in vivo or clinical; tumour model; sample size or number of replicates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Cells</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Subset, species, source, isolation method, activation protocol, culture conditions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Intervention</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Agent, concentration or dose with units, exposure duration, schedule, co-administered agents</w:t>
            </w:r>
          </w:p>
        </w:tc>
      </w:tr>
      <w:tr>
        <w:trPr>
          <w:cantSplit/>
        </w:trPr>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w:t>
            </w:r>
          </w:p>
        </w:tc>
        <w:tc>
          <w:tcPr>
            <w:tcW w:type="dxa" w:w="75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Measure, assay, time point, direction of effect, effect size where reported, significance as reported by the study authors</w:t>
            </w:r>
          </w:p>
        </w:tc>
      </w:tr>
    </w:tbl>
    <w:p>
      <w:pPr>
        <w:spacing w:after="60"/>
      </w:pPr>
    </w:p>
    <w:p>
      <w:pPr>
        <w:spacing w:after="140" w:line="300"/>
        <w:jc w:val="both"/>
      </w:pPr>
      <w:r>
        <w:rPr>
          <w:rFonts w:ascii="Times New Roman" w:cs="Times New Roman" w:eastAsia="Times New Roman" w:hAnsi="Times New Roman"/>
          <w:sz w:val="21"/>
        </w:rPr>
        <w:t xml:space="preserve">In vitro concentrations will be standardised to nM, in vivo doses to mg/kg, and exposure durations to hours. Where a study reports a range, the midpoint will be recorded and the range retained. All conversions will be checked by the second reviewer. Standardised values will be tabulated against clinically achievable plasma concentrations at approved dosing, so that findings obtained outside clinically relevant exposure can be identified. The source for each clinical reference concentration will be cited from the approved prescribing information or a published pharmacokinetic study, and the same reference value will be applied to every study of that agent.</w:t>
      </w:r>
    </w:p>
    <w:p>
      <w:pPr>
        <w:pStyle w:val="Heading2"/>
      </w:pPr>
      <w:r>
        <w:rPr>
          <w:rFonts w:ascii="Times New Roman" w:cs="Times New Roman" w:eastAsia="Times New Roman" w:hAnsi="Times New Roman"/>
          <w:sz w:val="21"/>
        </w:rPr>
        <w:t xml:space="preserve">Data management</w:t>
      </w:r>
    </w:p>
    <w:p>
      <w:pPr>
        <w:spacing w:after="140" w:line="300"/>
        <w:jc w:val="both"/>
      </w:pPr>
      <w:r>
        <w:rPr>
          <w:rFonts w:ascii="Times New Roman" w:cs="Times New Roman" w:eastAsia="Times New Roman" w:hAnsi="Times New Roman"/>
          <w:sz w:val="21"/>
        </w:rPr>
        <w:t xml:space="preserve">Search exports, screening decisions and extraction sheets will be stored in a version-controlled project folder with read-only copies of each raw export. Every change to the extraction sheet after the pilot will be logged with date and initials. Deduplication will be documented by recording the number of records removed at each step, so that the counts in the PRISMA flow diagram can be reproduced.</w:t>
      </w:r>
    </w:p>
    <w:p>
      <w:pPr>
        <w:pStyle w:val="Heading2"/>
      </w:pPr>
      <w:r>
        <w:rPr>
          <w:rFonts w:ascii="Times New Roman" w:cs="Times New Roman" w:eastAsia="Times New Roman" w:hAnsi="Times New Roman"/>
          <w:sz w:val="21"/>
        </w:rPr>
        <w:t xml:space="preserve">Risk of bias</w:t>
      </w:r>
    </w:p>
    <w:p>
      <w:pPr>
        <w:spacing w:after="140" w:line="300"/>
        <w:jc w:val="both"/>
      </w:pPr>
      <w:r>
        <w:rPr>
          <w:rFonts w:ascii="Times New Roman" w:cs="Times New Roman" w:eastAsia="Times New Roman" w:hAnsi="Times New Roman"/>
          <w:sz w:val="21"/>
        </w:rPr>
        <w:t xml:space="preserve">Risk of bias will be assessed independently by two reviewers, with disagreements resolved by discussion. The tool will be matched to study design (Table 4).</w:t>
      </w:r>
    </w:p>
    <w:p>
      <w:pPr>
        <w:keepNext/>
        <w:spacing w:after="80" w:before="200"/>
      </w:pPr>
      <w:r>
        <w:rPr>
          <w:rFonts w:ascii="Times New Roman" w:cs="Times New Roman" w:eastAsia="Times New Roman" w:hAnsi="Times New Roman"/>
          <w:b/>
          <w:bCs/>
          <w:sz w:val="21"/>
          <w:szCs w:val="21"/>
        </w:rPr>
        <w:t xml:space="preserve">Table 4.</w:t>
      </w:r>
      <w:r>
        <w:rPr>
          <w:rFonts w:ascii="Times New Roman" w:cs="Times New Roman" w:eastAsia="Times New Roman" w:hAnsi="Times New Roman"/>
          <w:sz w:val="21"/>
          <w:szCs w:val="21"/>
        </w:rPr>
        <w:t xml:space="preserve"> Risk-of-bias instruments by study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4260"/>
      </w:tblGrid>
      <w:tr>
        <w:trPr>
          <w:cantSplit/>
          <w:tblHeader/>
        </w:trPr>
        <w:tc>
          <w:tcPr>
            <w:tcW w:type="dxa" w:w="2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Design</w:t>
            </w:r>
          </w:p>
        </w:tc>
        <w:tc>
          <w:tcPr>
            <w:tcW w:type="dxa" w:w="26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Tool</w:t>
            </w:r>
          </w:p>
        </w:tc>
        <w:tc>
          <w:tcPr>
            <w:tcW w:type="dxa" w:w="42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Basis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Animal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SYRCLE's risk of bias tool</w:t>
            </w:r>
            <w:r>
              <w:rPr>
                <w:rFonts w:ascii="Times New Roman" w:cs="Times New Roman" w:eastAsia="Times New Roman" w:hAnsi="Times New Roman"/>
                <w:b w:val="false"/>
                <w:bCs w:val="false"/>
                <w:sz w:val="19"/>
                <w:szCs w:val="19"/>
                <w:vertAlign w:val="superscript"/>
              </w:rPr>
              <w:t xml:space="preserve">13</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Ten-item instrument adapted from the Cochrane tool for preclinical animal research</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Randomised clinical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RoB 2</w:t>
            </w:r>
            <w:r>
              <w:rPr>
                <w:rFonts w:ascii="Times New Roman" w:cs="Times New Roman" w:eastAsia="Times New Roman" w:hAnsi="Times New Roman"/>
                <w:b w:val="false"/>
                <w:bCs w:val="false"/>
                <w:sz w:val="19"/>
                <w:szCs w:val="19"/>
                <w:vertAlign w:val="superscript"/>
              </w:rPr>
              <w:t xml:space="preserve">14</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Standard instrument for randomised trials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Non-randomised clinical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ROBINS-I</w:t>
            </w:r>
            <w:r>
              <w:rPr>
                <w:rFonts w:ascii="Times New Roman" w:cs="Times New Roman" w:eastAsia="Times New Roman" w:hAnsi="Times New Roman"/>
                <w:b w:val="false"/>
                <w:bCs w:val="false"/>
                <w:sz w:val="19"/>
                <w:szCs w:val="19"/>
                <w:vertAlign w:val="superscript"/>
              </w:rPr>
              <w:t xml:space="preserve">15</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Standard instrument for non-randomised interventions</w:t>
            </w:r>
          </w:p>
        </w:tc>
      </w:tr>
      <w:tr>
        <w:trPr>
          <w:cantSplit/>
        </w:trPr>
        <w:tc>
          <w:tcPr>
            <w:tcW w:type="dxa" w:w="25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 vitro studies</w:t>
            </w:r>
          </w:p>
        </w:tc>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Pre-specified domains, below</w:t>
            </w:r>
          </w:p>
        </w:tc>
        <w:tc>
          <w:tcPr>
            <w:tcW w:type="dxa" w:w="42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 validated instrument for immunological in vitro experiments is in general use</w:t>
            </w:r>
          </w:p>
        </w:tc>
      </w:tr>
    </w:tbl>
    <w:p>
      <w:pPr>
        <w:spacing w:after="60"/>
      </w:pPr>
    </w:p>
    <w:p>
      <w:pPr>
        <w:spacing w:after="140" w:line="300"/>
        <w:jc w:val="both"/>
      </w:pPr>
      <w:r>
        <w:rPr>
          <w:rFonts w:ascii="Times New Roman" w:cs="Times New Roman" w:eastAsia="Times New Roman" w:hAnsi="Times New Roman"/>
          <w:sz w:val="21"/>
        </w:rPr>
        <w:t xml:space="preserve">For in vitro studies we will assess five domains, specified here before extraction begins: reporting of cell source and donor or strain characteristics; reporting of the activation protocol and culture conditions; number of independent biological replicates; blinding of outcome assessment; and completeness of outcome reporting relative to the methods described. Each domain will be rated low, high or unclear concern, with an overall judgement. We state these domains in advance because selecting criteria after seeing the studies would allow the assessment to be shaped by the findings.</w:t>
      </w:r>
    </w:p>
    <w:p>
      <w:pPr>
        <w:pStyle w:val="Heading2"/>
      </w:pPr>
      <w:r>
        <w:rPr>
          <w:rFonts w:ascii="Times New Roman" w:cs="Times New Roman" w:eastAsia="Times New Roman" w:hAnsi="Times New Roman"/>
          <w:sz w:val="21"/>
        </w:rPr>
        <w:t xml:space="preserve">Synthesis</w:t>
      </w:r>
    </w:p>
    <w:p>
      <w:pPr>
        <w:spacing w:after="140" w:line="300"/>
        <w:jc w:val="both"/>
      </w:pPr>
      <w:r>
        <w:rPr>
          <w:rFonts w:ascii="Times New Roman" w:cs="Times New Roman" w:eastAsia="Times New Roman" w:hAnsi="Times New Roman"/>
          <w:sz w:val="21"/>
        </w:rPr>
        <w:t xml:space="preserve">Studies will be grouped for synthesis by cell type, then by model, then by exposure duration band. Bands are specified in advance as under 24 hours, 24 to 72 hours, and over 72 hours for in vitro exposure, and as single dose, under 14 days, and 14 days or more for in vivo and clinical exposure.</w:t>
      </w:r>
    </w:p>
    <w:p>
      <w:pPr>
        <w:spacing w:after="140" w:line="300"/>
        <w:jc w:val="both"/>
      </w:pPr>
      <w:r>
        <w:rPr>
          <w:rFonts w:ascii="Times New Roman" w:cs="Times New Roman" w:eastAsia="Times New Roman" w:hAnsi="Times New Roman"/>
          <w:sz w:val="21"/>
        </w:rPr>
        <w:t xml:space="preserve">Synthesis will be narrative, reported in accordance with SWiM guidance,</w:t>
      </w:r>
      <w:r>
        <w:rPr>
          <w:rFonts w:ascii="Times New Roman" w:cs="Times New Roman" w:eastAsia="Times New Roman" w:hAnsi="Times New Roman"/>
          <w:sz w:val="21"/>
          <w:vertAlign w:val="superscript"/>
        </w:rPr>
        <w:t xml:space="preserve">16</w:t>
      </w:r>
      <w:r>
        <w:rPr>
          <w:rFonts w:ascii="Times New Roman" w:cs="Times New Roman" w:eastAsia="Times New Roman" w:hAnsi="Times New Roman"/>
          <w:sz w:val="21"/>
        </w:rPr>
        <w:t xml:space="preserve"> with findings presented in tables and harvest plots.</w:t>
      </w:r>
      <w:r>
        <w:rPr>
          <w:rFonts w:ascii="Times New Roman" w:cs="Times New Roman" w:eastAsia="Times New Roman" w:hAnsi="Times New Roman"/>
          <w:sz w:val="21"/>
          <w:vertAlign w:val="superscript"/>
        </w:rPr>
        <w:t xml:space="preserve">17</w:t>
      </w:r>
      <w:r>
        <w:rPr>
          <w:rFonts w:ascii="Times New Roman" w:cs="Times New Roman" w:eastAsia="Times New Roman" w:hAnsi="Times New Roman"/>
          <w:sz w:val="21"/>
        </w:rPr>
        <w:t xml:space="preserve"> Direction of effect will be recorded as increase, decrease or no change relative to control, using each study's own significance threshold. Harvest plots are chosen because effect directions across heterogeneous designs cannot be pooled into a summary estimate but can be displayed against dose and duration bands in a way that a table cannot convey. Figure 4 shows the planned layout. Claims of cell-type specificity will rest only on studies that assessed both populations under matched conditions.</w:t>
      </w:r>
    </w:p>
    <w:p>
      <w:pPr>
        <w:spacing w:after="140" w:line="300"/>
        <w:jc w:val="both"/>
      </w:pPr>
      <w:r>
        <w:rPr>
          <w:rFonts w:ascii="Times New Roman" w:cs="Times New Roman" w:eastAsia="Times New Roman" w:hAnsi="Times New Roman"/>
          <w:sz w:val="21"/>
        </w:rPr>
        <w:t xml:space="preserve">Meta-analysis will be considered only where three or more studies report the same outcome, in the same model type, with comparable exposure and effect measures. Heterogeneity would be quantified using I² and τ² and explored through the subgroups below. Given the expected variability in cell source, activation protocol and drug concentration, meta-analysis is not anticipated for most outcomes, and stating this in advance prevents the decision from appearing post hoc.</w:t>
      </w:r>
    </w:p>
    <w:p>
      <w:pPr>
        <w:spacing w:after="140" w:line="300"/>
        <w:jc w:val="both"/>
      </w:pPr>
      <w:r>
        <w:rPr>
          <w:rFonts w:ascii="Times New Roman" w:cs="Times New Roman" w:eastAsia="Times New Roman" w:hAnsi="Times New Roman"/>
          <w:sz w:val="21"/>
        </w:rPr>
        <w:t xml:space="preserve">Pre-specified subgroups: cell subset; model type; agent; schedule, continuous versus intermittent; and exposure duration band.</w:t>
      </w:r>
    </w:p>
    <w:p>
      <w:pPr>
        <w:pStyle w:val="Heading2"/>
      </w:pPr>
      <w:r>
        <w:rPr>
          <w:rFonts w:ascii="Times New Roman" w:cs="Times New Roman" w:eastAsia="Times New Roman" w:hAnsi="Times New Roman"/>
          <w:sz w:val="21"/>
        </w:rPr>
        <w:t xml:space="preserve">Reporting bias and certainty of evidence</w:t>
      </w:r>
    </w:p>
    <w:p>
      <w:pPr>
        <w:spacing w:after="140" w:line="300"/>
        <w:jc w:val="both"/>
      </w:pPr>
      <w:r>
        <w:rPr>
          <w:rFonts w:ascii="Times New Roman" w:cs="Times New Roman" w:eastAsia="Times New Roman" w:hAnsi="Times New Roman"/>
          <w:sz w:val="21"/>
        </w:rPr>
        <w:t xml:space="preserve">Small-study effects will be assessed by funnel plot inspection and Egger's test where at least ten studies contribute to an outcome; otherwise reporting bias will be assessed qualitatively, informed by the registry and preprint searches described above.</w:t>
      </w:r>
    </w:p>
    <w:p>
      <w:pPr>
        <w:spacing w:after="140" w:line="300"/>
        <w:jc w:val="both"/>
      </w:pPr>
      <w:r>
        <w:rPr>
          <w:rFonts w:ascii="Times New Roman" w:cs="Times New Roman" w:eastAsia="Times New Roman" w:hAnsi="Times New Roman"/>
          <w:sz w:val="21"/>
        </w:rPr>
        <w:t>Certainty of evidence will be assessed using GRADE for clinical outcomes.</w:t>
      </w:r>
      <w:r>
        <w:rPr>
          <w:rFonts w:ascii="Times New Roman" w:cs="Times New Roman" w:eastAsia="Times New Roman" w:hAnsi="Times New Roman"/>
          <w:sz w:val="21"/>
          <w:vertAlign w:val="superscript"/>
        </w:rPr>
        <w:t xml:space="preserve">18</w:t>
      </w:r>
      <w:r>
        <w:rPr>
          <w:rFonts w:ascii="Times New Roman" w:cs="Times New Roman" w:eastAsia="Times New Roman" w:hAnsi="Times New Roman"/>
          <w:sz w:val="21"/>
        </w:rPr>
        <w:t xml:space="preserve"> GRADE was designed primarily for clinical evidence and has not been validated for preclinical data; for in vitro and animal outcomes we will therefore assess certainty narratively, and the approach taken for each body of evidence will be stated explicitly rather than left implicit.</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pStyle w:val="Heading2"/>
      </w:pPr>
      <w:r>
        <w:rPr>
          <w:rFonts w:ascii="Times New Roman" w:cs="Times New Roman" w:eastAsia="Times New Roman" w:hAnsi="Times New Roman"/>
          <w:sz w:val="21"/>
        </w:rPr>
        <w:t xml:space="preserve">Bibliometric mapping</w:t>
      </w:r>
    </w:p>
    <w:p>
      <w:pPr>
        <w:spacing w:after="140" w:line="300"/>
        <w:jc w:val="both"/>
      </w:pPr>
      <w:r>
        <w:rPr>
          <w:rFonts w:ascii="Times New Roman" w:cs="Times New Roman" w:eastAsia="Times New Roman" w:hAnsi="Times New Roman"/>
          <w:sz w:val="21"/>
        </w:rPr>
        <w:t>To describe how the literature is organised, we will build keyword co-occurrence maps with VOSviewer.</w:t>
      </w:r>
      <w:r>
        <w:rPr>
          <w:rFonts w:ascii="Times New Roman" w:cs="Times New Roman" w:eastAsia="Times New Roman" w:hAnsi="Times New Roman"/>
          <w:sz w:val="21"/>
          <w:vertAlign w:val="superscript"/>
        </w:rPr>
        <w:t xml:space="preserve">19</w:t>
      </w:r>
      <w:r>
        <w:rPr>
          <w:rFonts w:ascii="Times New Roman" w:cs="Times New Roman" w:eastAsia="Times New Roman" w:hAnsi="Times New Roman"/>
          <w:sz w:val="21"/>
        </w:rPr>
        <w:t xml:space="preserve"> The mapping is descriptive: it is not used to decide eligibility, and it will be reported separately from the systematic synthesis. The records will be taken from Scopus using the intervention and T-cell concepts above (Table 5); the date of the Scopus search will be recorded, and the full records and cited references will be exported as CSV or RIS. The record count will be reported only after the export has been run. Planned settings are fixed in Table 5 before any map is generated; if a threshold must be changed because a map is unreadable, the change and the reason will be stated.</w:t>
      </w:r>
      <w:r>
        <w:rPr>
          <w:rFonts w:ascii="Times New Roman" w:cs="Times New Roman" w:eastAsia="Times New Roman" w:hAnsi="Times New Roman"/>
          <w:sz w:val="21"/>
          <w:vertAlign w:val="superscript"/>
        </w:rPr>
      </w:r>
      <w:r>
        <w:rPr>
          <w:rFonts w:ascii="Times New Roman" w:cs="Times New Roman" w:eastAsia="Times New Roman" w:hAnsi="Times New Roman"/>
          <w:sz w:val="21"/>
        </w:rPr>
      </w:r>
    </w:p>
    <w:p>
      <w:pPr>
        <w:keepNext/>
        <w:spacing w:after="80" w:before="200"/>
      </w:pPr>
      <w:r>
        <w:rPr>
          <w:rFonts w:ascii="Times New Roman" w:cs="Times New Roman" w:eastAsia="Times New Roman" w:hAnsi="Times New Roman"/>
          <w:b/>
          <w:bCs/>
          <w:sz w:val="21"/>
          <w:szCs w:val="21"/>
        </w:rPr>
        <w:t xml:space="preserve">Table 5.</w:t>
      </w:r>
      <w:r>
        <w:rPr>
          <w:rFonts w:ascii="Times New Roman" w:cs="Times New Roman" w:eastAsia="Times New Roman" w:hAnsi="Times New Roman"/>
          <w:sz w:val="21"/>
          <w:szCs w:val="21"/>
        </w:rPr>
        <w:t xml:space="preserve"> Planned VOSviewer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cantSplit/>
          <w:tblHeader/>
        </w:trPr>
        <w:tc>
          <w:tcPr>
            <w:tcW w:type="dxa" w:w="27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Setting</w:t>
            </w:r>
          </w:p>
        </w:tc>
        <w:tc>
          <w:tcPr>
            <w:tcW w:type="dxa" w:w="66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Specification</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Source database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Scopus (alternative: Web of Science Core Collection); search date to be recorded</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Query concepts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(palbociclib OR ribociclib OR abemaciclib OR "CDK4/6 inhibitor") AND ("T cell" OR "regulatory T" OR Treg OR CD8), applied to title, abstract and keywords</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Analysis type and unit</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Co-occurrence of author keywords (all keywords as a sensitivity check); full counting</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Minimum occurrence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5 occurrences per keyword, adjusted only if fewer than 30 or more than 150 keywords qualify</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Thesaurus file</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Merges synonyms and spelling variants (for example palbociclib/PD-0332991; Treg/regulatory T cell; tumor/tumour) and removes generic terms</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Normalisation and layout</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Association strength; default VOSviewer layout; clustering resolution 1.0</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Planned views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Network visualisation (clusters); overlay visualisation by average publication year; density visualisation</w:t>
            </w:r>
          </w:p>
        </w:tc>
      </w:tr>
      <w:tr>
        <w:trPr>
          <w:cantSplit/>
        </w:trPr>
        <w:tc>
          <w:tcPr>
            <w:tcW w:type="dxa" w:w="27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Outputs</w:t>
            </w:r>
          </w:p>
        </w:tc>
        <w:tc>
          <w:tcPr>
            <w:tcW w:type="dxa" w:w="66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Figure 5 (network and overlay maps) and a cluster table, produced only after the search is run</w:t>
            </w:r>
          </w:p>
        </w:tc>
      </w:tr>
    </w:tbl>
    <w:p>
      <w:pPr>
        <w:spacing w:after="60"/>
      </w:pPr>
    </w:p>
    <w:p>
      <w:pPr>
        <w:pStyle w:val="Heading2"/>
      </w:pPr>
      <w:r>
        <w:rPr>
          <w:rFonts w:ascii="Times New Roman" w:cs="Times New Roman" w:eastAsia="Times New Roman" w:hAnsi="Times New Roman"/>
          <w:sz w:val="21"/>
        </w:rPr>
        <w:t xml:space="preserve">Timeline</w:t>
      </w:r>
    </w:p>
    <w:p>
      <w:pPr>
        <w:spacing w:after="140" w:line="300"/>
        <w:jc w:val="both"/>
      </w:pPr>
      <w:r>
        <w:rPr>
          <w:rFonts w:ascii="Times New Roman" w:cs="Times New Roman" w:eastAsia="Times New Roman" w:hAnsi="Times New Roman"/>
          <w:sz w:val="21"/>
        </w:rPr>
        <w:t xml:space="preserve">The planned sequence of work is shown in Table 6. Dates are to be completed by the authors.</w:t>
      </w:r>
    </w:p>
    <w:p>
      <w:pPr>
        <w:keepNext/>
        <w:spacing w:after="80" w:before="200"/>
      </w:pPr>
      <w:r>
        <w:rPr>
          <w:rFonts w:ascii="Times New Roman" w:cs="Times New Roman" w:eastAsia="Times New Roman" w:hAnsi="Times New Roman"/>
          <w:b/>
          <w:bCs/>
          <w:sz w:val="21"/>
          <w:szCs w:val="21"/>
        </w:rPr>
        <w:t xml:space="preserve">Table 6.</w:t>
      </w:r>
      <w:r>
        <w:rPr>
          <w:rFonts w:ascii="Times New Roman" w:cs="Times New Roman" w:eastAsia="Times New Roman" w:hAnsi="Times New Roman"/>
          <w:sz w:val="21"/>
          <w:szCs w:val="21"/>
        </w:rPr>
        <w:t xml:space="preserve"> Planned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cantSplit/>
          <w:tblHeader/>
        </w:trPr>
        <w:tc>
          <w:tcPr>
            <w:tcW w:type="dxa" w:w="5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Stage</w:t>
            </w:r>
          </w:p>
        </w:tc>
        <w:tc>
          <w:tcPr>
            <w:tcW w:type="dxa" w:w="41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Planned period</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Protocol finalisation and registration</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Search strategy peer review and final database searches</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Title/abstract and full-text screening</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extraction and risk-of-bias assessment</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Bibliometric mapping</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Synthesis and certainty assessment</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r>
        <w:trPr>
          <w:cantSplit/>
        </w:trPr>
        <w:tc>
          <w:tcPr>
            <w:tcW w:type="dxa" w:w="52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Manuscript preparation and submission</w:t>
            </w:r>
          </w:p>
        </w:tc>
        <w:tc>
          <w:tcPr>
            <w:tcW w:type="dxa" w:w="41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To be scheduled before the search begins</w:t>
            </w:r>
          </w:p>
        </w:tc>
      </w:tr>
    </w:tbl>
    <w:p>
      <w:pPr>
        <w:spacing w:after="60"/>
      </w:pPr>
    </w:p>
    <w:p>
      <w:pPr>
        <w:pStyle w:val="Heading1"/>
      </w:pPr>
      <w:r>
        <w:rPr>
          <w:rFonts w:ascii="Times New Roman" w:cs="Times New Roman" w:eastAsia="Times New Roman" w:hAnsi="Times New Roman"/>
          <w:sz w:val="21"/>
        </w:rPr>
        <w:t xml:space="preserve">Results</w:t>
      </w:r>
    </w:p>
    <w:p>
      <w:pPr>
        <w:spacing w:after="140" w:line="300"/>
        <w:jc w:val="both"/>
      </w:pPr>
      <w:r>
        <w:rPr>
          <w:rFonts w:ascii="Times New Roman" w:cs="Times New Roman" w:eastAsia="Times New Roman" w:hAnsi="Times New Roman"/>
          <w:sz w:val="21"/>
        </w:rPr>
        <w:t xml:space="preserve">As a protocol, this paper reports no results. This section sets out the outputs the review will produce, so that readers can judge in advance whether the planned reporting is adequate. No search has been run, no studies have been screened and no counts exist; every table cell and figure box below is empty by design.</w:t>
      </w:r>
    </w:p>
    <w:p>
      <w:pPr>
        <w:spacing w:after="140" w:line="300"/>
        <w:jc w:val="both"/>
      </w:pPr>
      <w:r>
        <w:rPr>
          <w:rFonts w:ascii="Times New Roman" w:cs="Times New Roman" w:eastAsia="Times New Roman" w:hAnsi="Times New Roman"/>
          <w:sz w:val="21"/>
        </w:rPr>
        <w:t xml:space="preserve">Study selection will be reported with the PRISMA 2020 flow diagram (Figure 3). The characteristics of included studies will be reported in Table 7, standardised concentration, dose and exposure duration with the matched effect directions in Table 8, and functional outcomes by cell type in Table 9. Effect directions will be shown in harvest plots (Figure 4), and the bibliometric maps in Figure 5. Risk-of-bias judgements will be shown by study and by domain, and certainty of evidence will be summarised for each primary outcome.</w:t>
      </w:r>
    </w:p>
    <w:p>
      <w:pPr>
        <w:keepNext/>
        <w:spacing w:after="60" w:before="120"/>
        <w:jc w:val="center"/>
      </w:pPr>
      <w:r>
        <w:rPr>
          <w:rFonts w:ascii="Times New Roman" w:hAnsi="Times New Roman"/>
          <w:sz w:val="21"/>
        </w:rPr>
        <w:drawing>
          <wp:inline distT="0" distB="0" distL="0" distR="0">
            <wp:extent cx="4095750" cy="4714875"/>
            <wp:effectExtent t="0" r="0" b="0" l="0"/>
            <wp:docPr id="3" name="Blank PRISMA 2020 flow diagram template" descr="Blank PRISMA 2020 flow diagram template" title="Blank PRISMA 2020 flow diagram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4714875"/>
                    </a:xfrm>
                    <a:prstGeom prst="rect">
                      <a:avLst/>
                    </a:prstGeom>
                  </pic:spPr>
                </pic:pic>
              </a:graphicData>
            </a:graphic>
          </wp:inline>
        </w:drawing>
      </w:r>
    </w:p>
    <w:p>
      <w:pPr>
        <w:spacing w:after="200" w:before="60"/>
      </w:pPr>
      <w:r>
        <w:rPr>
          <w:rFonts w:ascii="Times New Roman" w:cs="Times New Roman" w:eastAsia="Times New Roman" w:hAnsi="Times New Roman"/>
          <w:b/>
          <w:bCs/>
          <w:i/>
          <w:iCs/>
          <w:sz w:val="18"/>
          <w:szCs w:val="18"/>
        </w:rPr>
        <w:t xml:space="preserve">Figure 3.</w:t>
      </w:r>
      <w:r>
        <w:rPr>
          <w:rFonts w:ascii="Times New Roman" w:cs="Times New Roman" w:eastAsia="Times New Roman" w:hAnsi="Times New Roman"/>
          <w:i/>
          <w:iCs/>
          <w:sz w:val="18"/>
          <w:szCs w:val="18"/>
        </w:rPr>
        <w:t xml:space="preserve"> PRISMA 2020 flow diagram template for the review. All counts are to be completed after the searches are run.</w:t>
      </w:r>
    </w:p>
    <w:p>
      <w:pPr>
        <w:keepNext/>
        <w:spacing w:after="80" w:before="200"/>
      </w:pPr>
      <w:r>
        <w:rPr>
          <w:rFonts w:ascii="Times New Roman" w:cs="Times New Roman" w:eastAsia="Times New Roman" w:hAnsi="Times New Roman"/>
          <w:b/>
          <w:bCs/>
          <w:sz w:val="21"/>
          <w:szCs w:val="21"/>
        </w:rPr>
        <w:t xml:space="preserve">Table 7.</w:t>
      </w:r>
      <w:r>
        <w:rPr>
          <w:rFonts w:ascii="Times New Roman" w:cs="Times New Roman" w:eastAsia="Times New Roman" w:hAnsi="Times New Roman"/>
          <w:sz w:val="21"/>
          <w:szCs w:val="21"/>
        </w:rPr>
        <w:t xml:space="preserve"> Planned reporting format for characteristics of included studies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400"/>
        <w:gridCol w:w="1500"/>
        <w:gridCol w:w="1960"/>
        <w:gridCol w:w="1800"/>
      </w:tblGrid>
      <w:tr>
        <w:trPr>
          <w:cantSplit/>
          <w:tblHeader/>
        </w:trPr>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1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Model</w:t>
            </w:r>
          </w:p>
        </w:tc>
        <w:tc>
          <w:tcPr>
            <w:tcW w:type="dxa" w:w="1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CDK4/6 inhibitor</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T-cell subset</w:t>
            </w:r>
          </w:p>
        </w:tc>
        <w:tc>
          <w:tcPr>
            <w:tcW w:type="dxa" w:w="19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Cell source and activation</w:t>
            </w:r>
          </w:p>
        </w:tc>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Tumour model</w:t>
            </w:r>
          </w:p>
        </w:tc>
      </w:tr>
      <w:tr>
        <w:trPr>
          <w:cantSplit/>
        </w:trPr>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available; to be completed after search and screening</w:t>
            </w:r>
          </w:p>
        </w:tc>
        <w:tc>
          <w:tcPr>
            <w:tcW w:type="dxa" w:w="12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4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96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r>
    </w:tbl>
    <w:p>
      <w:pPr>
        <w:spacing w:after="60"/>
      </w:pPr>
    </w:p>
    <w:p>
      <w:pPr>
        <w:keepNext/>
        <w:spacing w:after="80" w:before="200"/>
      </w:pPr>
      <w:r>
        <w:rPr>
          <w:rFonts w:ascii="Times New Roman" w:cs="Times New Roman" w:eastAsia="Times New Roman" w:hAnsi="Times New Roman"/>
          <w:b/>
          <w:bCs/>
          <w:sz w:val="21"/>
          <w:szCs w:val="21"/>
        </w:rPr>
        <w:t xml:space="preserve">Table 8.</w:t>
      </w:r>
      <w:r>
        <w:rPr>
          <w:rFonts w:ascii="Times New Roman" w:cs="Times New Roman" w:eastAsia="Times New Roman" w:hAnsi="Times New Roman"/>
          <w:sz w:val="21"/>
          <w:szCs w:val="21"/>
        </w:rPr>
        <w:t xml:space="preserve"> Planned reporting format for standardised dose, exposure and effect direction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200"/>
        <w:gridCol w:w="1300"/>
        <w:gridCol w:w="1500"/>
        <w:gridCol w:w="1230"/>
        <w:gridCol w:w="1230"/>
      </w:tblGrid>
      <w:tr>
        <w:trPr>
          <w:cantSplit/>
          <w:tblHeader/>
        </w:trPr>
        <w:tc>
          <w:tcPr>
            <w:tcW w:type="dxa" w:w="14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Study</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Concentration or dose (nM or mg/kg)</w:t>
            </w:r>
          </w:p>
        </w:tc>
        <w:tc>
          <w:tcPr>
            <w:tcW w:type="dxa" w:w="12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Duration (h)</w:t>
            </w:r>
          </w:p>
        </w:tc>
        <w:tc>
          <w:tcPr>
            <w:tcW w:type="dxa" w:w="1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Schedule</w:t>
            </w:r>
          </w:p>
        </w:tc>
        <w:tc>
          <w:tcPr>
            <w:tcW w:type="dxa" w:w="15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Ratio to clinically achievable exposure</w:t>
            </w:r>
          </w:p>
        </w:tc>
        <w:tc>
          <w:tcPr>
            <w:tcW w:type="dxa" w:w="123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Effector T cells</w:t>
            </w:r>
          </w:p>
        </w:tc>
        <w:tc>
          <w:tcPr>
            <w:tcW w:type="dxa" w:w="123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Tregs</w:t>
            </w:r>
          </w:p>
        </w:tc>
      </w:tr>
      <w:tr>
        <w:trPr>
          <w:cantSplit/>
        </w:trPr>
        <w:tc>
          <w:tcPr>
            <w:tcW w:type="dxa" w:w="14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3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50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3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c>
          <w:tcPr>
            <w:tcW w:type="dxa" w:w="1230"/>
            <w:tcBorders>
              <w:top w:val="single" w:color="8A99AD" w:sz="4"/>
              <w:left w:val="single" w:color="8A99AD" w:sz="4"/>
              <w:bottom w:val="single" w:color="8A99AD" w:sz="4"/>
              <w:right w:val="single" w:color="8A99AD" w:sz="4"/>
            </w:tcBorders>
            <w:tcMar>
              <w:top w:type="dxa" w:w="60"/>
              <w:left w:type="dxa" w:w="90"/>
              <w:bottom w:type="dxa" w:w="60"/>
              <w:right w:type="dxa" w:w="90"/>
            </w:tcMar>
          </w:tcPr>
          <w:p>
            <w:r>
              <w:t>Pending review</w:t>
            </w:r>
          </w:p>
        </w:tc>
      </w:tr>
    </w:tbl>
    <w:p>
      <w:pPr>
        <w:spacing w:after="60"/>
      </w:pPr>
    </w:p>
    <w:p>
      <w:pPr>
        <w:keepNext/>
        <w:spacing w:after="80" w:before="200"/>
      </w:pPr>
      <w:r>
        <w:rPr>
          <w:rFonts w:ascii="Times New Roman" w:cs="Times New Roman" w:eastAsia="Times New Roman" w:hAnsi="Times New Roman"/>
          <w:b/>
          <w:bCs/>
          <w:sz w:val="21"/>
          <w:szCs w:val="21"/>
        </w:rPr>
        <w:t xml:space="preserve">Table 9.</w:t>
      </w:r>
      <w:r>
        <w:rPr>
          <w:rFonts w:ascii="Times New Roman" w:cs="Times New Roman" w:eastAsia="Times New Roman" w:hAnsi="Times New Roman"/>
          <w:sz w:val="21"/>
          <w:szCs w:val="21"/>
        </w:rPr>
        <w:t xml:space="preserve"> Planned reporting format for functional outcomes by cell type (data pending search and screening).</w:t>
      </w:r>
      <w:r>
        <w:rPr>
          <w:rFonts w:ascii="Times New Roman" w:cs="Times New Roman" w:eastAsia="Times New Roman" w:hAnsi="Times New Roman"/>
          <w:sz w:val="21"/>
          <w:szCs w:val="21"/>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2300"/>
        <w:gridCol w:w="2160"/>
      </w:tblGrid>
      <w:tr>
        <w:trPr>
          <w:cantSplit/>
          <w:tblHeader/>
        </w:trPr>
        <w:tc>
          <w:tcPr>
            <w:tcW w:type="dxa" w:w="26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Outcome</w:t>
            </w:r>
          </w:p>
        </w:tc>
        <w:tc>
          <w:tcPr>
            <w:tcW w:type="dxa" w:w="2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Effector T cells</w:t>
            </w:r>
          </w:p>
        </w:tc>
        <w:tc>
          <w:tcPr>
            <w:tcW w:type="dxa" w:w="2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Regulatory T cells</w:t>
            </w:r>
          </w:p>
        </w:tc>
        <w:tc>
          <w:tcPr>
            <w:tcW w:type="dxa" w:w="21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8"/>
                <w:szCs w:val="18"/>
              </w:rPr>
              <w:t xml:space="preserve">Matched comparison in one study?</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Proliferation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Cytokine production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Exhaustion markers</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Frequency or suppressive function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r>
        <w:trPr>
          <w:cantSplit/>
        </w:trPr>
        <w:tc>
          <w:tcPr>
            <w:tcW w:type="dxa" w:w="26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8"/>
                <w:szCs w:val="18"/>
              </w:rPr>
              <w:t xml:space="preserve">Tumour infiltration</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30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c>
          <w:tcPr>
            <w:tcW w:type="dxa" w:w="2160"/>
            <w:tcBorders>
              <w:top w:val="single" w:color="8A99AD" w:sz="4"/>
              <w:left w:val="single" w:color="8A99AD" w:sz="4"/>
              <w:bottom w:val="single" w:color="8A99AD" w:sz="4"/>
              <w:right w:val="single" w:color="8A99AD" w:sz="4"/>
            </w:tcBorders>
            <w:tcMar>
              <w:top w:type="dxa" w:w="60"/>
              <w:left w:type="dxa" w:w="90"/>
              <w:bottom w:type="dxa" w:w="60"/>
              <w:right w:type="dxa" w:w="90"/>
            </w:tcMar>
          </w:tcPr>
          <w:p>
            <w:r>
              <w:t>Not yet assessed; report after screening</w:t>
            </w:r>
          </w:p>
        </w:tc>
      </w:tr>
    </w:tbl>
    <w:p>
      <w:pPr>
        <w:spacing w:after="60"/>
      </w:pPr>
    </w:p>
    <w:p>
      <w:pPr>
        <w:keepNext/>
        <w:spacing w:after="60" w:before="120"/>
        <w:jc w:val="center"/>
      </w:pPr>
      <w:r>
        <w:rPr>
          <w:rFonts w:ascii="Times New Roman" w:hAnsi="Times New Roman"/>
          <w:sz w:val="21"/>
        </w:rPr>
        <w:drawing>
          <wp:inline distT="0" distB="0" distL="0" distR="0">
            <wp:extent cx="4286250" cy="2257425"/>
            <wp:effectExtent t="0" r="0" b="0" l="0"/>
            <wp:docPr id="4" name="Empty harvest plot layout with effector and regulatory T cells by exposure band" descr="Empty harvest plot layout with effector and regulatory T cells by exposure band" title="Empty harvest plot layout with effector and regulatory T cells by exposur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257425"/>
                    </a:xfrm>
                    <a:prstGeom prst="rect">
                      <a:avLst/>
                    </a:prstGeom>
                  </pic:spPr>
                </pic:pic>
              </a:graphicData>
            </a:graphic>
          </wp:inline>
        </w:drawing>
      </w:r>
    </w:p>
    <w:p>
      <w:pPr>
        <w:spacing w:after="200" w:before="60"/>
      </w:pPr>
      <w:r>
        <w:rPr>
          <w:rFonts w:ascii="Times New Roman" w:cs="Times New Roman" w:eastAsia="Times New Roman" w:hAnsi="Times New Roman"/>
          <w:b/>
          <w:bCs/>
          <w:i/>
          <w:iCs/>
          <w:sz w:val="18"/>
          <w:szCs w:val="18"/>
        </w:rPr>
        <w:t xml:space="preserve">Figure 4.</w:t>
      </w:r>
      <w:r>
        <w:rPr>
          <w:rFonts w:ascii="Times New Roman" w:cs="Times New Roman" w:eastAsia="Times New Roman" w:hAnsi="Times New Roman"/>
          <w:i/>
          <w:iCs/>
          <w:sz w:val="18"/>
          <w:szCs w:val="18"/>
        </w:rPr>
        <w:t xml:space="preserve"> Planned layout of the harvest plot. </w:t>
      </w:r>
      <w:r>
        <w:rPr>
          <w:rFonts w:ascii="Times New Roman" w:cs="Times New Roman" w:eastAsia="Times New Roman" w:hAnsi="Times New Roman"/>
          <w:i/>
          <w:iCs/>
          <w:sz w:val="18"/>
          <w:szCs w:val="18"/>
        </w:rPr>
        <w:t xml:space="preserve">Figure 5</w:t>
      </w:r>
      <w:r>
        <w:rPr>
          <w:rFonts w:ascii="Times New Roman" w:cs="Times New Roman" w:eastAsia="Times New Roman" w:hAnsi="Times New Roman"/>
          <w:i/>
          <w:iCs/>
          <w:sz w:val="18"/>
          <w:szCs w:val="18"/>
        </w:rPr>
        <w:t xml:space="preserve"> (VOSviewer network and overlay maps) will be generated from the Scopus export after the search is run and is not shown here.</w:t>
      </w:r>
    </w:p>
    <w:p>
      <w:pPr>
        <w:pStyle w:val="Heading1"/>
      </w:pPr>
      <w:r>
        <w:rPr>
          <w:rFonts w:ascii="Times New Roman" w:cs="Times New Roman" w:eastAsia="Times New Roman" w:hAnsi="Times New Roman"/>
          <w:sz w:val="21"/>
        </w:rPr>
        <w:t xml:space="preserve">Discussion</w:t>
      </w:r>
    </w:p>
    <w:p>
      <w:pPr>
        <w:spacing w:after="140" w:line="300"/>
        <w:jc w:val="both"/>
      </w:pPr>
      <w:r>
        <w:rPr>
          <w:rFonts w:ascii="Times New Roman" w:cs="Times New Roman" w:eastAsia="Times New Roman" w:hAnsi="Times New Roman"/>
          <w:sz w:val="21"/>
        </w:rPr>
        <w:t xml:space="preserve">This review will establish whether the differential effect of CDK4/6 inhibitors on effector and regulatory T cells, widely assumed in the combination-therapy literature, is supported consistently across dose, exposure duration, schedule and model. The question has a direct clinical referent. Simultaneous administration with checkpoint blockade has been associated with hepatotoxicity and pneumonitis, while low-dose and intermittent or pretreatment schedules have been proposed as ways to retain the immunological effect at lower toxicity.</w:t>
      </w:r>
      <w:r>
        <w:rPr>
          <w:rFonts w:ascii="Times New Roman" w:cs="Times New Roman" w:eastAsia="Times New Roman" w:hAnsi="Times New Roman"/>
          <w:sz w:val="21"/>
          <w:vertAlign w:val="superscript"/>
        </w:rPr>
        <w:t xml:space="preserve">8</w:t>
      </w:r>
      <w:r>
        <w:rPr>
          <w:rFonts w:ascii="Times New Roman" w:cs="Times New Roman" w:eastAsia="Times New Roman" w:hAnsi="Times New Roman"/>
          <w:sz w:val="21"/>
        </w:rPr>
        <w:t xml:space="preserve"> If effector and regulatory populations have different exposure–response relationships, the choice of dose and schedule becomes an immunological decision rather than a pharmacological convenience.</w:t>
      </w:r>
    </w:p>
    <w:p>
      <w:pPr>
        <w:spacing w:after="140" w:line="300"/>
        <w:jc w:val="both"/>
      </w:pPr>
      <w:r>
        <w:rPr>
          <w:rFonts w:ascii="Times New Roman" w:cs="Times New Roman" w:eastAsia="Times New Roman" w:hAnsi="Times New Roman"/>
          <w:sz w:val="21"/>
        </w:rPr>
        <w:t xml:space="preserve">Three features distinguish this review from existing narrative syntheses. First, dose and exposure duration will be standardised and set against clinically achievable plasma concentrations, so that findings obtained at concentrations beyond clinical reach are identified rather than aggregated with the rest. Second, outcomes will be separated by T-cell subtype throughout, and claims of cell-type specificity will rest only on studies that assessed both populations under matched conditions. If no study has made that direct comparison, that absence is itself a finding worth reporting. Third, a bibliometric map will show which agents, cell types and models dominate the literature and which combinations are rarely studied, which will inform the research agenda.</w:t>
      </w:r>
    </w:p>
    <w:p>
      <w:pPr>
        <w:spacing w:after="140" w:line="300"/>
        <w:jc w:val="both"/>
      </w:pPr>
      <w:r>
        <w:rPr>
          <w:rFonts w:ascii="Times New Roman" w:cs="Times New Roman" w:eastAsia="Times New Roman" w:hAnsi="Times New Roman"/>
          <w:sz w:val="21"/>
        </w:rPr>
        <w:t xml:space="preserve">Several limitations are anticipated. The evidence base is likely to be predominantly preclinical, which constrains what can be concluded for clinical practice; the review will state this limit rather than extrapolate past it. Heterogeneity in cell source, activation protocol, culture conditions and tumour model may preclude quantitative synthesis. Incomplete reporting of activation protocols and exposure parameters may reduce the number of studies contributing to the dose–response analysis. Restricting the review to CDK4/6 inhibitors improves the coherence of the synthesis but limits its scope. Keyword-based bibliometric maps depend on author keyword practices and on the database chosen, and will be interpreted as a description of the literature, not as evidence of effect. Finally, this document is a protocol: it cannot show that the proposed question has an answer in the published evidence.</w:t>
      </w:r>
    </w:p>
    <w:p>
      <w:pPr>
        <w:spacing w:after="140" w:line="300"/>
        <w:jc w:val="both"/>
      </w:pPr>
      <w:r>
        <w:rPr>
          <w:rFonts w:ascii="Times New Roman" w:cs="Times New Roman" w:eastAsia="Times New Roman" w:hAnsi="Times New Roman"/>
          <w:sz w:val="21"/>
        </w:rPr>
        <w:t>Findings will be disseminated through publication in a peer-reviewed journal and conference presentation, if applicable. The extraction sheet, screening log and risk-of-bias assessments will be deposited in a public repository to be selected before the review is completed so that the synthesis can be checked against its inputs.</w:t>
      </w:r>
    </w:p>
    <w:p>
      <w:pPr>
        <w:pStyle w:val="Heading1"/>
      </w:pPr>
      <w:r>
        <w:rPr>
          <w:rFonts w:ascii="Times New Roman" w:cs="Times New Roman" w:eastAsia="Times New Roman" w:hAnsi="Times New Roman"/>
          <w:sz w:val="21"/>
        </w:rPr>
        <w:t xml:space="preserve">Conclusions</w:t>
      </w:r>
    </w:p>
    <w:p>
      <w:pPr>
        <w:spacing w:after="140" w:line="300"/>
        <w:jc w:val="both"/>
      </w:pPr>
      <w:r>
        <w:rPr>
          <w:rFonts w:ascii="Times New Roman" w:cs="Times New Roman" w:eastAsia="Times New Roman" w:hAnsi="Times New Roman"/>
          <w:sz w:val="21"/>
        </w:rPr>
        <w:t xml:space="preserve">This protocol specifies, before any search is run, how the review will test whether CDK4/6 inhibitors act differently on effector and regulatory T cells and whether that difference depends on concentration, exposure duration and schedule. Fixing eligibility, outcomes, standardisation rules, risk-of-bias domains, synthesis bands and bibliometric settings in advance limits post hoc choices and allows the completed review to be audited against this document.</w:t>
      </w:r>
    </w:p>
    <w:p>
      <w:pPr>
        <w:pStyle w:val="Heading1"/>
      </w:pPr>
      <w:r>
        <w:rPr>
          <w:rFonts w:ascii="Times New Roman" w:cs="Times New Roman" w:eastAsia="Times New Roman" w:hAnsi="Times New Roman"/>
          <w:sz w:val="21"/>
        </w:rPr>
        <w:t xml:space="preserve">Statements and Declarations</w:t>
      </w:r>
    </w:p>
    <w:p>
      <w:pPr>
        <w:spacing w:after="120" w:line="276"/>
      </w:pPr>
      <w:r>
        <w:rPr>
          <w:rFonts w:ascii="Times New Roman" w:cs="Times New Roman" w:eastAsia="Times New Roman" w:hAnsi="Times New Roman"/>
          <w:sz w:val="21"/>
        </w:rPr>
        <w:t xml:space="preserve">This section reports ethical considerations, consent, author contributions, acknowledgements, competing interests, funding, data availability and supplemental material.</w:t>
      </w:r>
    </w:p>
    <w:p>
      <w:pPr>
        <w:pStyle w:val="Heading2"/>
      </w:pPr>
      <w:r>
        <w:rPr>
          <w:rFonts w:ascii="Times New Roman" w:cs="Times New Roman" w:eastAsia="Times New Roman" w:hAnsi="Times New Roman"/>
          <w:sz w:val="21"/>
        </w:rPr>
        <w:t xml:space="preserve">Ethical considerations</w:t>
      </w:r>
    </w:p>
    <w:p>
      <w:pPr>
        <w:spacing w:after="120" w:line="276"/>
      </w:pPr>
      <w:r>
        <w:rPr>
          <w:rFonts w:ascii="Times New Roman" w:cs="Times New Roman" w:eastAsia="Times New Roman" w:hAnsi="Times New Roman"/>
          <w:sz w:val="21"/>
        </w:rPr>
        <w:t xml:space="preserve">Not applicable. This review will synthesise previously published data and will not involve human participants, human data or human tissue; ethical approval is therefore not required.</w:t>
      </w:r>
    </w:p>
    <w:p>
      <w:pPr>
        <w:pStyle w:val="Heading2"/>
      </w:pPr>
      <w:r>
        <w:rPr>
          <w:rFonts w:ascii="Times New Roman" w:cs="Times New Roman" w:eastAsia="Times New Roman" w:hAnsi="Times New Roman"/>
          <w:sz w:val="21"/>
        </w:rPr>
        <w:t xml:space="preserve">Consent to participate</w:t>
      </w:r>
    </w:p>
    <w:p>
      <w:pPr>
        <w:spacing w:after="120" w:line="276"/>
      </w:pPr>
      <w:r>
        <w:rPr>
          <w:rFonts w:ascii="Times New Roman" w:cs="Times New Roman" w:eastAsia="Times New Roman" w:hAnsi="Times New Roman"/>
          <w:sz w:val="21"/>
        </w:rPr>
        <w:t xml:space="preserve">Not applicable.</w:t>
      </w:r>
    </w:p>
    <w:p>
      <w:pPr>
        <w:pStyle w:val="Heading2"/>
      </w:pPr>
      <w:r>
        <w:rPr>
          <w:rFonts w:ascii="Times New Roman" w:cs="Times New Roman" w:eastAsia="Times New Roman" w:hAnsi="Times New Roman"/>
          <w:sz w:val="21"/>
        </w:rPr>
        <w:t xml:space="preserve">Consent for publication</w:t>
      </w:r>
    </w:p>
    <w:p>
      <w:pPr>
        <w:spacing w:after="120" w:line="276"/>
      </w:pPr>
      <w:r>
        <w:rPr>
          <w:rFonts w:ascii="Times New Roman" w:cs="Times New Roman" w:eastAsia="Times New Roman" w:hAnsi="Times New Roman"/>
          <w:sz w:val="21"/>
        </w:rPr>
        <w:t xml:space="preserve">Not applicable.</w:t>
      </w:r>
    </w:p>
    <w:p>
      <w:pPr>
        <w:pStyle w:val="Heading2"/>
      </w:pPr>
      <w:r>
        <w:rPr>
          <w:rFonts w:ascii="Times New Roman" w:cs="Times New Roman" w:eastAsia="Times New Roman" w:hAnsi="Times New Roman"/>
          <w:sz w:val="21"/>
        </w:rPr>
        <w:t xml:space="preserve">Author contributions</w:t>
      </w:r>
    </w:p>
    <w:p>
      <w:pPr>
        <w:spacing w:after="120" w:line="276"/>
      </w:pPr>
      <w:r>
        <w:rPr>
          <w:rFonts w:ascii="Times New Roman" w:hAnsi="Times New Roman"/>
          <w:sz w:val="21"/>
        </w:rPr>
        <w:t>Author contribution to be confirmed before submission: Conceptualization; Methodology; Writing – original draft.</w:t>
      </w:r>
    </w:p>
    <w:p>
      <w:pPr>
        <w:spacing w:after="120" w:line="276"/>
      </w:pPr>
      <w:r>
        <w:rPr>
          <w:rFonts w:ascii="Times New Roman" w:hAnsi="Times New Roman"/>
          <w:sz w:val="21"/>
        </w:rPr>
        <w:t>Author contribution to be confirmed before submission: Methodology; Investigation; Writing – review and editing.</w:t>
      </w:r>
    </w:p>
    <w:p>
      <w:pPr>
        <w:spacing w:after="120" w:line="276"/>
      </w:pPr>
      <w:r>
        <w:rPr>
          <w:rFonts w:ascii="Times New Roman" w:hAnsi="Times New Roman"/>
          <w:sz w:val="21"/>
        </w:rPr>
        <w:t>Author contribution to be confirmed before submission: Supervision; Validation; Writing – review and editing.</w:t>
      </w:r>
    </w:p>
    <w:p>
      <w:pPr>
        <w:pStyle w:val="Heading2"/>
      </w:pPr>
      <w:r>
        <w:rPr>
          <w:rFonts w:ascii="Times New Roman" w:cs="Times New Roman" w:eastAsia="Times New Roman" w:hAnsi="Times New Roman"/>
          <w:sz w:val="21"/>
        </w:rPr>
        <w:t xml:space="preserve">Acknowledgements</w:t>
      </w:r>
    </w:p>
    <w:p>
      <w:pPr>
        <w:spacing w:after="120" w:line="276"/>
      </w:pPr>
      <w:r>
        <w:rPr>
          <w:rFonts w:ascii="Times New Roman" w:cs="Times New Roman" w:eastAsia="Times New Roman" w:hAnsi="Times New Roman"/>
          <w:sz w:val="21"/>
        </w:rPr>
        <w:t>No acknowledgements are specified at this protocol stage.</w:t>
      </w:r>
    </w:p>
    <w:p>
      <w:pPr>
        <w:spacing w:after="120" w:line="276"/>
      </w:pPr>
      <w:r>
        <w:rPr>
          <w:rFonts w:ascii="Times New Roman" w:hAnsi="Times New Roman"/>
          <w:sz w:val="21"/>
        </w:rPr>
        <w:t>Generative AI assistance was used to support drafting and formatting of this protocol. The author(s) must review and verify all content, including every reference, and take full responsibility for the final manuscript. No AI tool is listed as an author.</w:t>
      </w:r>
    </w:p>
    <w:p>
      <w:pPr>
        <w:pStyle w:val="Heading2"/>
      </w:pPr>
      <w:r>
        <w:rPr>
          <w:rFonts w:ascii="Times New Roman" w:cs="Times New Roman" w:eastAsia="Times New Roman" w:hAnsi="Times New Roman"/>
          <w:sz w:val="21"/>
        </w:rPr>
        <w:t xml:space="preserve">Declaration of conflicting interests</w:t>
      </w:r>
    </w:p>
    <w:p>
      <w:pPr>
        <w:spacing w:after="120" w:line="276"/>
      </w:pPr>
      <w:r>
        <w:rPr>
          <w:rFonts w:ascii="Times New Roman" w:cs="Times New Roman" w:eastAsia="Times New Roman" w:hAnsi="Times New Roman"/>
          <w:sz w:val="21"/>
        </w:rPr>
        <w:t>The authors must confirm and declare any competing interests before submission.</w:t>
      </w:r>
    </w:p>
    <w:p>
      <w:pPr>
        <w:pStyle w:val="Heading2"/>
      </w:pPr>
      <w:r>
        <w:rPr>
          <w:rFonts w:ascii="Times New Roman" w:cs="Times New Roman" w:eastAsia="Times New Roman" w:hAnsi="Times New Roman"/>
          <w:sz w:val="21"/>
        </w:rPr>
        <w:t xml:space="preserve">Funding</w:t>
      </w:r>
    </w:p>
    <w:p>
      <w:pPr>
        <w:spacing w:after="120" w:line="276"/>
      </w:pPr>
      <w:r>
        <w:rPr>
          <w:rFonts w:ascii="Times New Roman" w:hAnsi="Times New Roman"/>
          <w:sz w:val="21"/>
        </w:rPr>
        <w:t>Funding: The author(s) must confirm the funding status before submission. If the review receives funding or sponsorship, the manuscript will state the funder's role in the design of the review, selection and interpretation of evidence, and decision to publish.</w:t>
      </w:r>
    </w:p>
    <w:p>
      <w:pPr>
        <w:pStyle w:val="Heading2"/>
      </w:pPr>
      <w:r>
        <w:rPr>
          <w:rFonts w:ascii="Times New Roman" w:cs="Times New Roman" w:eastAsia="Times New Roman" w:hAnsi="Times New Roman"/>
          <w:sz w:val="21"/>
        </w:rPr>
        <w:t xml:space="preserve">Data availability statement</w:t>
      </w:r>
    </w:p>
    <w:p>
      <w:pPr>
        <w:spacing w:after="120" w:line="276"/>
      </w:pPr>
      <w:r>
        <w:rPr>
          <w:rFonts w:ascii="Times New Roman" w:cs="Times New Roman" w:eastAsia="Times New Roman" w:hAnsi="Times New Roman"/>
          <w:sz w:val="21"/>
        </w:rPr>
        <w:t>No new data were generated for this protocol. On completion of the review, the search strategies, screening decisions, extraction sheet and risk-of-bias assessments will be made available in a public repository to be selected before the review is completed.</w:t>
      </w:r>
    </w:p>
    <w:p>
      <w:pPr>
        <w:pStyle w:val="Heading2"/>
      </w:pPr>
      <w:r>
        <w:rPr>
          <w:rFonts w:ascii="Times New Roman" w:cs="Times New Roman" w:eastAsia="Times New Roman" w:hAnsi="Times New Roman"/>
          <w:sz w:val="21"/>
        </w:rPr>
        <w:t xml:space="preserve">Supplemental material</w:t>
      </w:r>
    </w:p>
    <w:p>
      <w:pPr>
        <w:spacing w:after="120" w:line="276"/>
      </w:pPr>
      <w:r>
        <w:rPr>
          <w:rFonts w:ascii="Times New Roman" w:cs="Times New Roman" w:eastAsia="Times New Roman" w:hAnsi="Times New Roman"/>
          <w:sz w:val="21"/>
        </w:rPr>
        <w:t xml:space="preserve">1. Supplementary File 1: PRISMA 2020 checklist</w:t>
      </w:r>
    </w:p>
    <w:p>
      <w:pPr>
        <w:spacing w:after="120" w:line="276"/>
      </w:pPr>
      <w:r>
        <w:rPr>
          <w:rFonts w:ascii="Times New Roman" w:cs="Times New Roman" w:eastAsia="Times New Roman" w:hAnsi="Times New Roman"/>
          <w:sz w:val="21"/>
        </w:rPr>
        <w:t xml:space="preserve">2. Supplementary File 2: full search strategies for all databases, with record counts and dates</w:t>
      </w:r>
    </w:p>
    <w:p>
      <w:r>
        <w:rPr>
          <w:rFonts w:ascii="Times New Roman" w:hAnsi="Times New Roman"/>
          <w:sz w:val="21"/>
        </w:rPr>
        <w:br w:type="page"/>
      </w:r>
    </w:p>
    <w:p>
      <w:pPr>
        <w:pStyle w:val="Heading1"/>
      </w:pPr>
      <w:r>
        <w:rPr>
          <w:rFonts w:ascii="Times New Roman" w:cs="Times New Roman" w:eastAsia="Times New Roman" w:hAnsi="Times New Roman"/>
          <w:sz w:val="21"/>
        </w:rPr>
        <w:t xml:space="preserve">PRISMA-P compliance map</w:t>
      </w:r>
    </w:p>
    <w:p>
      <w:pPr>
        <w:spacing w:after="120" w:line="276"/>
      </w:pPr>
      <w:r>
        <w:rPr>
          <w:rFonts w:ascii="Times New Roman" w:cs="Times New Roman" w:eastAsia="Times New Roman" w:hAnsi="Times New Roman"/>
          <w:sz w:val="21"/>
        </w:rPr>
        <w:t xml:space="preserve">Table 10 maps each PRISMA-P item</w:t>
      </w:r>
      <w:r>
        <w:rPr>
          <w:rFonts w:ascii="Times New Roman" w:cs="Times New Roman" w:eastAsia="Times New Roman" w:hAnsi="Times New Roman"/>
          <w:sz w:val="21"/>
          <w:vertAlign w:val="superscript"/>
        </w:rPr>
        <w:t xml:space="preserve">9,10</w:t>
      </w:r>
      <w:r>
        <w:rPr>
          <w:rFonts w:ascii="Times New Roman" w:cs="Times New Roman" w:eastAsia="Times New Roman" w:hAnsi="Times New Roman"/>
          <w:sz w:val="21"/>
        </w:rPr>
        <w:t xml:space="preserve"> to where it is addressed. "Author to complete" marks items that need information only the authors hold.</w:t>
      </w:r>
    </w:p>
    <w:p>
      <w:pPr>
        <w:keepNext/>
        <w:spacing w:after="80" w:before="200"/>
      </w:pPr>
      <w:r>
        <w:rPr>
          <w:rFonts w:ascii="Times New Roman" w:cs="Times New Roman" w:eastAsia="Times New Roman" w:hAnsi="Times New Roman"/>
          <w:b/>
          <w:bCs/>
          <w:sz w:val="21"/>
          <w:szCs w:val="21"/>
        </w:rPr>
        <w:t xml:space="preserve">Table 10.</w:t>
      </w:r>
      <w:r>
        <w:rPr>
          <w:rFonts w:ascii="Times New Roman" w:cs="Times New Roman" w:eastAsia="Times New Roman" w:hAnsi="Times New Roman"/>
          <w:sz w:val="21"/>
          <w:szCs w:val="21"/>
        </w:rPr>
        <w:t xml:space="preserve"> PRISMA-P items and their location in this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360"/>
        <w:gridCol w:w="1800"/>
      </w:tblGrid>
      <w:tr>
        <w:trPr>
          <w:cantSplit/>
          <w:tblHeader/>
        </w:trPr>
        <w:tc>
          <w:tcPr>
            <w:tcW w:type="dxa" w:w="9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Item</w:t>
            </w:r>
          </w:p>
        </w:tc>
        <w:tc>
          <w:tcPr>
            <w:tcW w:type="dxa" w:w="33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Topic</w:t>
            </w:r>
          </w:p>
        </w:tc>
        <w:tc>
          <w:tcPr>
            <w:tcW w:type="dxa" w:w="336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Location</w:t>
            </w:r>
          </w:p>
        </w:tc>
        <w:tc>
          <w:tcPr>
            <w:tcW w:type="dxa" w:w="1800"/>
            <w:tcBorders>
              <w:top w:val="single" w:color="8A99AD" w:sz="4"/>
              <w:left w:val="single" w:color="8A99AD" w:sz="4"/>
              <w:bottom w:val="single" w:color="8A99AD" w:sz="4"/>
              <w:right w:val="single" w:color="8A99AD" w:sz="4"/>
            </w:tcBorders>
            <w:shd w:fill="DCE6F2" w:color="auto" w:val="clear"/>
            <w:tcMar>
              <w:top w:type="dxa" w:w="60"/>
              <w:left w:type="dxa" w:w="90"/>
              <w:bottom w:type="dxa" w:w="60"/>
              <w:right w:type="dxa" w:w="90"/>
            </w:tcMar>
          </w:tcPr>
          <w:p>
            <w:pPr>
              <w:keepNext/>
              <w:spacing w:after="20"/>
            </w:pPr>
            <w:r>
              <w:rPr>
                <w:rFonts w:ascii="Times New Roman" w:cs="Times New Roman" w:eastAsia="Times New Roman" w:hAnsi="Times New Roman"/>
                <w:b/>
                <w:bCs/>
                <w:sz w:val="19"/>
                <w:szCs w:val="19"/>
              </w:rPr>
              <w:t xml:space="preserve">Status</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Identification as a protocol</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Update of a previous review</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Not an update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2</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Registration</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Design and registration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to complete</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3a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Authors and contact details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Title page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to complete</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3b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Contributions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Statements and Declarations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to complete</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4</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Amendments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Design and registration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5a–5c</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Support, sponsor and role of funder</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Funding</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Author to complete</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6</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Rationale</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Introduction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7</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Objectives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Introduction; Abstract</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8</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Eligibility criteria</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2</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9</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Information sources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Information sources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Partly (dates)</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10</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Search strategy</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Supplementary File 2</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Partly (other databases)</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11a</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management</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Data management</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11b</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Selection process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Selection process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Partly (initials, software)</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11c</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collection process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Data extraction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Partly (software)</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12</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items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3</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13</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Outcomes and prioritisation</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Outcomes and prioritisation</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 (authors to confirm)</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14</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Risk of bias in individual studies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Table 4</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15a–15d</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Data synthesis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Synthesis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16</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Meta-bias</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Reporting bias</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Reported</w:t>
            </w:r>
          </w:p>
        </w:tc>
      </w:tr>
      <w:tr>
        <w:trPr>
          <w:cantSplit/>
        </w:trPr>
        <w:tc>
          <w:tcPr>
            <w:tcW w:type="dxa" w:w="9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17</w:t>
            </w:r>
          </w:p>
        </w:tc>
        <w:tc>
          <w:tcPr>
            <w:tcW w:type="dxa" w:w="33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Confidence in cumulative evidence</w:t>
            </w:r>
          </w:p>
        </w:tc>
        <w:tc>
          <w:tcPr>
            <w:tcW w:type="dxa" w:w="336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Method: Certainty of evidence</w:t>
            </w:r>
          </w:p>
        </w:tc>
        <w:tc>
          <w:tcPr>
            <w:tcW w:type="dxa" w:w="1800"/>
            <w:tcBorders>
              <w:top w:val="single" w:color="8A99AD" w:sz="4"/>
              <w:left w:val="single" w:color="8A99AD" w:sz="4"/>
              <w:bottom w:val="single" w:color="8A99AD" w:sz="4"/>
              <w:right w:val="single" w:color="8A99AD" w:sz="4"/>
            </w:tcBorders>
            <w:tcMar>
              <w:top w:type="dxa" w:w="60"/>
              <w:left w:type="dxa" w:w="90"/>
              <w:bottom w:type="dxa" w:w="60"/>
              <w:right w:type="dxa" w:w="90"/>
            </w:tcMar>
          </w:tcPr>
          <w:p>
            <w:pPr>
              <w:keepNext w:val="false"/>
              <w:spacing w:after="20"/>
            </w:pPr>
            <w:r>
              <w:rPr>
                <w:rFonts w:ascii="Times New Roman" w:cs="Times New Roman" w:eastAsia="Times New Roman" w:hAnsi="Times New Roman"/>
                <w:b w:val="false"/>
                <w:bCs w:val="false"/>
                <w:sz w:val="19"/>
                <w:szCs w:val="19"/>
              </w:rPr>
              <w:t xml:space="preserve">Partly (choose GRADE option)</w:t>
            </w:r>
          </w:p>
        </w:tc>
      </w:tr>
    </w:tbl>
    <w:p>
      <w:r>
        <w:rPr>
          <w:rFonts w:ascii="Times New Roman" w:hAnsi="Times New Roman"/>
          <w:sz w:val="21"/>
        </w:rPr>
        <w:br w:type="page"/>
      </w:r>
    </w:p>
    <w:p>
      <w:pPr>
        <w:pStyle w:val="Heading1"/>
      </w:pPr>
      <w:r>
        <w:rPr>
          <w:rFonts w:ascii="Times New Roman" w:cs="Times New Roman" w:eastAsia="Times New Roman" w:hAnsi="Times New Roman"/>
          <w:sz w:val="21"/>
        </w:rPr>
        <w:t xml:space="preserve">References</w:t>
      </w:r>
    </w:p>
    <w:p>
      <w:pPr>
        <w:spacing w:after="120" w:line="276"/>
      </w:pPr>
      <w:r>
        <w:rPr>
          <w:rFonts w:ascii="Times New Roman" w:cs="Times New Roman" w:eastAsia="Times New Roman" w:hAnsi="Times New Roman"/>
          <w:sz w:val="21"/>
        </w:rPr>
        <w:t xml:space="preserve">Sage Vancouver style: numbered in order of first appearance. Every DOI below was checked against its Crossref record for title, first authors, journal, year and volume.</w:t>
      </w:r>
    </w:p>
    <w:p>
      <w:pPr>
        <w:pStyle w:val="ListParagraph"/>
        <w:numPr>
          <w:ilvl w:val="0"/>
          <w:numId w:val="2"/>
        </w:numPr>
        <w:spacing w:after="90"/>
      </w:pPr>
      <w:r>
        <w:rPr>
          <w:rFonts w:ascii="Times New Roman" w:cs="Times New Roman" w:eastAsia="Times New Roman" w:hAnsi="Times New Roman"/>
          <w:sz w:val="21"/>
          <w:szCs w:val="21"/>
        </w:rPr>
        <w:t xml:space="preserve">Goel S, DeCristo MJ, Watt AC, et al. CDK4/6 inhibition triggers anti-tumour immunity. </w:t>
      </w:r>
      <w:r>
        <w:rPr>
          <w:rFonts w:ascii="Times New Roman" w:cs="Times New Roman" w:eastAsia="Times New Roman" w:hAnsi="Times New Roman"/>
          <w:i/>
          <w:iCs/>
          <w:sz w:val="21"/>
          <w:szCs w:val="21"/>
        </w:rPr>
        <w:t xml:space="preserve">Nature</w:t>
      </w:r>
      <w:r>
        <w:rPr>
          <w:rFonts w:ascii="Times New Roman" w:cs="Times New Roman" w:eastAsia="Times New Roman" w:hAnsi="Times New Roman"/>
          <w:sz w:val="21"/>
          <w:szCs w:val="21"/>
        </w:rPr>
        <w:t xml:space="preserve">. 2017;548(7668):471–475. doi:10.1038/nature23465</w:t>
      </w:r>
    </w:p>
    <w:p>
      <w:pPr>
        <w:pStyle w:val="ListParagraph"/>
        <w:numPr>
          <w:ilvl w:val="0"/>
          <w:numId w:val="2"/>
        </w:numPr>
        <w:spacing w:after="90"/>
      </w:pPr>
      <w:r>
        <w:rPr>
          <w:rFonts w:ascii="Times New Roman" w:cs="Times New Roman" w:eastAsia="Times New Roman" w:hAnsi="Times New Roman"/>
          <w:sz w:val="21"/>
          <w:szCs w:val="21"/>
        </w:rPr>
        <w:t xml:space="preserve">Deng J, Wang ES, Jenkins RW, et al. CDK4/6 inhibition augments antitumor immunity by enhancing T-cell activation.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2018;8(2):216–233. doi:10.1158/2159-8290.CD-17-0915</w:t>
      </w:r>
    </w:p>
    <w:p>
      <w:pPr>
        <w:pStyle w:val="ListParagraph"/>
        <w:numPr>
          <w:ilvl w:val="0"/>
          <w:numId w:val="2"/>
        </w:numPr>
        <w:spacing w:after="90"/>
      </w:pPr>
      <w:r>
        <w:rPr>
          <w:rFonts w:ascii="Times New Roman" w:cs="Times New Roman" w:eastAsia="Times New Roman" w:hAnsi="Times New Roman"/>
          <w:sz w:val="21"/>
          <w:szCs w:val="21"/>
        </w:rPr>
        <w:t xml:space="preserve">Schaer DA, Beckmann RP, Dempsey JA, et al. The CDK4/6 inhibitor abemaciclib induces a T cell inflamed tumor microenvironment and enhances the efficacy of PD-L1 checkpoint blockade. </w:t>
      </w:r>
      <w:r>
        <w:rPr>
          <w:rFonts w:ascii="Times New Roman" w:cs="Times New Roman" w:eastAsia="Times New Roman" w:hAnsi="Times New Roman"/>
          <w:i/>
          <w:iCs/>
          <w:sz w:val="21"/>
          <w:szCs w:val="21"/>
        </w:rPr>
        <w:t xml:space="preserve">Cell Rep</w:t>
      </w:r>
      <w:r>
        <w:rPr>
          <w:rFonts w:ascii="Times New Roman" w:cs="Times New Roman" w:eastAsia="Times New Roman" w:hAnsi="Times New Roman"/>
          <w:sz w:val="21"/>
          <w:szCs w:val="21"/>
        </w:rPr>
        <w:t xml:space="preserve">. 2018;22(11):2978–2994. doi:10.1016/j.celrep.2018.02.053</w:t>
      </w:r>
    </w:p>
    <w:p>
      <w:pPr>
        <w:pStyle w:val="ListParagraph"/>
        <w:numPr>
          <w:ilvl w:val="0"/>
          <w:numId w:val="2"/>
        </w:numPr>
        <w:spacing w:after="90"/>
      </w:pPr>
      <w:r>
        <w:rPr>
          <w:rFonts w:ascii="Times New Roman" w:cs="Times New Roman" w:eastAsia="Times New Roman" w:hAnsi="Times New Roman"/>
          <w:sz w:val="21"/>
          <w:szCs w:val="21"/>
        </w:rPr>
        <w:t xml:space="preserve">Heckler M, Ali LR, Clancy-Thompson E, et al. Inhibition of CDK4/6 promotes CD8 T-cell memory formation.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2021;11(10):2564–2581. doi:10.1158/2159-8290.CD-20-1540</w:t>
      </w:r>
    </w:p>
    <w:p>
      <w:pPr>
        <w:pStyle w:val="ListParagraph"/>
        <w:numPr>
          <w:ilvl w:val="0"/>
          <w:numId w:val="2"/>
        </w:numPr>
        <w:spacing w:after="90"/>
      </w:pPr>
      <w:r>
        <w:rPr>
          <w:rFonts w:ascii="Times New Roman" w:cs="Times New Roman" w:eastAsia="Times New Roman" w:hAnsi="Times New Roman"/>
          <w:sz w:val="21"/>
          <w:szCs w:val="21"/>
        </w:rPr>
        <w:t xml:space="preserve">Lelliott EJ, Kong IY, Zethoven M, et al. CDK4/6 inhibition promotes antitumor immunity through the induction of T-cell memory. </w:t>
      </w:r>
      <w:r>
        <w:rPr>
          <w:rFonts w:ascii="Times New Roman" w:cs="Times New Roman" w:eastAsia="Times New Roman" w:hAnsi="Times New Roman"/>
          <w:i/>
          <w:iCs/>
          <w:sz w:val="21"/>
          <w:szCs w:val="21"/>
        </w:rPr>
        <w:t xml:space="preserve">Cancer Discov</w:t>
      </w:r>
      <w:r>
        <w:rPr>
          <w:rFonts w:ascii="Times New Roman" w:cs="Times New Roman" w:eastAsia="Times New Roman" w:hAnsi="Times New Roman"/>
          <w:sz w:val="21"/>
          <w:szCs w:val="21"/>
        </w:rPr>
        <w:t xml:space="preserve">. 2021;11(10):2582–2601. doi:10.1158/2159-8290.CD-20-1554</w:t>
      </w:r>
    </w:p>
    <w:p>
      <w:pPr>
        <w:pStyle w:val="ListParagraph"/>
        <w:numPr>
          <w:ilvl w:val="0"/>
          <w:numId w:val="2"/>
        </w:numPr>
        <w:spacing w:after="90"/>
      </w:pPr>
      <w:r>
        <w:rPr>
          <w:rFonts w:ascii="Times New Roman" w:cs="Times New Roman" w:eastAsia="Times New Roman" w:hAnsi="Times New Roman"/>
          <w:sz w:val="21"/>
          <w:szCs w:val="21"/>
        </w:rPr>
        <w:t xml:space="preserve">Arndt C, Tunger A, Wehner R, et al. Palbociclib impairs the proliferative capacity of activated T cells while retaining their cytotoxic efficacy. </w:t>
      </w:r>
      <w:r>
        <w:rPr>
          <w:rFonts w:ascii="Times New Roman" w:cs="Times New Roman" w:eastAsia="Times New Roman" w:hAnsi="Times New Roman"/>
          <w:i/>
          <w:iCs/>
          <w:sz w:val="21"/>
          <w:szCs w:val="21"/>
        </w:rPr>
        <w:t xml:space="preserve">Front Pharmacol</w:t>
      </w:r>
      <w:r>
        <w:rPr>
          <w:rFonts w:ascii="Times New Roman" w:cs="Times New Roman" w:eastAsia="Times New Roman" w:hAnsi="Times New Roman"/>
          <w:sz w:val="21"/>
          <w:szCs w:val="21"/>
        </w:rPr>
        <w:t xml:space="preserve">. 2023;14:970457. doi:10.3389/fphar.2023.970457</w:t>
      </w:r>
    </w:p>
    <w:p>
      <w:pPr>
        <w:pStyle w:val="ListParagraph"/>
        <w:numPr>
          <w:ilvl w:val="0"/>
          <w:numId w:val="2"/>
        </w:numPr>
        <w:spacing w:after="90"/>
      </w:pPr>
      <w:r>
        <w:rPr>
          <w:rFonts w:ascii="Times New Roman" w:cs="Times New Roman" w:eastAsia="Times New Roman" w:hAnsi="Times New Roman"/>
          <w:sz w:val="21"/>
          <w:szCs w:val="21"/>
        </w:rPr>
        <w:t xml:space="preserve">Kumar A, Ramani V, Bharti V, et al. Dendritic cell therapy augments antitumor immunity triggered by CDK4/6 inhibition and immune checkpoint blockade by unleashing systemic CD4 T-cell responses. </w:t>
      </w:r>
      <w:r>
        <w:rPr>
          <w:rFonts w:ascii="Times New Roman" w:cs="Times New Roman" w:eastAsia="Times New Roman" w:hAnsi="Times New Roman"/>
          <w:i/>
          <w:iCs/>
          <w:sz w:val="21"/>
          <w:szCs w:val="21"/>
        </w:rPr>
        <w:t xml:space="preserve">J Immunother Cancer</w:t>
      </w:r>
      <w:r>
        <w:rPr>
          <w:rFonts w:ascii="Times New Roman" w:cs="Times New Roman" w:eastAsia="Times New Roman" w:hAnsi="Times New Roman"/>
          <w:sz w:val="21"/>
          <w:szCs w:val="21"/>
        </w:rPr>
        <w:t xml:space="preserve">. 2023;11:e006019. doi:10.1136/jitc-2022-006019</w:t>
      </w:r>
    </w:p>
    <w:p>
      <w:pPr>
        <w:pStyle w:val="ListParagraph"/>
        <w:numPr>
          <w:ilvl w:val="0"/>
          <w:numId w:val="2"/>
        </w:numPr>
        <w:spacing w:after="90"/>
      </w:pPr>
      <w:r>
        <w:rPr>
          <w:rFonts w:ascii="Times New Roman" w:cs="Times New Roman" w:eastAsia="Times New Roman" w:hAnsi="Times New Roman"/>
          <w:sz w:val="21"/>
          <w:szCs w:val="21"/>
        </w:rPr>
        <w:t xml:space="preserve">Liu Y, Deng Y, Yang C, et al. Double-faced immunological effects of CDK4/6 inhibitors on cancer treatment: challenges and perspectives. </w:t>
      </w:r>
      <w:r>
        <w:rPr>
          <w:rFonts w:ascii="Times New Roman" w:cs="Times New Roman" w:eastAsia="Times New Roman" w:hAnsi="Times New Roman"/>
          <w:i/>
          <w:iCs/>
          <w:sz w:val="21"/>
          <w:szCs w:val="21"/>
        </w:rPr>
        <w:t xml:space="preserve">Bioengineering (Basel)</w:t>
      </w:r>
      <w:r>
        <w:rPr>
          <w:rFonts w:ascii="Times New Roman" w:cs="Times New Roman" w:eastAsia="Times New Roman" w:hAnsi="Times New Roman"/>
          <w:sz w:val="21"/>
          <w:szCs w:val="21"/>
        </w:rPr>
        <w:t xml:space="preserve">. 2024;11(11):1084. doi:10.3390/bioengineering11111084</w:t>
      </w:r>
    </w:p>
    <w:p>
      <w:pPr>
        <w:pStyle w:val="ListParagraph"/>
        <w:numPr>
          <w:ilvl w:val="0"/>
          <w:numId w:val="2"/>
        </w:numPr>
        <w:spacing w:after="90"/>
      </w:pPr>
      <w:r>
        <w:rPr>
          <w:rFonts w:ascii="Times New Roman" w:cs="Times New Roman" w:eastAsia="Times New Roman" w:hAnsi="Times New Roman"/>
          <w:sz w:val="21"/>
          <w:szCs w:val="21"/>
        </w:rPr>
        <w:t xml:space="preserve">Moher D, Shamseer L, Clarke M, et al. Preferred reporting items for systematic review and meta-analysis protocols (PRISMA-P) 2015 statement. </w:t>
      </w:r>
      <w:r>
        <w:rPr>
          <w:rFonts w:ascii="Times New Roman" w:cs="Times New Roman" w:eastAsia="Times New Roman" w:hAnsi="Times New Roman"/>
          <w:i/>
          <w:iCs/>
          <w:sz w:val="21"/>
          <w:szCs w:val="21"/>
        </w:rPr>
        <w:t xml:space="preserve">Syst Rev</w:t>
      </w:r>
      <w:r>
        <w:rPr>
          <w:rFonts w:ascii="Times New Roman" w:cs="Times New Roman" w:eastAsia="Times New Roman" w:hAnsi="Times New Roman"/>
          <w:sz w:val="21"/>
          <w:szCs w:val="21"/>
        </w:rPr>
        <w:t xml:space="preserve">. 2015;4:1. doi:10.1186/2046-4053-4-1</w:t>
      </w:r>
    </w:p>
    <w:p>
      <w:pPr>
        <w:pStyle w:val="ListParagraph"/>
        <w:numPr>
          <w:ilvl w:val="0"/>
          <w:numId w:val="2"/>
        </w:numPr>
        <w:spacing w:after="90"/>
      </w:pPr>
      <w:r>
        <w:rPr>
          <w:rFonts w:ascii="Times New Roman" w:cs="Times New Roman" w:eastAsia="Times New Roman" w:hAnsi="Times New Roman"/>
          <w:sz w:val="21"/>
          <w:szCs w:val="21"/>
        </w:rPr>
        <w:t xml:space="preserve">Shamseer L, Moher D, Clarke M, et al. Preferred reporting items for systematic review and meta-analysis protocols (PRISMA-P) 2015: elaboration and explanation.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2015;349:g7647. doi:10.1136/bmj.g7647</w:t>
      </w:r>
    </w:p>
    <w:p>
      <w:pPr>
        <w:pStyle w:val="ListParagraph"/>
        <w:numPr>
          <w:ilvl w:val="0"/>
          <w:numId w:val="2"/>
        </w:numPr>
        <w:spacing w:after="90"/>
      </w:pPr>
      <w:r>
        <w:rPr>
          <w:rFonts w:ascii="Times New Roman" w:cs="Times New Roman" w:eastAsia="Times New Roman" w:hAnsi="Times New Roman"/>
          <w:sz w:val="21"/>
          <w:szCs w:val="21"/>
        </w:rPr>
        <w:t xml:space="preserve">Page MJ, McKenzie JE, Bossuyt PM, et al. The PRISMA 2020 statement: an updated guideline for reporting systematic reviews.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2021;372:n71. doi:10.1136/bmj.n71</w:t>
      </w:r>
    </w:p>
    <w:p>
      <w:pPr>
        <w:pStyle w:val="ListParagraph"/>
        <w:numPr>
          <w:ilvl w:val="0"/>
          <w:numId w:val="2"/>
        </w:numPr>
        <w:spacing w:after="90"/>
      </w:pPr>
      <w:r>
        <w:rPr>
          <w:rFonts w:ascii="Times New Roman" w:cs="Times New Roman" w:eastAsia="Times New Roman" w:hAnsi="Times New Roman"/>
          <w:sz w:val="21"/>
          <w:szCs w:val="21"/>
        </w:rPr>
        <w:t xml:space="preserve">Ouzzani M, Hammady H, Fedorowicz Z, et al. Rayyan: a web and mobile app for systematic reviews. </w:t>
      </w:r>
      <w:r>
        <w:rPr>
          <w:rFonts w:ascii="Times New Roman" w:cs="Times New Roman" w:eastAsia="Times New Roman" w:hAnsi="Times New Roman"/>
          <w:i/>
          <w:iCs/>
          <w:sz w:val="21"/>
          <w:szCs w:val="21"/>
        </w:rPr>
        <w:t xml:space="preserve">Syst Rev</w:t>
      </w:r>
      <w:r>
        <w:rPr>
          <w:rFonts w:ascii="Times New Roman" w:cs="Times New Roman" w:eastAsia="Times New Roman" w:hAnsi="Times New Roman"/>
          <w:sz w:val="21"/>
          <w:szCs w:val="21"/>
        </w:rPr>
        <w:t xml:space="preserve">. 2016;5:210. doi:10.1186/s13643-016-0384-4</w:t>
      </w:r>
    </w:p>
    <w:p>
      <w:pPr>
        <w:pStyle w:val="ListParagraph"/>
        <w:numPr>
          <w:ilvl w:val="0"/>
          <w:numId w:val="2"/>
        </w:numPr>
        <w:spacing w:after="90"/>
      </w:pPr>
      <w:r>
        <w:rPr>
          <w:rFonts w:ascii="Times New Roman" w:cs="Times New Roman" w:eastAsia="Times New Roman" w:hAnsi="Times New Roman"/>
          <w:sz w:val="21"/>
          <w:szCs w:val="21"/>
        </w:rPr>
        <w:t xml:space="preserve">Hooijmans CR, Rovers MM, de Vries RBM, et al. SYRCLE's risk of bias tool for animal studies. </w:t>
      </w:r>
      <w:r>
        <w:rPr>
          <w:rFonts w:ascii="Times New Roman" w:cs="Times New Roman" w:eastAsia="Times New Roman" w:hAnsi="Times New Roman"/>
          <w:i/>
          <w:iCs/>
          <w:sz w:val="21"/>
          <w:szCs w:val="21"/>
        </w:rPr>
        <w:t xml:space="preserve">BMC Med Res Methodol</w:t>
      </w:r>
      <w:r>
        <w:rPr>
          <w:rFonts w:ascii="Times New Roman" w:cs="Times New Roman" w:eastAsia="Times New Roman" w:hAnsi="Times New Roman"/>
          <w:sz w:val="21"/>
          <w:szCs w:val="21"/>
        </w:rPr>
        <w:t xml:space="preserve">. 2014;14:43. doi:10.1186/1471-2288-14-43</w:t>
      </w:r>
    </w:p>
    <w:p>
      <w:pPr>
        <w:pStyle w:val="ListParagraph"/>
        <w:numPr>
          <w:ilvl w:val="0"/>
          <w:numId w:val="2"/>
        </w:numPr>
        <w:spacing w:after="90"/>
      </w:pPr>
      <w:r>
        <w:rPr>
          <w:rFonts w:ascii="Times New Roman" w:cs="Times New Roman" w:eastAsia="Times New Roman" w:hAnsi="Times New Roman"/>
          <w:sz w:val="21"/>
          <w:szCs w:val="21"/>
        </w:rPr>
        <w:t xml:space="preserve">Sterne JAC, Savović J, Page MJ, et al. RoB 2: a revised tool for assessing risk of bias in randomised trials.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2019;366:l4898. doi:10.1136/bmj.l4898</w:t>
      </w:r>
    </w:p>
    <w:p>
      <w:pPr>
        <w:pStyle w:val="ListParagraph"/>
        <w:numPr>
          <w:ilvl w:val="0"/>
          <w:numId w:val="2"/>
        </w:numPr>
        <w:spacing w:after="90"/>
      </w:pPr>
      <w:r>
        <w:rPr>
          <w:rFonts w:ascii="Times New Roman" w:cs="Times New Roman" w:eastAsia="Times New Roman" w:hAnsi="Times New Roman"/>
          <w:sz w:val="21"/>
          <w:szCs w:val="21"/>
        </w:rPr>
        <w:t xml:space="preserve">Sterne JA, Hernán MA, Reeves BC, et al. ROBINS-I: a tool for assessing risk of bias in non-randomised studies of interventions.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2016;355:i4919. doi:10.1136/bmj.i4919</w:t>
      </w:r>
    </w:p>
    <w:p>
      <w:pPr>
        <w:pStyle w:val="ListParagraph"/>
        <w:numPr>
          <w:ilvl w:val="0"/>
          <w:numId w:val="2"/>
        </w:numPr>
        <w:spacing w:after="90"/>
      </w:pPr>
      <w:r>
        <w:rPr>
          <w:rFonts w:ascii="Times New Roman" w:cs="Times New Roman" w:eastAsia="Times New Roman" w:hAnsi="Times New Roman"/>
          <w:sz w:val="21"/>
          <w:szCs w:val="21"/>
        </w:rPr>
        <w:t xml:space="preserve">Campbell M, McKenzie JE, Sowden A, et al. Synthesis without meta-analysis (SWiM) in systematic reviews: reporting guideline.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2020;368:l6890. doi:10.1136/bmj.l6890</w:t>
      </w:r>
    </w:p>
    <w:p>
      <w:pPr>
        <w:pStyle w:val="ListParagraph"/>
        <w:numPr>
          <w:ilvl w:val="0"/>
          <w:numId w:val="2"/>
        </w:numPr>
        <w:spacing w:after="90"/>
      </w:pPr>
      <w:r>
        <w:rPr>
          <w:rFonts w:ascii="Times New Roman" w:cs="Times New Roman" w:eastAsia="Times New Roman" w:hAnsi="Times New Roman"/>
          <w:sz w:val="21"/>
          <w:szCs w:val="21"/>
        </w:rPr>
        <w:t xml:space="preserve">Ogilvie D, Fayter D, Petticrew M, et al. The harvest plot: a method for synthesising evidence about the differential effects of interventions. </w:t>
      </w:r>
      <w:r>
        <w:rPr>
          <w:rFonts w:ascii="Times New Roman" w:cs="Times New Roman" w:eastAsia="Times New Roman" w:hAnsi="Times New Roman"/>
          <w:i/>
          <w:iCs/>
          <w:sz w:val="21"/>
          <w:szCs w:val="21"/>
        </w:rPr>
        <w:t xml:space="preserve">BMC Med Res Methodol</w:t>
      </w:r>
      <w:r>
        <w:rPr>
          <w:rFonts w:ascii="Times New Roman" w:cs="Times New Roman" w:eastAsia="Times New Roman" w:hAnsi="Times New Roman"/>
          <w:sz w:val="21"/>
          <w:szCs w:val="21"/>
        </w:rPr>
        <w:t xml:space="preserve">. 2008;8:8. doi:10.1186/1471-2288-8-8</w:t>
      </w:r>
    </w:p>
    <w:p>
      <w:pPr>
        <w:pStyle w:val="ListParagraph"/>
        <w:numPr>
          <w:ilvl w:val="0"/>
          <w:numId w:val="2"/>
        </w:numPr>
        <w:spacing w:after="90"/>
      </w:pPr>
      <w:r>
        <w:rPr>
          <w:rFonts w:ascii="Times New Roman" w:cs="Times New Roman" w:eastAsia="Times New Roman" w:hAnsi="Times New Roman"/>
          <w:sz w:val="21"/>
          <w:szCs w:val="21"/>
        </w:rPr>
        <w:t xml:space="preserve">Guyatt GH, Oxman AD, Vist GE, et al. GRADE: an emerging consensus on rating quality of evidence and strength of recommendations. </w:t>
      </w:r>
      <w:r>
        <w:rPr>
          <w:rFonts w:ascii="Times New Roman" w:cs="Times New Roman" w:eastAsia="Times New Roman" w:hAnsi="Times New Roman"/>
          <w:i/>
          <w:iCs/>
          <w:sz w:val="21"/>
          <w:szCs w:val="21"/>
        </w:rPr>
        <w:t xml:space="preserve">BMJ</w:t>
      </w:r>
      <w:r>
        <w:rPr>
          <w:rFonts w:ascii="Times New Roman" w:cs="Times New Roman" w:eastAsia="Times New Roman" w:hAnsi="Times New Roman"/>
          <w:sz w:val="21"/>
          <w:szCs w:val="21"/>
        </w:rPr>
        <w:t xml:space="preserve">. 2008;336(7650):924–926. doi:10.1136/bmj.39489.470347.AD</w:t>
      </w:r>
    </w:p>
    <w:p>
      <w:pPr>
        <w:pStyle w:val="ListParagraph"/>
        <w:numPr>
          <w:ilvl w:val="0"/>
          <w:numId w:val="2"/>
        </w:numPr>
        <w:spacing w:after="90"/>
      </w:pPr>
      <w:r>
        <w:rPr>
          <w:rFonts w:ascii="Times New Roman" w:cs="Times New Roman" w:eastAsia="Times New Roman" w:hAnsi="Times New Roman"/>
          <w:sz w:val="21"/>
          <w:szCs w:val="21"/>
        </w:rPr>
        <w:t xml:space="preserve">van Eck NJ, Waltman L. Software survey: VOSviewer, a computer program for bibliometric mapping. </w:t>
      </w:r>
      <w:r>
        <w:rPr>
          <w:rFonts w:ascii="Times New Roman" w:cs="Times New Roman" w:eastAsia="Times New Roman" w:hAnsi="Times New Roman"/>
          <w:i/>
          <w:iCs/>
          <w:sz w:val="21"/>
          <w:szCs w:val="21"/>
        </w:rPr>
        <w:t xml:space="preserve">Scientometrics</w:t>
      </w:r>
      <w:r>
        <w:rPr>
          <w:rFonts w:ascii="Times New Roman" w:cs="Times New Roman" w:eastAsia="Times New Roman" w:hAnsi="Times New Roman"/>
          <w:sz w:val="21"/>
          <w:szCs w:val="21"/>
        </w:rPr>
        <w:t xml:space="preserve">. 2010;84(2):523–538. doi:10.1007/s11192-009-0146-3</w:t>
      </w:r>
    </w:p>
    <w:p>
      <w:pPr>
        <w:pStyle w:val="Heading2"/>
      </w:pPr>
      <w:r>
        <w:rPr>
          <w:rFonts w:ascii="Times New Roman" w:cs="Times New Roman" w:eastAsia="Times New Roman" w:hAnsi="Times New Roman"/>
          <w:sz w:val="21"/>
        </w:rPr>
        <w:t xml:space="preserve">Reference audit</w:t>
      </w:r>
    </w:p>
    <w:p>
      <w:pPr>
        <w:spacing w:after="120" w:line="276"/>
      </w:pPr>
      <w:r>
        <w:rPr>
          <w:rFonts w:ascii="Times New Roman" w:cs="Times New Roman" w:eastAsia="Times New Roman" w:hAnsi="Times New Roman"/>
          <w:sz w:val="21"/>
        </w:rPr>
        <w:t xml:space="preserve">DOI status: all 19 DOIs resolved to matching Crossref records. Journal quartile (SCImago/JCR) could not be retrieved in this session and is therefore not asserted; confirm each journal's best-quartile status for the year of submission before citing a Q1 percentage.</w:t>
      </w:r>
    </w:p>
    <w:p>
      <w:r>
        <w:rPr>
          <w:rFonts w:ascii="Times New Roman" w:hAnsi="Times New Roman"/>
          <w:sz w:val="21"/>
        </w:rPr>
        <w:br w:type="pag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A6B80"/>
        <w:sz w:val="18"/>
        <w:szCs w:val="18"/>
      </w:rPr>
      <w:t xml:space="preserve">CDK4/6 inhibitors and T-cell subsets: review protocol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5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3"/>
        <w:szCs w:val="23"/>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Times New Roman" w:cs="Times New Roman" w:eastAsia="Times New Roman" w:hAnsi="Times New Roman"/>
      <w:b/>
      <w:bCs/>
      <w:color w:val="1F3A5F"/>
      <w:sz w:val="34"/>
      <w:szCs w:val="34"/>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1F3A5F"/>
      <w:sz w:val="29"/>
      <w:szCs w:val="29"/>
    </w:rPr>
  </w:style>
  <w:style w:type="paragraph" w:styleId="Heading2">
    <w:name w:val="Heading 2"/>
    <w:basedOn w:val="Normal"/>
    <w:next w:val="Normal"/>
    <w:qFormat/>
    <w:pPr>
      <w:keepNext/>
      <w:spacing w:after="100" w:before="220"/>
      <w:outlineLvl w:val="1"/>
    </w:pPr>
    <w:rPr>
      <w:rFonts w:ascii="Times New Roman" w:cs="Times New Roman" w:eastAsia="Times New Roman" w:hAnsi="Times New Roman"/>
      <w:b/>
      <w:bCs/>
      <w:color w:val="2E4A70"/>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4944cb7ed0fa0eb8f69e25dd77bcb18fcf66a63.png"/><Relationship Id="rId10" Type="http://schemas.openxmlformats.org/officeDocument/2006/relationships/image" Target="media/87d789982f46d047498535d470e462caa4c5fa46.png"/><Relationship Id="rId11" Type="http://schemas.openxmlformats.org/officeDocument/2006/relationships/image" Target="media/c4e04cb24b09c1f30f7f51e2b3f3fa40fefebefd.png"/><Relationship Id="rId12" Type="http://schemas.openxmlformats.org/officeDocument/2006/relationships/image" Target="media/9ffc544e4db8618ffd50de4af91d3d4c54739d26.png"/><Relationship Id="rId1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Dose, exposure duration and schedule in the effects of CDK4/6 inhibitors on effector and regulatory T cells: protocol for a systematic review</dc:title>
  <dc:creator>Dyah Wahyu Tanjung Sari</dc:creator>
  <cp:lastModifiedBy>Un-named</cp:lastModifiedBy>
  <cp:revision>1</cp:revision>
  <dcterms:created xsi:type="dcterms:W3CDTF">2026-10-20T03:13:58.145Z</dcterms:created>
  <dcterms:modified xsi:type="dcterms:W3CDTF">2026-10-20T03:13:58.145Z</dcterms:modified>
  <dc:subject>Revised systematic review protocol manuscript</dc:subject>
</cp:coreProperties>
</file>

<file path=docProps/custom.xml><?xml version="1.0" encoding="utf-8"?>
<Properties xmlns="http://schemas.openxmlformats.org/officeDocument/2006/custom-properties" xmlns:vt="http://schemas.openxmlformats.org/officeDocument/2006/docPropsVTypes"/>
</file>