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  <w:jc w:val="both"/>
      </w:pPr>
      <w:r>
        <w:rPr>
          <w:rFonts w:ascii="Times New Roman" w:hAnsi="Times New Roman"/>
          <w:sz w:val="24"/>
        </w:rPr>
        <w:t>ARTIKEL JURNAL ILMIAH</w:t>
        <w:br/>
        <w:t>Pengaruh Komunikasi Digital Terhadap Loyalitas Pengguna</w:t>
      </w:r>
    </w:p>
    <w:p>
      <w:pPr>
        <w:spacing w:line="480" w:lineRule="auto"/>
        <w:jc w:val="both"/>
      </w:pPr>
      <w:r>
        <w:rPr>
          <w:rFonts w:ascii="Times New Roman" w:hAnsi="Times New Roman"/>
          <w:sz w:val="24"/>
        </w:rPr>
        <w:t>ABSTRAK</w:t>
        <w:br/>
        <w:t>Penelitian ini menguji model komunikasi dengan jumlah sampel sebanyak 100 responden terpilih.</w:t>
        <w:br/>
        <w:t>Metode: Survei dengan sampel sebanyak 100 responden.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