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Kata Kunci: Komunikasi Digital, Kualitas Sistem, Loyalitas Audiens, Media Sosial</w:t>
      </w:r>
    </w:p>
    <w:p>
      <w:pPr>
        <w:spacing w:line="480" w:lineRule="auto"/>
        <w:jc w:val="both"/>
      </w:pPr>
      <w:r>
        <w:rPr>
          <w:rFonts w:ascii="Times New Roman" w:hAnsi="Times New Roman"/>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Times New Roman" w:hAnsi="Times New Roman"/>
          <w:sz w:val="24"/>
        </w:rPr>
        <w:t>Keywords: Digital Communication, System Quality, Audience Loyalty, Social Media</w:t>
      </w:r>
    </w:p>
    <w:p>
      <w:pPr>
        <w:spacing w:line="480" w:lineRule="auto"/>
        <w:jc w:val="both"/>
      </w:pPr>
      <w:r>
        <w:rPr>
          <w:rFonts w:ascii="Times New Roman" w:hAnsi="Times New Roman"/>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Times New Roman" w:hAnsi="Times New Roman"/>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