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 Rahmawati (2023) membuktikan bahwa komunikasi digital memperkuat loyalitas audiens.</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