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Arial" w:hAnsi="Arial"/>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Arial" w:hAnsi="Arial"/>
          <w:sz w:val="24"/>
        </w:rPr>
        <w:t>Kata Kunci: Komunikasi Digital, Kualitas Sistem, Loyalitas Audiens, Media Sosial</w:t>
      </w:r>
    </w:p>
    <w:p>
      <w:pPr>
        <w:spacing w:line="480" w:lineRule="auto"/>
        <w:jc w:val="both"/>
      </w:pPr>
      <w:r>
        <w:rPr>
          <w:rFonts w:ascii="Arial" w:hAnsi="Arial"/>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Arial" w:hAnsi="Arial"/>
          <w:sz w:val="24"/>
        </w:rPr>
        <w:t>Keywords: Digital Communication, System Quality, Audience Loyalty, Social Media</w:t>
      </w:r>
    </w:p>
    <w:p>
      <w:pPr>
        <w:spacing w:line="480" w:lineRule="auto"/>
        <w:jc w:val="both"/>
      </w:pPr>
      <w:r>
        <w:rPr>
          <w:rFonts w:ascii="Arial" w:hAnsi="Arial"/>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BAB II TINJAUAN PUSTAKA</w:t>
        <w:br/>
        <w:t>2.1 Penelitian Terdahulu</w:t>
        <w:br/>
        <w:t>Kajian terdahulu oleh Smith (2022) mengemukakan pentingnya infrastruktur digital dalam menunjang interaksi pengguna.</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Arial" w:hAnsi="Arial"/>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