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rPr>
          <w:color w:val="3d82f7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rPr>
          <w:color w:val="3d82f7"/>
          <w:sz w:val="60"/>
          <w:szCs w:val="60"/>
        </w:rPr>
      </w:pPr>
      <w:r w:rsidDel="00000000" w:rsidR="00000000" w:rsidRPr="00000000">
        <w:rPr>
          <w:color w:val="3d82f7"/>
          <w:sz w:val="60"/>
          <w:szCs w:val="60"/>
          <w:rtl w:val="0"/>
        </w:rPr>
        <w:t xml:space="preserve">Python Script for Viewing Logfile Data</w:t>
      </w:r>
    </w:p>
    <w:p w:rsidR="00000000" w:rsidDel="00000000" w:rsidP="00000000" w:rsidRDefault="00000000" w:rsidRPr="00000000" w14:paraId="00000003">
      <w:pPr>
        <w:pStyle w:val="Heading2"/>
        <w:rPr/>
      </w:pPr>
      <w:bookmarkStart w:colFirst="0" w:colLast="0" w:name="_hzth0syk6pfl" w:id="0"/>
      <w:bookmarkEnd w:id="0"/>
      <w:r w:rsidDel="00000000" w:rsidR="00000000" w:rsidRPr="00000000">
        <w:rPr>
          <w:rtl w:val="0"/>
        </w:rPr>
        <w:t xml:space="preserve">Setup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Download Anaconda.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Notepad ++ is also helpful, or another good notepad program.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2"/>
        <w:rPr/>
      </w:pPr>
      <w:bookmarkStart w:colFirst="0" w:colLast="0" w:name="_6nbc4sm1v9fc" w:id="1"/>
      <w:bookmarkEnd w:id="1"/>
      <w:r w:rsidDel="00000000" w:rsidR="00000000" w:rsidRPr="00000000">
        <w:rPr>
          <w:rtl w:val="0"/>
        </w:rPr>
        <w:t xml:space="preserve">Running the Script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Put your logfile in the CSV folder of python logger desktop folder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Fonts w:ascii="Georgia" w:cs="Georgia" w:eastAsia="Georgia" w:hAnsi="Georgia"/>
          <w:color w:val="000000"/>
          <w:sz w:val="22"/>
          <w:szCs w:val="22"/>
        </w:rPr>
        <w:drawing>
          <wp:inline distB="114300" distT="114300" distL="114300" distR="114300">
            <wp:extent cx="5943600" cy="22987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Open the TempLoggerPlotter.py file in a text editor (e.g. notepad ++) and change the logfile to be correct here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Fonts w:ascii="Georgia" w:cs="Georgia" w:eastAsia="Georgia" w:hAnsi="Georgia"/>
          <w:color w:val="000000"/>
          <w:sz w:val="22"/>
          <w:szCs w:val="22"/>
        </w:rPr>
        <w:drawing>
          <wp:inline distB="19050" distT="19050" distL="19050" distR="19050">
            <wp:extent cx="5943600" cy="370840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If there is a culture name this flag will have to be 2, otherwise leave as 1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Fonts w:ascii="Georgia" w:cs="Georgia" w:eastAsia="Georgia" w:hAnsi="Georgia"/>
          <w:color w:val="000000"/>
          <w:sz w:val="22"/>
          <w:szCs w:val="22"/>
        </w:rPr>
        <w:drawing>
          <wp:inline distB="114300" distT="114300" distL="114300" distR="114300">
            <wp:extent cx="5943600" cy="1892300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Make sure to change the start and end dates as required.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Fonts w:ascii="Georgia" w:cs="Georgia" w:eastAsia="Georgia" w:hAnsi="Georgia"/>
          <w:color w:val="000000"/>
          <w:sz w:val="22"/>
          <w:szCs w:val="22"/>
        </w:rPr>
        <w:drawing>
          <wp:inline distB="114300" distT="114300" distL="114300" distR="114300">
            <wp:extent cx="5105400" cy="1771650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771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Open powershell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Fonts w:ascii="Georgia" w:cs="Georgia" w:eastAsia="Georgia" w:hAnsi="Georgia"/>
          <w:color w:val="000000"/>
          <w:sz w:val="22"/>
          <w:szCs w:val="22"/>
        </w:rPr>
        <w:drawing>
          <wp:inline distB="114300" distT="114300" distL="114300" distR="114300">
            <wp:extent cx="5943600" cy="2857500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Fonts w:ascii="Georgia" w:cs="Georgia" w:eastAsia="Georgia" w:hAnsi="Georgia"/>
          <w:color w:val="000000"/>
          <w:sz w:val="22"/>
          <w:szCs w:val="22"/>
        </w:rPr>
        <w:drawing>
          <wp:inline distB="114300" distT="114300" distL="114300" distR="114300">
            <wp:extent cx="5943600" cy="40767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Run as above in powershell.  The -l at the end runs logfile viewer mode whereas -t runs temp plotter mode (with external ambient temperature file), -s plots sensor box data and -r is for high resolution (raw) logfiles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Get graph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Fonts w:ascii="Georgia" w:cs="Georgia" w:eastAsia="Georgia" w:hAnsi="Georgia"/>
          <w:color w:val="000000"/>
          <w:sz w:val="22"/>
          <w:szCs w:val="22"/>
        </w:rPr>
        <w:drawing>
          <wp:inline distB="114300" distT="114300" distL="114300" distR="114300">
            <wp:extent cx="5943600" cy="318770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2"/>
        <w:rPr/>
      </w:pPr>
      <w:bookmarkStart w:colFirst="0" w:colLast="0" w:name="_idisiokb28a4" w:id="2"/>
      <w:bookmarkEnd w:id="2"/>
      <w:r w:rsidDel="00000000" w:rsidR="00000000" w:rsidRPr="00000000">
        <w:rPr>
          <w:rtl w:val="0"/>
        </w:rPr>
        <w:t xml:space="preserve">Navigating and Customizing the Graph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Graph scaling can be set here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Fonts w:ascii="Georgia" w:cs="Georgia" w:eastAsia="Georgia" w:hAnsi="Georgia"/>
          <w:color w:val="000000"/>
          <w:sz w:val="22"/>
          <w:szCs w:val="22"/>
        </w:rPr>
        <w:drawing>
          <wp:inline distB="19050" distT="19050" distL="19050" distR="19050">
            <wp:extent cx="3333750" cy="12573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To hide certain traces you can add an alpha setting to each trace to be hidden 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E.g. here hiding everything except pH and CO2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Fonts w:ascii="Georgia" w:cs="Georgia" w:eastAsia="Georgia" w:hAnsi="Georgia"/>
          <w:color w:val="000000"/>
          <w:sz w:val="22"/>
          <w:szCs w:val="22"/>
        </w:rPr>
        <w:drawing>
          <wp:inline distB="114300" distT="114300" distL="114300" distR="114300">
            <wp:extent cx="5943600" cy="11176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2"/>
        <w:rPr/>
      </w:pPr>
      <w:bookmarkStart w:colFirst="0" w:colLast="0" w:name="_l0j5nip4g56" w:id="3"/>
      <w:bookmarkEnd w:id="3"/>
      <w:r w:rsidDel="00000000" w:rsidR="00000000" w:rsidRPr="00000000">
        <w:rPr>
          <w:rtl w:val="0"/>
        </w:rPr>
        <w:t xml:space="preserve">Troubleshooting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Fonts w:ascii="Georgia" w:cs="Georgia" w:eastAsia="Georgia" w:hAnsi="Georgia"/>
          <w:color w:val="000000"/>
          <w:sz w:val="22"/>
          <w:szCs w:val="22"/>
        </w:rPr>
        <w:drawing>
          <wp:inline distB="114300" distT="114300" distL="114300" distR="114300">
            <wp:extent cx="5943600" cy="622300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If you get this error, add an extra header column to logfile (e.g. Misc)</w:t>
      </w:r>
    </w:p>
    <w:p w:rsidR="00000000" w:rsidDel="00000000" w:rsidP="00000000" w:rsidRDefault="00000000" w:rsidRPr="00000000" w14:paraId="0000004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ageBreakBefore w:val="0"/>
        <w:rPr/>
      </w:pPr>
      <w:r w:rsidDel="00000000" w:rsidR="00000000" w:rsidRPr="00000000">
        <w:rPr>
          <w:rtl w:val="0"/>
        </w:rPr>
        <w:t xml:space="preserve">If you have the file input correctly, you may have to change whether the file is doing sensor box or raw mode:</w:t>
      </w:r>
    </w:p>
    <w:p w:rsidR="00000000" w:rsidDel="00000000" w:rsidP="00000000" w:rsidRDefault="00000000" w:rsidRPr="00000000" w14:paraId="0000004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019675" cy="67437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674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ageBreakBefore w:val="0"/>
        <w:rPr/>
      </w:pPr>
      <w:r w:rsidDel="00000000" w:rsidR="00000000" w:rsidRPr="00000000">
        <w:rPr>
          <w:rtl w:val="0"/>
        </w:rPr>
        <w:t xml:space="preserve">Comment out whichever one you aren’t using.</w:t>
      </w:r>
      <w:r w:rsidDel="00000000" w:rsidR="00000000" w:rsidRPr="00000000">
        <w:rPr>
          <w:rtl w:val="0"/>
        </w:rPr>
      </w:r>
    </w:p>
    <w:sectPr>
      <w:headerReference r:id="rId17" w:type="default"/>
      <w:headerReference r:id="rId18" w:type="first"/>
      <w:footerReference r:id="rId19" w:type="default"/>
      <w:footerReference r:id="rId20" w:type="first"/>
      <w:pgSz w:h="15840" w:w="12240" w:orient="portrait"/>
      <w:pgMar w:bottom="1440" w:top="1440" w:left="1440" w:right="1440" w:header="720" w:footer="36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IBM Plex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IBM Plex Sans Ligh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IBM Plex Mono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A">
    <w:pPr>
      <w:pageBreakBefore w:val="0"/>
      <w:tabs>
        <w:tab w:val="right" w:pos="9360"/>
        <w:tab w:val="center" w:pos="4680"/>
      </w:tabs>
      <w:rPr>
        <w:sz w:val="20"/>
        <w:szCs w:val="20"/>
      </w:rPr>
    </w:pPr>
    <w:r w:rsidDel="00000000" w:rsidR="00000000" w:rsidRPr="00000000">
      <w:rPr>
        <w:rtl w:val="0"/>
      </w:rPr>
      <w:tab/>
    </w:r>
    <w:hyperlink r:id="rId1">
      <w:r w:rsidDel="00000000" w:rsidR="00000000" w:rsidRPr="00000000">
        <w:rPr>
          <w:color w:val="1155cc"/>
          <w:sz w:val="20"/>
          <w:szCs w:val="20"/>
          <w:u w:val="single"/>
          <w:rtl w:val="0"/>
        </w:rPr>
        <w:t xml:space="preserve">www.industrialplankton.com</w:t>
      </w:r>
    </w:hyperlink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B">
    <w:pPr>
      <w:pageBreakBefore w:val="0"/>
      <w:tabs>
        <w:tab w:val="right" w:pos="9360"/>
        <w:tab w:val="center" w:pos="4680"/>
      </w:tabs>
      <w:rPr>
        <w:sz w:val="20"/>
        <w:szCs w:val="20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C">
    <w:pPr>
      <w:pageBreakBefore w:val="0"/>
      <w:tabs>
        <w:tab w:val="center" w:pos="5040"/>
        <w:tab w:val="right" w:pos="9360"/>
      </w:tabs>
      <w:rPr>
        <w:rFonts w:ascii="IBM Plex Sans" w:cs="IBM Plex Sans" w:eastAsia="IBM Plex Sans" w:hAnsi="IBM Plex Sans"/>
        <w:b w:val="1"/>
        <w:sz w:val="20"/>
        <w:szCs w:val="20"/>
      </w:rPr>
    </w:pPr>
    <w:r w:rsidDel="00000000" w:rsidR="00000000" w:rsidRPr="00000000">
      <w:rPr>
        <w:sz w:val="20"/>
        <w:szCs w:val="20"/>
        <w:rtl w:val="0"/>
      </w:rPr>
      <w:t xml:space="preserve">Copyright Industrial Plankton 2020</w:t>
      <w:tab/>
      <w:t xml:space="preserve">Page </w:t>
    </w:r>
    <w:r w:rsidDel="00000000" w:rsidR="00000000" w:rsidRPr="00000000">
      <w:rPr>
        <w:sz w:val="20"/>
        <w:szCs w:val="2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sz w:val="20"/>
        <w:szCs w:val="20"/>
        <w:rtl w:val="0"/>
      </w:rPr>
      <w:t xml:space="preserve">/</w:t>
    </w:r>
    <w:r w:rsidDel="00000000" w:rsidR="00000000" w:rsidRPr="00000000">
      <w:rPr>
        <w:sz w:val="20"/>
        <w:szCs w:val="20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sz w:val="20"/>
        <w:szCs w:val="20"/>
        <w:rtl w:val="0"/>
      </w:rPr>
      <w:tab/>
    </w:r>
    <w:hyperlink r:id="rId1">
      <w:r w:rsidDel="00000000" w:rsidR="00000000" w:rsidRPr="00000000">
        <w:rPr>
          <w:rFonts w:ascii="IBM Plex Sans" w:cs="IBM Plex Sans" w:eastAsia="IBM Plex Sans" w:hAnsi="IBM Plex Sans"/>
          <w:b w:val="1"/>
          <w:color w:val="1155cc"/>
          <w:sz w:val="20"/>
          <w:szCs w:val="20"/>
          <w:u w:val="single"/>
          <w:rtl w:val="0"/>
        </w:rPr>
        <w:t xml:space="preserve">www.industrialplankton.com</w:t>
      </w:r>
    </w:hyperlink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7">
    <w:pPr>
      <w:pageBreakBefore w:val="0"/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228600" distT="228600" distL="228600" distR="228600" hidden="0" layoutInCell="1" locked="0" relativeHeight="0" simplePos="0">
          <wp:simplePos x="0" y="0"/>
          <wp:positionH relativeFrom="column">
            <wp:posOffset>4962525</wp:posOffset>
          </wp:positionH>
          <wp:positionV relativeFrom="paragraph">
            <wp:posOffset>-228599</wp:posOffset>
          </wp:positionV>
          <wp:extent cx="1604963" cy="620406"/>
          <wp:effectExtent b="0" l="0" r="0" t="0"/>
          <wp:wrapSquare wrapText="bothSides" distB="228600" distT="228600" distL="228600" distR="228600"/>
          <wp:docPr id="1" name="image12.jpg"/>
          <a:graphic>
            <a:graphicData uri="http://schemas.openxmlformats.org/drawingml/2006/picture">
              <pic:pic>
                <pic:nvPicPr>
                  <pic:cNvPr id="0" name="image12.jp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604963" cy="620406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8">
    <w:pPr>
      <w:pageBreakBefore w:val="0"/>
      <w:tabs>
        <w:tab w:val="right" w:pos="9360"/>
      </w:tabs>
      <w:jc w:val="right"/>
      <w:rPr/>
    </w:pPr>
    <w:r w:rsidDel="00000000" w:rsidR="00000000" w:rsidRPr="00000000">
      <w:rPr>
        <w:rtl w:val="0"/>
      </w:rPr>
      <w:tab/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66675</wp:posOffset>
          </wp:positionH>
          <wp:positionV relativeFrom="paragraph">
            <wp:posOffset>-361949</wp:posOffset>
          </wp:positionV>
          <wp:extent cx="2166938" cy="837640"/>
          <wp:effectExtent b="0" l="0" r="0" t="0"/>
          <wp:wrapSquare wrapText="bothSides" distB="0" distT="0" distL="0" distR="0"/>
          <wp:docPr id="2" name="image12.jpg"/>
          <a:graphic>
            <a:graphicData uri="http://schemas.openxmlformats.org/drawingml/2006/picture">
              <pic:pic>
                <pic:nvPicPr>
                  <pic:cNvPr id="0" name="image12.jp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166938" cy="83764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49">
    <w:pPr>
      <w:pageBreakBefore w:val="0"/>
      <w:tabs>
        <w:tab w:val="right" w:pos="9360"/>
      </w:tabs>
      <w:jc w:val="right"/>
      <w:rPr>
        <w:rFonts w:ascii="IBM Plex Mono" w:cs="IBM Plex Mono" w:eastAsia="IBM Plex Mono" w:hAnsi="IBM Plex Mono"/>
        <w:u w:val="single"/>
      </w:rPr>
    </w:pPr>
    <w:r w:rsidDel="00000000" w:rsidR="00000000" w:rsidRPr="00000000">
      <w:rPr>
        <w:rFonts w:ascii="IBM Plex Mono" w:cs="IBM Plex Mono" w:eastAsia="IBM Plex Mono" w:hAnsi="IBM Plex Mono"/>
        <w:sz w:val="36"/>
        <w:szCs w:val="36"/>
        <w:rtl w:val="0"/>
      </w:rPr>
      <w:t xml:space="preserve">JL Oct 2021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IBM Plex Sans Light" w:cs="IBM Plex Sans Light" w:eastAsia="IBM Plex Sans Light" w:hAnsi="IBM Plex Sans Light"/>
        <w:color w:val="0f1f32"/>
        <w:sz w:val="24"/>
        <w:szCs w:val="24"/>
        <w:lang w:val="en"/>
      </w:rPr>
    </w:rPrDefault>
    <w:pPrDefault>
      <w:pPr>
        <w:tabs>
          <w:tab w:val="left" w:pos="4860"/>
        </w:tabs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color w:val="3d82f7"/>
      <w:sz w:val="40"/>
      <w:szCs w:val="40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rFonts w:ascii="IBM Plex Mono" w:cs="IBM Plex Mono" w:eastAsia="IBM Plex Mono" w:hAnsi="IBM Plex Mono"/>
      <w:color w:val="3d82f7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lineRule="auto"/>
    </w:pPr>
    <w:rPr>
      <w:rFonts w:ascii="IBM Plex Sans Light" w:cs="IBM Plex Sans Light" w:eastAsia="IBM Plex Sans Light" w:hAnsi="IBM Plex Sans Light"/>
      <w:color w:val="3d82f7"/>
      <w:sz w:val="60"/>
      <w:szCs w:val="6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lineRule="auto"/>
    </w:pPr>
    <w:rPr>
      <w:rFonts w:ascii="IBM Plex Sans Light" w:cs="IBM Plex Sans Light" w:eastAsia="IBM Plex Sans Light" w:hAnsi="IBM Plex Sans Light"/>
      <w:color w:val="0f1f32"/>
      <w:sz w:val="36"/>
      <w:szCs w:val="36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1.xml"/><Relationship Id="rId11" Type="http://schemas.openxmlformats.org/officeDocument/2006/relationships/image" Target="media/image9.png"/><Relationship Id="rId10" Type="http://schemas.openxmlformats.org/officeDocument/2006/relationships/image" Target="media/image5.png"/><Relationship Id="rId13" Type="http://schemas.openxmlformats.org/officeDocument/2006/relationships/image" Target="media/image8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11.png"/><Relationship Id="rId14" Type="http://schemas.openxmlformats.org/officeDocument/2006/relationships/image" Target="media/image4.png"/><Relationship Id="rId17" Type="http://schemas.openxmlformats.org/officeDocument/2006/relationships/header" Target="header1.xml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19" Type="http://schemas.openxmlformats.org/officeDocument/2006/relationships/footer" Target="footer2.xml"/><Relationship Id="rId6" Type="http://schemas.openxmlformats.org/officeDocument/2006/relationships/image" Target="media/image3.png"/><Relationship Id="rId18" Type="http://schemas.openxmlformats.org/officeDocument/2006/relationships/header" Target="header2.xml"/><Relationship Id="rId7" Type="http://schemas.openxmlformats.org/officeDocument/2006/relationships/image" Target="media/image10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BMPlexSans-regular.ttf"/><Relationship Id="rId2" Type="http://schemas.openxmlformats.org/officeDocument/2006/relationships/font" Target="fonts/IBMPlexSans-bold.ttf"/><Relationship Id="rId3" Type="http://schemas.openxmlformats.org/officeDocument/2006/relationships/font" Target="fonts/IBMPlexSans-italic.ttf"/><Relationship Id="rId4" Type="http://schemas.openxmlformats.org/officeDocument/2006/relationships/font" Target="fonts/IBMPlexSans-boldItalic.ttf"/><Relationship Id="rId11" Type="http://schemas.openxmlformats.org/officeDocument/2006/relationships/font" Target="fonts/IBMPlexMono-italic.ttf"/><Relationship Id="rId10" Type="http://schemas.openxmlformats.org/officeDocument/2006/relationships/font" Target="fonts/IBMPlexMono-bold.ttf"/><Relationship Id="rId12" Type="http://schemas.openxmlformats.org/officeDocument/2006/relationships/font" Target="fonts/IBMPlexMono-boldItalic.ttf"/><Relationship Id="rId9" Type="http://schemas.openxmlformats.org/officeDocument/2006/relationships/font" Target="fonts/IBMPlexMono-regular.ttf"/><Relationship Id="rId5" Type="http://schemas.openxmlformats.org/officeDocument/2006/relationships/font" Target="fonts/IBMPlexSansLight-regular.ttf"/><Relationship Id="rId6" Type="http://schemas.openxmlformats.org/officeDocument/2006/relationships/font" Target="fonts/IBMPlexSansLight-bold.ttf"/><Relationship Id="rId7" Type="http://schemas.openxmlformats.org/officeDocument/2006/relationships/font" Target="fonts/IBMPlexSansLight-italic.ttf"/><Relationship Id="rId8" Type="http://schemas.openxmlformats.org/officeDocument/2006/relationships/font" Target="fonts/IBMPlexSansLight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hyperlink" Target="http://www.industrialplankton.com" TargetMode="External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hyperlink" Target="http://www.industrialplankton.com" TargetMode="External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2.jp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