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2448"/>
      </w:tblGrid>
      <w:tr>
        <w:tc>
          <w:tcPr>
            <w:tcW w:type="dxa" w:w="4320"/>
            <w:shd w:val="clear" w:fill="0b1f3a"/>
          </w:tcPr>
          <w:p>
            <w:r>
              <w:rPr>
                <w:b/>
                <w:color w:val="FFFFFF"/>
                <w:sz w:val="30"/>
              </w:rPr>
              <w:t>A3 Report — Predictive maintenance of a milling machine</w:t>
            </w:r>
          </w:p>
          <w:p>
            <w:r>
              <w:rPr>
                <w:color w:val="CDDBE9"/>
                <w:sz w:val="19"/>
              </w:rPr>
              <w:t>Continuous improvement · TPM · DMAIC  ·  AI4I 2020 dataset (UCI #601, 10,000 cycles)</w:t>
            </w:r>
          </w:p>
        </w:tc>
        <w:tc>
          <w:tcPr>
            <w:tcW w:type="dxa" w:w="4320"/>
            <w:shd w:val="clear" w:fill="0b1f3a"/>
          </w:tcPr>
          <w:p>
            <w:pPr>
              <w:jc w:val="right"/>
            </w:pPr>
            <w:r/>
            <w:r>
              <w:rPr>
                <w:b w:val="0"/>
                <w:color w:val="FFFFFF"/>
                <w:sz w:val="19"/>
              </w:rPr>
              <w:t>Esteban López</w:t>
              <w:br/>
              <w:t>Industrial Eng.</w:t>
              <w:br/>
              <w:t>2026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1.  Background &amp; problem  (DEFINE)</w:t>
      </w:r>
    </w:p>
    <w:p>
      <w:pPr>
        <w:spacing w:after="80"/>
      </w:pPr>
      <w:r>
        <w:rPr>
          <w:b w:val="0"/>
          <w:color w:val="16202E"/>
          <w:sz w:val="21"/>
        </w:rPr>
        <w:t>Unplanned breakdowns are the main enemy of availability — the first pillar of OEE. Reactive maintenance stops the line at the most expensive moment. Using 10,000 operating cycles of a milling machine (6 process variables, a machine-failure label and 5 failure modes), this A3 builds a predictive-maintenance strategy that converts unplanned stops into planned interventions — the core idea of TPM.</w:t>
      </w:r>
    </w:p>
    <w:p>
      <w:pPr>
        <w:spacing w:after="80"/>
      </w:pPr>
      <w:r>
        <w:rPr>
          <w:b w:val="0"/>
          <w:color w:val="5B6B7F"/>
          <w:sz w:val="21"/>
        </w:rPr>
        <w:t>Goal: predict failures early, prioritise the failure modes that matter, and lift availability.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2.  Current state  (MEASURE)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30"/>
              </w:rPr>
              <w:t>10,000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operating cycles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30"/>
              </w:rPr>
              <w:t>3.39%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failure rate (339 cycles)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30"/>
              </w:rPr>
              <w:t>≈30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cycles MTBF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30"/>
              </w:rPr>
              <w:t>0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missing values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16202E"/>
          <w:sz w:val="21"/>
        </w:rPr>
        <w:t>Failures are rare and imbalanced. A Pareto of the five failure modes shows where reliability effort pays off: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0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pBdr>
          <w:bottom w:val="single" w:sz="6" w:space="2" w:color="16b3c7"/>
        </w:pBdr>
      </w:pPr>
      <w:r>
        <w:rPr>
          <w:b/>
          <w:color w:val="0B1F3A"/>
          <w:sz w:val="22"/>
        </w:rPr>
        <w:t>Failure modes — count and cumulative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b1f3a"/>
          </w:tcPr>
          <w:p>
            <w:r/>
            <w:r>
              <w:rPr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2160"/>
            <w:shd w:val="clear" w:fill="0b1f3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Occurrences</w:t>
            </w:r>
          </w:p>
        </w:tc>
        <w:tc>
          <w:tcPr>
            <w:tcW w:type="dxa" w:w="2160"/>
            <w:shd w:val="clear" w:fill="0b1f3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% of total</w:t>
            </w:r>
          </w:p>
        </w:tc>
        <w:tc>
          <w:tcPr>
            <w:tcW w:type="dxa" w:w="2160"/>
            <w:shd w:val="clear" w:fill="0b1f3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Cumulative %</w:t>
            </w:r>
          </w:p>
        </w:tc>
      </w:tr>
      <w:tr>
        <w:tc>
          <w:tcPr>
            <w:tcW w:type="dxa" w:w="2160"/>
            <w:shd w:val="clear" w:fill="e8f7fa"/>
          </w:tcPr>
          <w:p>
            <w:r/>
            <w:r>
              <w:rPr>
                <w:b/>
                <w:sz w:val="20"/>
              </w:rPr>
              <w:t>HDF — Heat dissipation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115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30.8%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30.8%</w:t>
            </w:r>
          </w:p>
        </w:tc>
      </w:tr>
      <w:tr>
        <w:tc>
          <w:tcPr>
            <w:tcW w:type="dxa" w:w="2160"/>
            <w:shd w:val="clear" w:fill="e8f7fa"/>
          </w:tcPr>
          <w:p>
            <w:r/>
            <w:r>
              <w:rPr>
                <w:b/>
                <w:sz w:val="20"/>
              </w:rPr>
              <w:t>OSF — Overstrain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98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26.3%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57.1%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PWF — Power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25.5%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82.6%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TWF — Tool wear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12.3%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94.9%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RNF — Random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5.1%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100.0%</w:t>
            </w:r>
          </w:p>
        </w:tc>
      </w:tr>
    </w:tbl>
    <w:p>
      <w:pPr>
        <w:spacing w:after="40"/>
      </w:pPr>
      <w:r>
        <w:rPr>
          <w:b w:val="0"/>
          <w:color w:val="5B6B7F"/>
          <w:sz w:val="17"/>
        </w:rPr>
        <w:t>Note: the 5 modes total 373 occurrences across 339 failed cycles (some cycles trigger more than one mode).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3.  Root-cause analysis  (ANALYZE)</w:t>
      </w:r>
    </w:p>
    <w:p>
      <w:pPr>
        <w:spacing w:after="80"/>
      </w:pPr>
      <w:r>
        <w:rPr>
          <w:b w:val="0"/>
          <w:color w:val="16202E"/>
          <w:sz w:val="21"/>
        </w:rPr>
        <w:t>The three vital-few modes — heat dissipation (HDF), overstrain (OSF) and power (PWF) — concentrate 82.6% of all failure occurrences and share one physical root: torque, rotational speed and the air–process temperature gap. Rather than feeding raw sensors blindly, the model uses features derived from that physics: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Mechanical power = </w:t>
      </w:r>
      <w:r>
        <w:rPr>
          <w:sz w:val="21"/>
        </w:rPr>
        <w:t>Torque × angular speed → drives power failures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Temperature gap = </w:t>
      </w:r>
      <w:r>
        <w:rPr>
          <w:sz w:val="21"/>
        </w:rPr>
        <w:t>Process − Air temperature → drives heat-dissipation failures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Tool wear × Torque → </w:t>
      </w:r>
      <w:r>
        <w:rPr>
          <w:sz w:val="21"/>
        </w:rPr>
        <w:t>proxy for overstrain failures</w:t>
      </w:r>
    </w:p>
    <w:p>
      <w:pPr>
        <w:spacing w:before="120" w:after="80"/>
        <w:pBdr>
          <w:bottom w:val="single" w:sz="6" w:space="2" w:color="16b3c7"/>
        </w:pBdr>
      </w:pPr>
      <w:r>
        <w:rPr>
          <w:b/>
          <w:color w:val="0B1F3A"/>
          <w:sz w:val="22"/>
        </w:rPr>
        <w:t>Ishikawa — cause categories (6M)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Machine: </w:t>
      </w:r>
      <w:r>
        <w:rPr>
          <w:sz w:val="21"/>
        </w:rPr>
        <w:t>roll/tool wear, bearings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Material: </w:t>
      </w:r>
      <w:r>
        <w:rPr>
          <w:sz w:val="21"/>
        </w:rPr>
        <w:t>workpiece hardness, tool grade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Method: </w:t>
      </w:r>
      <w:r>
        <w:rPr>
          <w:sz w:val="21"/>
        </w:rPr>
        <w:t>feed rate, spindle speed, cooling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Measurement: </w:t>
      </w:r>
      <w:r>
        <w:rPr>
          <w:sz w:val="21"/>
        </w:rPr>
        <w:t>sensor calibration, thresholds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Manpower: </w:t>
      </w:r>
      <w:r>
        <w:rPr>
          <w:sz w:val="21"/>
        </w:rPr>
        <w:t>setup variability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Environment: </w:t>
      </w:r>
      <w:r>
        <w:rPr>
          <w:sz w:val="21"/>
        </w:rPr>
        <w:t>ambient temperature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4.  Proposed improvement  (IMPROVE)</w:t>
      </w:r>
    </w:p>
    <w:p>
      <w:pPr>
        <w:spacing w:after="80"/>
      </w:pPr>
      <w:r>
        <w:rPr>
          <w:b w:val="0"/>
          <w:color w:val="16202E"/>
          <w:sz w:val="21"/>
        </w:rPr>
        <w:t>A Random Forest predicts the machine-failure label from the process variables plus the engineered physics. Key engineering judgement: with only 3.4% failures, accuracy is misleading (a "never fails" model already scores ~96.6%). The model is judged on RECALL of the failure class — the share of real breakdowns caught in time.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624"/>
      </w:tblGrid>
      <w:tr>
        <w:tc>
          <w:tcPr>
            <w:tcW w:type="dxa" w:w="4320"/>
            <w:shd w:val="clear" w:fill="16b3c7"/>
          </w:tcPr>
          <w:p>
            <w:r/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4320"/>
            <w:shd w:val="clear" w:fill="16b3c7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0B1F3A"/>
                <w:sz w:val="20"/>
              </w:rPr>
              <w:t>Algorithm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Random Forest (400 trees), class_weight balanced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0B1F3A"/>
                <w:sz w:val="20"/>
              </w:rPr>
              <w:t>Validation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Stratified 25% hold-out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0B1F3A"/>
                <w:sz w:val="20"/>
              </w:rPr>
              <w:t>Judged 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Recall, F1, ROC-AUC, PR-AUC (not accuracy)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0B1F3A"/>
                <w:sz w:val="20"/>
              </w:rPr>
              <w:t>Operating lever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Decision-threshold tuning: recall vs. false alarms</w:t>
            </w:r>
          </w:p>
        </w:tc>
      </w:tr>
    </w:tbl>
    <w:p>
      <w:pPr>
        <w:spacing w:after="120"/>
      </w:pPr>
      <w:r>
        <w:rPr>
          <w:b w:val="0"/>
          <w:color w:val="5B6B7F"/>
          <w:sz w:val="17"/>
        </w:rPr>
        <w:t>*The reproducible notebook computes the exact metrics, confusion matrix and feature importance on the full data.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5.  Action plan &amp; control  (CONTROL)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Predict, don’t react — </w:t>
      </w:r>
      <w:r>
        <w:rPr>
          <w:sz w:val="21"/>
        </w:rPr>
        <w:t>each flagged failure becomes a planned stop; direct lift to availability/OEE.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Prioritise the vital-few modes — </w:t>
      </w:r>
      <w:r>
        <w:rPr>
          <w:sz w:val="21"/>
        </w:rPr>
        <w:t>SPC limits on temperature gap, torque and mechanical power.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Tune the threshold — </w:t>
      </w:r>
      <w:r>
        <w:rPr>
          <w:sz w:val="21"/>
        </w:rPr>
        <w:t>trade false alarms for higher recall based on breakdown vs. check cost.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Condition-based alarms — </w:t>
      </w:r>
      <w:r>
        <w:rPr>
          <w:sz w:val="21"/>
        </w:rPr>
        <w:t>turn top features into shop-floor thresholds (poka-yoke backup).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PDCA — </w:t>
      </w:r>
      <w:r>
        <w:rPr>
          <w:sz w:val="21"/>
        </w:rPr>
        <w:t>track MTBF and recall monthly; retrain as tooling changes.</w:t>
      </w:r>
    </w:p>
    <w:p>
      <w:pPr>
        <w:spacing w:after="40"/>
      </w:pPr>
    </w:p>
    <w:p>
      <w:r>
        <w:rPr>
          <w:i/>
          <w:color w:val="5B6B7F"/>
          <w:sz w:val="17"/>
        </w:rPr>
        <w:t>Data source: AI4I 2020 Predictive Maintenance — UCI Machine Learning Repository (#601). Analysis and model reproducible in the attached notebook.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