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056"/>
        <w:gridCol w:w="2448"/>
      </w:tblGrid>
      <w:tr>
        <w:tc>
          <w:tcPr>
            <w:tcW w:type="dxa" w:w="4320"/>
            <w:shd w:val="clear" w:fill="0b1f3a"/>
          </w:tcPr>
          <w:p>
            <w:r>
              <w:rPr>
                <w:b/>
                <w:color w:val="FFFFFF"/>
                <w:sz w:val="29"/>
              </w:rPr>
              <w:t>Technical Report — Gas-turbine engine (Brayton cycle)</w:t>
            </w:r>
          </w:p>
          <w:p>
            <w:r>
              <w:rPr>
                <w:color w:val="CDDBE9"/>
                <w:sz w:val="19"/>
              </w:rPr>
              <w:t>Thermodynamics · Gas turbine &amp; jet propulsion · Cold-air-standard</w:t>
            </w:r>
          </w:p>
        </w:tc>
        <w:tc>
          <w:tcPr>
            <w:tcW w:type="dxa" w:w="4320"/>
            <w:shd w:val="clear" w:fill="0b1f3a"/>
          </w:tcPr>
          <w:p>
            <w:pPr>
              <w:jc w:val="right"/>
            </w:pPr>
            <w:r/>
            <w:r>
              <w:rPr>
                <w:b w:val="0"/>
                <w:color w:val="FFFFFF"/>
                <w:sz w:val="19"/>
              </w:rPr>
              <w:t>Esteban López</w:t>
              <w:br/>
              <w:t>Industrial Eng.</w:t>
              <w:br/>
              <w:t>2026</w:t>
            </w:r>
          </w:p>
        </w:tc>
      </w:tr>
    </w:tbl>
    <w:p>
      <w:pPr>
        <w:spacing w:after="40"/>
      </w:pPr>
    </w:p>
    <w:p>
      <w:pPr>
        <w:spacing w:before="200" w:after="80"/>
        <w:pBdr>
          <w:bottom w:val="single" w:sz="6" w:space="2" w:color="16b3c7"/>
        </w:pBdr>
      </w:pPr>
      <w:r>
        <w:rPr>
          <w:b/>
          <w:color w:val="0B1F3A"/>
          <w:sz w:val="26"/>
        </w:rPr>
        <w:t>1.  Problem &amp; specification</w:t>
      </w:r>
    </w:p>
    <w:p>
      <w:pPr>
        <w:spacing w:after="80"/>
      </w:pPr>
      <w:r>
        <w:rPr>
          <w:b w:val="0"/>
          <w:color w:val="16202E"/>
          <w:sz w:val="21"/>
        </w:rPr>
        <w:t>Analyse the air-standard Brayton cycle behind every gas turbine and jet engine. Compute each state, the thermal efficiency (ideal and with real compressor/turbine losses), the back-work ratio, and find the pressure ratio that maximises net work for a given turbine-inlet temperature.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76"/>
            <w:shd w:val="clear" w:fill="eef4f8"/>
          </w:tcPr>
          <w:p>
            <w:pPr>
              <w:jc w:val="center"/>
            </w:pPr>
            <w:r/>
            <w:r>
              <w:rPr>
                <w:b/>
                <w:color w:val="0B1F3A"/>
                <w:sz w:val="26"/>
              </w:rPr>
              <w:t>rp = 12</w:t>
            </w:r>
          </w:p>
          <w:p>
            <w:pPr>
              <w:jc w:val="center"/>
            </w:pPr>
            <w:r>
              <w:rPr>
                <w:color w:val="5B6B7F"/>
                <w:sz w:val="17"/>
              </w:rPr>
              <w:t>pressure ratio</w:t>
            </w:r>
          </w:p>
        </w:tc>
        <w:tc>
          <w:tcPr>
            <w:tcW w:type="dxa" w:w="2376"/>
            <w:shd w:val="clear" w:fill="eef4f8"/>
          </w:tcPr>
          <w:p>
            <w:pPr>
              <w:jc w:val="center"/>
            </w:pPr>
            <w:r/>
            <w:r>
              <w:rPr>
                <w:b/>
                <w:color w:val="0B1F3A"/>
                <w:sz w:val="26"/>
              </w:rPr>
              <w:t>1400 K</w:t>
            </w:r>
          </w:p>
          <w:p>
            <w:pPr>
              <w:jc w:val="center"/>
            </w:pPr>
            <w:r>
              <w:rPr>
                <w:color w:val="5B6B7F"/>
                <w:sz w:val="17"/>
              </w:rPr>
              <w:t>turbine inlet (TIT)</w:t>
            </w:r>
          </w:p>
        </w:tc>
        <w:tc>
          <w:tcPr>
            <w:tcW w:type="dxa" w:w="2376"/>
            <w:shd w:val="clear" w:fill="eef4f8"/>
          </w:tcPr>
          <w:p>
            <w:pPr>
              <w:jc w:val="center"/>
            </w:pPr>
            <w:r/>
            <w:r>
              <w:rPr>
                <w:b/>
                <w:color w:val="0B1F3A"/>
                <w:sz w:val="26"/>
              </w:rPr>
              <w:t>0.85 / 0.88</w:t>
            </w:r>
          </w:p>
          <w:p>
            <w:pPr>
              <w:jc w:val="center"/>
            </w:pPr>
            <w:r>
              <w:rPr>
                <w:color w:val="5B6B7F"/>
                <w:sz w:val="17"/>
              </w:rPr>
              <w:t>comp. / turb. η</w:t>
            </w:r>
          </w:p>
        </w:tc>
        <w:tc>
          <w:tcPr>
            <w:tcW w:type="dxa" w:w="2376"/>
            <w:shd w:val="clear" w:fill="eef4f8"/>
          </w:tcPr>
          <w:p>
            <w:pPr>
              <w:jc w:val="center"/>
            </w:pPr>
            <w:r/>
            <w:r>
              <w:rPr>
                <w:b/>
                <w:color w:val="0B1F3A"/>
                <w:sz w:val="26"/>
              </w:rPr>
              <w:t>288 K</w:t>
            </w:r>
          </w:p>
          <w:p>
            <w:pPr>
              <w:jc w:val="center"/>
            </w:pPr>
            <w:r>
              <w:rPr>
                <w:color w:val="5B6B7F"/>
                <w:sz w:val="17"/>
              </w:rPr>
              <w:t>inlet temperature</w:t>
            </w:r>
          </w:p>
        </w:tc>
      </w:tr>
    </w:tbl>
    <w:p>
      <w:pPr>
        <w:spacing w:after="40"/>
      </w:pPr>
    </w:p>
    <w:p>
      <w:pPr>
        <w:spacing w:before="200" w:after="80"/>
        <w:pBdr>
          <w:bottom w:val="single" w:sz="6" w:space="2" w:color="16b3c7"/>
        </w:pBdr>
      </w:pPr>
      <w:r>
        <w:rPr>
          <w:b/>
          <w:color w:val="0B1F3A"/>
          <w:sz w:val="26"/>
        </w:rPr>
        <w:t>2.  Method &amp; results</w:t>
      </w:r>
    </w:p>
    <w:p>
      <w:pPr>
        <w:spacing w:after="80"/>
      </w:pPr>
      <w:r>
        <w:rPr>
          <w:b w:val="0"/>
          <w:color w:val="16202E"/>
          <w:sz w:val="21"/>
        </w:rPr>
        <w:t>States: 1 = compressor inlet, 2 = compressor exit, 3 = turbine inlet, 4 = turbine exit. Cold-air-standard (cp = 1.005 kJ/kg·K, k = 1.4); real compression/expansion via isentropic efficiencies.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30845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s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08459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6048"/>
        <w:gridCol w:w="3168"/>
      </w:tblGrid>
      <w:tr>
        <w:tc>
          <w:tcPr>
            <w:tcW w:type="dxa" w:w="4320"/>
            <w:shd w:val="clear" w:fill="16b3c7"/>
          </w:tcPr>
          <w:p>
            <w:r/>
            <w:r>
              <w:rPr>
                <w:b/>
                <w:color w:val="FFFFFF"/>
                <w:sz w:val="19"/>
              </w:rPr>
              <w:t>Quantity</w:t>
            </w:r>
          </w:p>
        </w:tc>
        <w:tc>
          <w:tcPr>
            <w:tcW w:type="dxa" w:w="4320"/>
            <w:shd w:val="clear" w:fill="16b3c7"/>
          </w:tcPr>
          <w:p>
            <w:r/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Ideal thermal efficiency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color w:val="0B1F3A"/>
                <w:sz w:val="20"/>
              </w:rPr>
              <w:t>50.8 %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Real thermal efficiency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color w:val="0B1F3A"/>
                <w:sz w:val="20"/>
              </w:rPr>
              <w:t>36.2 %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Net work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color w:val="0B1F3A"/>
                <w:sz w:val="20"/>
              </w:rPr>
              <w:t>277 kJ/kg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Turbine work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color w:val="0B1F3A"/>
                <w:sz w:val="20"/>
              </w:rPr>
              <w:t>629 kJ/kg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Compressor work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color w:val="0B1F3A"/>
                <w:sz w:val="20"/>
              </w:rPr>
              <w:t>352 kJ/kg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Heat input q_in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color w:val="0B1F3A"/>
                <w:sz w:val="20"/>
              </w:rPr>
              <w:t>765 kJ/kg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Back-work ratio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color w:val="0B1F3A"/>
                <w:sz w:val="20"/>
              </w:rPr>
              <w:t>56 %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Compressor exit T2 / Turbine exit T4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color w:val="0B1F3A"/>
                <w:sz w:val="20"/>
              </w:rPr>
              <w:t>638 K / 774 K</w:t>
            </w:r>
          </w:p>
        </w:tc>
      </w:tr>
    </w:tbl>
    <w:p>
      <w:pPr>
        <w:spacing w:before="200" w:after="80"/>
        <w:pBdr>
          <w:bottom w:val="single" w:sz="6" w:space="2" w:color="16b3c7"/>
        </w:pBdr>
      </w:pPr>
      <w:r>
        <w:rPr>
          <w:b/>
          <w:color w:val="0B1F3A"/>
          <w:sz w:val="26"/>
        </w:rPr>
        <w:t>3.  Optimum pressure ratio &amp; back-work</w:t>
      </w:r>
    </w:p>
    <w:p>
      <w:pPr>
        <w:spacing w:after="120"/>
      </w:pPr>
      <w:r>
        <w:rPr>
          <w:b w:val="0"/>
          <w:color w:val="16202E"/>
          <w:sz w:val="21"/>
        </w:rPr>
        <w:t>Efficiency rises with pressure ratio, but net work peaks at an optimum rp (≈ 10–12 here). The compressor consumes ~56 % of the turbine output — far more than the &lt;1 % pump work of a steam cycle: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34640" cy="15921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timum_r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1592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68880" cy="170561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r_compa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17056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80"/>
        <w:pBdr>
          <w:bottom w:val="single" w:sz="6" w:space="2" w:color="16b3c7"/>
        </w:pBdr>
      </w:pPr>
      <w:r>
        <w:rPr>
          <w:b/>
          <w:color w:val="0B1F3A"/>
          <w:sz w:val="26"/>
        </w:rPr>
        <w:t>4.  Aerospace link — the turbojet</w:t>
      </w:r>
    </w:p>
    <w:p>
      <w:pPr>
        <w:spacing w:after="80"/>
      </w:pPr>
      <w:r>
        <w:rPr>
          <w:b w:val="0"/>
          <w:color w:val="16202E"/>
          <w:sz w:val="21"/>
        </w:rPr>
        <w:t>A turbojet is an open Brayton cycle: the turbine only drives the compressor, and the remaining energy is left in the fast exhaust to produce thrust, F = ṁ·(V_exit − V_inlet) + (p_e − p_0)·A_e. The same analysis sizes aircraft engines, auxiliary power units (APUs) and ground/marine gas turbines — a direct bridge from industrial energy systems to propulsion and aerospace, where availability, integrity and continuity (as in GNSS) are the equivalent figures of merit.</w:t>
      </w:r>
    </w:p>
    <w:p>
      <w:pPr>
        <w:spacing w:before="200" w:after="80"/>
        <w:pBdr>
          <w:bottom w:val="single" w:sz="6" w:space="2" w:color="16b3c7"/>
        </w:pBdr>
      </w:pPr>
      <w:r>
        <w:rPr>
          <w:b/>
          <w:color w:val="0B1F3A"/>
          <w:sz w:val="26"/>
        </w:rPr>
        <w:t>5.  Conclusion</w:t>
      </w:r>
    </w:p>
    <w:p>
      <w:pPr>
        <w:pStyle w:val="ListBullet"/>
        <w:spacing w:after="40"/>
      </w:pPr>
      <w:r>
        <w:rPr>
          <w:b/>
          <w:color w:val="0B1F3A"/>
          <w:sz w:val="21"/>
        </w:rPr>
        <w:t xml:space="preserve">Pick the pressure ratio — </w:t>
      </w:r>
      <w:r>
        <w:rPr>
          <w:sz w:val="21"/>
        </w:rPr>
        <w:t>net work peaks at an optimum rp for the chosen TIT.</w:t>
      </w:r>
    </w:p>
    <w:p>
      <w:pPr>
        <w:pStyle w:val="ListBullet"/>
        <w:spacing w:after="40"/>
      </w:pPr>
      <w:r>
        <w:rPr>
          <w:b/>
          <w:color w:val="0B1F3A"/>
          <w:sz w:val="21"/>
        </w:rPr>
        <w:t xml:space="preserve">Chase turbine-inlet temperature — </w:t>
      </w:r>
      <w:r>
        <w:rPr>
          <w:sz w:val="21"/>
        </w:rPr>
        <w:t>the dominant lever; hence materials and blade cooling.</w:t>
      </w:r>
    </w:p>
    <w:p>
      <w:pPr>
        <w:pStyle w:val="ListBullet"/>
        <w:spacing w:after="40"/>
      </w:pPr>
      <w:r>
        <w:rPr>
          <w:b/>
          <w:color w:val="0B1F3A"/>
          <w:sz w:val="21"/>
        </w:rPr>
        <w:t xml:space="preserve">Mind the back-work ratio — </w:t>
      </w:r>
      <w:r>
        <w:rPr>
          <w:sz w:val="21"/>
        </w:rPr>
        <w:t>56 % explains the Brayton vs Rankine difference.</w:t>
      </w:r>
    </w:p>
    <w:p>
      <w:pPr>
        <w:pStyle w:val="ListBullet"/>
        <w:spacing w:after="40"/>
      </w:pPr>
      <w:r>
        <w:rPr>
          <w:b/>
          <w:color w:val="0B1F3A"/>
          <w:sz w:val="21"/>
        </w:rPr>
        <w:t xml:space="preserve">Extend to real engines — </w:t>
      </w:r>
      <w:r>
        <w:rPr>
          <w:sz w:val="21"/>
        </w:rPr>
        <w:t>regeneration, intercooling, reheat, and combined Brayton-Rankine plants.</w:t>
      </w:r>
    </w:p>
    <w:p>
      <w:pPr>
        <w:spacing w:after="40"/>
      </w:pPr>
    </w:p>
    <w:p>
      <w:r>
        <w:rPr>
          <w:i/>
          <w:color w:val="5B6B7F"/>
          <w:sz w:val="17"/>
        </w:rPr>
        <w:t>Cold-air-standard Brayton analysis. Fully reproducible in the attached notebook.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620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