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56"/>
        <w:gridCol w:w="2448"/>
      </w:tblGrid>
      <w:tr>
        <w:tc>
          <w:tcPr>
            <w:tcW w:type="dxa" w:w="4320"/>
            <w:shd w:val="clear" w:fill="0b1f3a"/>
          </w:tcPr>
          <w:p>
            <w:r>
              <w:rPr>
                <w:b/>
                <w:color w:val="FFFFFF"/>
                <w:sz w:val="30"/>
              </w:rPr>
              <w:t>Design Report — Counter-flow heat exchanger (ε-NTU)</w:t>
            </w:r>
          </w:p>
          <w:p>
            <w:r>
              <w:rPr>
                <w:color w:val="CDDBE9"/>
                <w:sz w:val="19"/>
              </w:rPr>
              <w:t>Thermodynamics · Heat transfer · ε-NTU &amp; LMTD methods</w:t>
            </w:r>
          </w:p>
        </w:tc>
        <w:tc>
          <w:tcPr>
            <w:tcW w:type="dxa" w:w="4320"/>
            <w:shd w:val="clear" w:fill="0b1f3a"/>
          </w:tcPr>
          <w:p>
            <w:pPr>
              <w:jc w:val="right"/>
            </w:pPr>
            <w:r/>
            <w:r>
              <w:rPr>
                <w:b w:val="0"/>
                <w:color w:val="FFFFFF"/>
                <w:sz w:val="19"/>
              </w:rPr>
              <w:t>Esteban López</w:t>
              <w:br/>
              <w:t>Industrial Eng.</w:t>
              <w:br/>
              <w:t>2026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6" w:space="2" w:color="16b3c7"/>
        </w:pBdr>
      </w:pPr>
      <w:r>
        <w:rPr>
          <w:b/>
          <w:color w:val="0B1F3A"/>
          <w:sz w:val="26"/>
        </w:rPr>
        <w:t>1.  Problem &amp; specification</w:t>
      </w:r>
    </w:p>
    <w:p>
      <w:pPr>
        <w:spacing w:after="80"/>
      </w:pPr>
      <w:r>
        <w:rPr>
          <w:b w:val="0"/>
          <w:color w:val="16202E"/>
          <w:sz w:val="21"/>
        </w:rPr>
        <w:t>Cool a hot process-water stream using cooling water in a counter-flow heat exchanger. Determine the heat duty, outlet temperatures and effectiveness, validate the result with an independent method, and quantify how the required area grows for a colder outlet.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76"/>
            <w:shd w:val="clear" w:fill="eef4f8"/>
          </w:tcPr>
          <w:p>
            <w:pPr>
              <w:jc w:val="center"/>
            </w:pPr>
            <w:r/>
            <w:r>
              <w:rPr>
                <w:b/>
                <w:color w:val="0B1F3A"/>
                <w:sz w:val="26"/>
              </w:rPr>
              <w:t>90 / 20 °C</w:t>
            </w:r>
          </w:p>
          <w:p>
            <w:pPr>
              <w:jc w:val="center"/>
            </w:pPr>
            <w:r>
              <w:rPr>
                <w:color w:val="5B6B7F"/>
                <w:sz w:val="17"/>
              </w:rPr>
              <w:t>hot / cold inlet</w:t>
            </w:r>
          </w:p>
        </w:tc>
        <w:tc>
          <w:tcPr>
            <w:tcW w:type="dxa" w:w="2376"/>
            <w:shd w:val="clear" w:fill="eef4f8"/>
          </w:tcPr>
          <w:p>
            <w:pPr>
              <w:jc w:val="center"/>
            </w:pPr>
            <w:r/>
            <w:r>
              <w:rPr>
                <w:b/>
                <w:color w:val="0B1F3A"/>
                <w:sz w:val="26"/>
              </w:rPr>
              <w:t>2.0 / 2.5 kg/s</w:t>
            </w:r>
          </w:p>
          <w:p>
            <w:pPr>
              <w:jc w:val="center"/>
            </w:pPr>
            <w:r>
              <w:rPr>
                <w:color w:val="5B6B7F"/>
                <w:sz w:val="17"/>
              </w:rPr>
              <w:t>hot / cold flow</w:t>
            </w:r>
          </w:p>
        </w:tc>
        <w:tc>
          <w:tcPr>
            <w:tcW w:type="dxa" w:w="2376"/>
            <w:shd w:val="clear" w:fill="eef4f8"/>
          </w:tcPr>
          <w:p>
            <w:pPr>
              <w:jc w:val="center"/>
            </w:pPr>
            <w:r/>
            <w:r>
              <w:rPr>
                <w:b/>
                <w:color w:val="0B1F3A"/>
                <w:sz w:val="26"/>
              </w:rPr>
              <w:t>1200 W/m²K</w:t>
            </w:r>
          </w:p>
          <w:p>
            <w:pPr>
              <w:jc w:val="center"/>
            </w:pPr>
            <w:r>
              <w:rPr>
                <w:color w:val="5B6B7F"/>
                <w:sz w:val="17"/>
              </w:rPr>
              <w:t>U (overall)</w:t>
            </w:r>
          </w:p>
        </w:tc>
        <w:tc>
          <w:tcPr>
            <w:tcW w:type="dxa" w:w="2376"/>
            <w:shd w:val="clear" w:fill="eef4f8"/>
          </w:tcPr>
          <w:p>
            <w:pPr>
              <w:jc w:val="center"/>
            </w:pPr>
            <w:r/>
            <w:r>
              <w:rPr>
                <w:b/>
                <w:color w:val="0B1F3A"/>
                <w:sz w:val="26"/>
              </w:rPr>
              <w:t>8 m²</w:t>
            </w:r>
          </w:p>
          <w:p>
            <w:pPr>
              <w:jc w:val="center"/>
            </w:pPr>
            <w:r>
              <w:rPr>
                <w:color w:val="5B6B7F"/>
                <w:sz w:val="17"/>
              </w:rPr>
              <w:t>area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6" w:space="2" w:color="16b3c7"/>
        </w:pBdr>
      </w:pPr>
      <w:r>
        <w:rPr>
          <w:b/>
          <w:color w:val="0B1F3A"/>
          <w:sz w:val="26"/>
        </w:rPr>
        <w:t>2.  Method — ε-NTU and LMTD</w:t>
      </w:r>
    </w:p>
    <w:p>
      <w:pPr>
        <w:spacing w:after="80"/>
      </w:pPr>
      <w:r>
        <w:rPr>
          <w:b w:val="0"/>
          <w:color w:val="16202E"/>
          <w:sz w:val="21"/>
        </w:rPr>
        <w:t>Capacity rates: C = m·cp. With C_min = 8,410 W/K (hot) and Cr = C_min/C_max = 0.805, the number of transfer units is NTU = U·A / C_min = 1.14. For a counter-flow exchanger the effectiveness is:</w:t>
      </w:r>
    </w:p>
    <w:p>
      <w:pPr>
        <w:spacing w:after="80"/>
      </w:pPr>
      <w:r>
        <w:rPr>
          <w:rFonts w:ascii="Cambria Math" w:hAnsi="Cambria Math"/>
          <w:b/>
          <w:color w:val="0B1F3A"/>
          <w:sz w:val="22"/>
        </w:rPr>
        <w:t>ε = (1 − e^[−NTU(1−Cr)]) / (1 − Cr·e^[−NTU(1−Cr)])      Q = ε·C_min·(Th,in − Tc,in)</w:t>
      </w:r>
    </w:p>
    <w:p>
      <w:pPr>
        <w:spacing w:after="80"/>
      </w:pPr>
      <w:r>
        <w:rPr>
          <w:b w:val="0"/>
          <w:color w:val="5B6B7F"/>
          <w:sz w:val="21"/>
        </w:rPr>
        <w:t>The result is cross-checked with the LMTD method, Q = U·A·LMTD, which must agree. Fluid properties (cp) are taken from CoolProp at each stream’s mean temperature.</w:t>
      </w:r>
    </w:p>
    <w:p>
      <w:pPr>
        <w:spacing w:before="200" w:after="80"/>
        <w:pBdr>
          <w:bottom w:val="single" w:sz="6" w:space="2" w:color="16b3c7"/>
        </w:pBdr>
      </w:pPr>
      <w:r>
        <w:rPr>
          <w:b/>
          <w:color w:val="0B1F3A"/>
          <w:sz w:val="26"/>
        </w:rPr>
        <w:t>3.  Results</w:t>
      </w:r>
    </w:p>
    <w:p>
      <w:pPr>
        <w:spacing w:after="120"/>
      </w:pPr>
      <w:r>
        <w:rPr>
          <w:b w:val="0"/>
          <w:color w:val="16202E"/>
          <w:sz w:val="21"/>
        </w:rPr>
        <w:t>The ε-NTU operating point on the design chart, and the temperature profile along the exchanger: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9892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s_nt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89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8720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rof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720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5760"/>
        <w:gridCol w:w="3456"/>
      </w:tblGrid>
      <w:tr>
        <w:tc>
          <w:tcPr>
            <w:tcW w:type="dxa" w:w="4320"/>
            <w:shd w:val="clear" w:fill="16b3c7"/>
          </w:tcPr>
          <w:p>
            <w:r/>
            <w:r>
              <w:rPr>
                <w:b/>
                <w:color w:val="FFFFFF"/>
                <w:sz w:val="19"/>
              </w:rPr>
              <w:t>Quantity</w:t>
            </w:r>
          </w:p>
        </w:tc>
        <w:tc>
          <w:tcPr>
            <w:tcW w:type="dxa" w:w="4320"/>
            <w:shd w:val="clear" w:fill="16b3c7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Effectiveness 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color w:val="0B1F3A"/>
                <w:sz w:val="20"/>
              </w:rPr>
              <w:t>56.1 %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Heat duty Q (ε-NTU)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color w:val="0B1F3A"/>
                <w:sz w:val="20"/>
              </w:rPr>
              <w:t>330.3 kW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Heat duty Q (LMTD check)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color w:val="0B1F3A"/>
                <w:sz w:val="20"/>
              </w:rPr>
              <w:t>330.3 kW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Hot outlet temperature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color w:val="0B1F3A"/>
                <w:sz w:val="20"/>
              </w:rPr>
              <w:t>50.7 °C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Cold outlet temperature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color w:val="0B1F3A"/>
                <w:sz w:val="20"/>
              </w:rPr>
              <w:t>51.6 °C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LMTD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color w:val="0B1F3A"/>
                <w:sz w:val="20"/>
              </w:rPr>
              <w:t>34.4 °C</w:t>
            </w:r>
          </w:p>
        </w:tc>
      </w:tr>
    </w:tbl>
    <w:p>
      <w:pPr>
        <w:spacing w:after="120"/>
      </w:pPr>
      <w:r>
        <w:rPr>
          <w:b w:val="0"/>
          <w:color w:val="5B6B7F"/>
          <w:sz w:val="17"/>
        </w:rPr>
        <w:t>ε-NTU and LMTD agree to within 1 % — an independent check that the calculation is consistent.</w:t>
      </w:r>
    </w:p>
    <w:p>
      <w:pPr>
        <w:spacing w:before="200" w:after="80"/>
        <w:pBdr>
          <w:bottom w:val="single" w:sz="6" w:space="2" w:color="16b3c7"/>
        </w:pBdr>
      </w:pPr>
      <w:r>
        <w:rPr>
          <w:b/>
          <w:color w:val="0B1F3A"/>
          <w:sz w:val="26"/>
        </w:rPr>
        <w:t>4.  Design trade-off</w:t>
      </w:r>
    </w:p>
    <w:p>
      <w:pPr>
        <w:spacing w:after="80"/>
      </w:pPr>
      <w:r>
        <w:rPr>
          <w:b w:val="0"/>
          <w:color w:val="16202E"/>
          <w:sz w:val="21"/>
        </w:rPr>
        <w:t>Inverting the problem (required area for a target hot-outlet temperature) shows diminishing returns: because effectiveness flattens at high NTU, cooling the hot stream below ~50 °C costs disproportionately more area. The current 8 m² already sits on the knee of the ε-NTU curve; reaching a 45 °C outlet would need roughly double the area. Fouling lowers U over time and shifts the operating point left, eroding effectiveness.</w:t>
      </w:r>
    </w:p>
    <w:p>
      <w:pPr>
        <w:spacing w:before="200" w:after="80"/>
        <w:pBdr>
          <w:bottom w:val="single" w:sz="6" w:space="2" w:color="16b3c7"/>
        </w:pBdr>
      </w:pPr>
      <w:r>
        <w:rPr>
          <w:b/>
          <w:color w:val="0B1F3A"/>
          <w:sz w:val="26"/>
        </w:rPr>
        <w:t>5.  Conclusion — engineering decisions enabled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Size for a target duty — </w:t>
      </w:r>
      <w:r>
        <w:rPr>
          <w:sz w:val="21"/>
        </w:rPr>
        <w:t>choose area/U without over-building.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Choose the configuration — </w:t>
      </w:r>
      <w:r>
        <w:rPr>
          <w:sz w:val="21"/>
        </w:rPr>
        <w:t>counter-flow beats parallel-flow effectiveness for the same area.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Plan for fouling — </w:t>
      </w:r>
      <w:r>
        <w:rPr>
          <w:sz w:val="21"/>
        </w:rPr>
        <w:t>quantify the U decline and set a cleaning interval.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Optimise total cost — </w:t>
      </w:r>
      <w:r>
        <w:rPr>
          <w:sz w:val="21"/>
        </w:rPr>
        <w:t>next step: add pressure-drop and pumping power to the trade-off.</w:t>
      </w:r>
    </w:p>
    <w:p>
      <w:pPr>
        <w:spacing w:after="40"/>
      </w:pPr>
    </w:p>
    <w:p>
      <w:r>
        <w:rPr>
          <w:i/>
          <w:color w:val="5B6B7F"/>
          <w:sz w:val="17"/>
        </w:rPr>
        <w:t>Methods: ε-NTU and LMTD. Fluid properties via CoolProp. Fully reproducible in the attached notebook.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20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