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2448"/>
      </w:tblGrid>
      <w:tr>
        <w:tc>
          <w:tcPr>
            <w:tcW w:type="dxa" w:w="4320"/>
            <w:shd w:val="clear" w:fill="0b1f3a"/>
          </w:tcPr>
          <w:p>
            <w:r>
              <w:rPr>
                <w:b/>
                <w:color w:val="FFFFFF"/>
                <w:sz w:val="30"/>
              </w:rPr>
              <w:t>A3 Report — Quality control on a Bosch assembly line</w:t>
            </w:r>
          </w:p>
          <w:p>
            <w:r>
              <w:rPr>
                <w:color w:val="CDDBE9"/>
                <w:sz w:val="19"/>
              </w:rPr>
              <w:t>Continuous improvement · Six Sigma · DMAIC  ·  Bosch Production Line (Kaggle, 14.3 GB)</w:t>
            </w:r>
          </w:p>
        </w:tc>
        <w:tc>
          <w:tcPr>
            <w:tcW w:type="dxa" w:w="4320"/>
            <w:shd w:val="clear" w:fill="0b1f3a"/>
          </w:tcPr>
          <w:p>
            <w:pPr>
              <w:jc w:val="right"/>
            </w:pPr>
            <w:r/>
            <w:r>
              <w:rPr>
                <w:b w:val="0"/>
                <w:color w:val="FFFFFF"/>
                <w:sz w:val="19"/>
              </w:rPr>
              <w:t>Esteban López</w:t>
              <w:br/>
              <w:t>Industrial Eng.</w:t>
              <w:br/>
              <w:t>2026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1.  Background &amp; problem  (DEFINE)</w:t>
      </w:r>
    </w:p>
    <w:p>
      <w:pPr>
        <w:spacing w:after="80"/>
      </w:pPr>
      <w:r>
        <w:rPr>
          <w:b w:val="0"/>
          <w:color w:val="16202E"/>
          <w:sz w:val="21"/>
        </w:rPr>
        <w:t>Bosch records thousands of measurements as each part flows through its assembly line. The goal: predict which parts will fail quality control so they can be caught early. The data is real and large-scale — 1,184,687 parts, 968 numeric measurements across 51 stations on 4 production lines (14.3 GB) — and extremely imbalanced, so it challenges both the statistics and the engineering of the analysis.</w:t>
      </w:r>
    </w:p>
    <w:p>
      <w:pPr>
        <w:spacing w:after="80"/>
      </w:pPr>
      <w:r>
        <w:rPr>
          <w:b w:val="0"/>
          <w:color w:val="5B6B7F"/>
          <w:sz w:val="21"/>
        </w:rPr>
        <w:t>Goal: map the value stream, find where defects concentrate, and build a defect-prediction model with the right metric.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2.  Current state  (MEASURE)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8"/>
              </w:rPr>
              <w:t>1,184,687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parts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8"/>
              </w:rPr>
              <w:t>0.58%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defect rate (6,879)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8"/>
              </w:rPr>
              <w:t>968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sensors · 51 stations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8"/>
              </w:rPr>
              <w:t>14.3 GB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dataset size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16202E"/>
          <w:sz w:val="21"/>
        </w:rPr>
        <w:t>The feature names L{line}_S{station}_F{feature} act as a value-stream map. A Pareto of measurement density shows where the line is most complex and instrumented: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0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pBdr>
          <w:bottom w:val="single" w:sz="6" w:space="2" w:color="16b3c7"/>
        </w:pBdr>
      </w:pPr>
      <w:r>
        <w:rPr>
          <w:b/>
          <w:color w:val="0B1F3A"/>
          <w:sz w:val="22"/>
        </w:rPr>
        <w:t>Measurement density per production 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1f3a"/>
          </w:tcPr>
          <w:p>
            <w:r/>
            <w:r>
              <w:rPr>
                <w:b/>
                <w:color w:val="FFFFFF"/>
                <w:sz w:val="19"/>
              </w:rPr>
              <w:t>Production line</w:t>
            </w:r>
          </w:p>
        </w:tc>
        <w:tc>
          <w:tcPr>
            <w:tcW w:type="dxa" w:w="216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Sensors</w:t>
            </w:r>
          </w:p>
        </w:tc>
        <w:tc>
          <w:tcPr>
            <w:tcW w:type="dxa" w:w="216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% of total</w:t>
            </w:r>
          </w:p>
        </w:tc>
        <w:tc>
          <w:tcPr>
            <w:tcW w:type="dxa" w:w="216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Cumulative %</w:t>
            </w:r>
          </w:p>
        </w:tc>
      </w:tr>
      <w:tr>
        <w:tc>
          <w:tcPr>
            <w:tcW w:type="dxa" w:w="2160"/>
            <w:shd w:val="clear" w:fill="e8f7fa"/>
          </w:tcPr>
          <w:p>
            <w:r/>
            <w:r>
              <w:rPr>
                <w:b/>
                <w:sz w:val="20"/>
              </w:rPr>
              <w:t>L1 — core processing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513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53.0%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53.0%</w:t>
            </w:r>
          </w:p>
        </w:tc>
      </w:tr>
      <w:tr>
        <w:tc>
          <w:tcPr>
            <w:tcW w:type="dxa" w:w="2160"/>
            <w:shd w:val="clear" w:fill="e8f7fa"/>
          </w:tcPr>
          <w:p>
            <w:r/>
            <w:r>
              <w:rPr>
                <w:b/>
                <w:sz w:val="20"/>
              </w:rPr>
              <w:t>L3 — finishing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245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25.3%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78.3%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L0 — entry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17.4%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95.7%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L2 — short branch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4.3%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100.0%</w:t>
            </w:r>
          </w:p>
        </w:tc>
      </w:tr>
    </w:tbl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3.  Root-cause analysis  (ANALYZE)</w:t>
      </w:r>
    </w:p>
    <w:p>
      <w:pPr>
        <w:spacing w:after="80"/>
      </w:pPr>
      <w:r>
        <w:rPr>
          <w:b w:val="0"/>
          <w:color w:val="16202E"/>
          <w:sz w:val="21"/>
        </w:rPr>
        <w:t>Lines L1 and L3 carry 78% of all measurements — the most complex, most-monitored stages, and the natural place to focus SPC. Because the date features timestamp each step, every part’s route through the stations can be reconstructed; a station-level defect rate (computed in the notebook) reveals where failing parts concentrate.</w:t>
      </w:r>
    </w:p>
    <w:p>
      <w:pPr>
        <w:spacing w:before="120" w:after="80"/>
        <w:pBdr>
          <w:bottom w:val="single" w:sz="6" w:space="2" w:color="16b3c7"/>
        </w:pBdr>
      </w:pPr>
      <w:r>
        <w:rPr>
          <w:b/>
          <w:color w:val="0B1F3A"/>
          <w:sz w:val="22"/>
        </w:rPr>
        <w:t>Engineering challenges and how they were handled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Extreme imbalance — </w:t>
      </w:r>
      <w:r>
        <w:rPr>
          <w:sz w:val="21"/>
        </w:rPr>
        <w:t>only 0.58% defects, so MCC (not accuracy) is the metric.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Volume (14.3 GB) — </w:t>
      </w:r>
      <w:r>
        <w:rPr>
          <w:sz w:val="21"/>
        </w:rPr>
        <w:t>stream the file in chunks and down-cast to float32.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Sparsity — </w:t>
      </w:r>
      <w:r>
        <w:rPr>
          <w:sz w:val="21"/>
        </w:rPr>
        <w:t>each part visits only some stations, so most features are NaN.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4.  Proposed improvement  (IMPROVE)</w:t>
      </w:r>
    </w:p>
    <w:p>
      <w:pPr>
        <w:spacing w:after="80"/>
      </w:pPr>
      <w:r>
        <w:rPr>
          <w:b w:val="0"/>
          <w:color w:val="16202E"/>
          <w:sz w:val="21"/>
        </w:rPr>
        <w:t>A HistGradientBoosting model predicts the failure label. It handles NaN natively and scales to millions of rows. Engineering judgement: accuracy is meaningless here (a "all pass" model scores 99.4%); the model is judged on the Matthews Correlation Coefficient (MCC) and the decision threshold is tuned to maximise it.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Algorithm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HistGradientBoosting (native NaN, class_weight balanced)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Data handling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chunked read + float32 down-cast; majority down-sampling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MCC + threshold tuning (not accuracy)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Expected MCC*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~0.40–0.48 single model (winning ensembles ~0.52)</w:t>
            </w:r>
          </w:p>
        </w:tc>
      </w:tr>
    </w:tbl>
    <w:p>
      <w:pPr>
        <w:spacing w:after="120"/>
      </w:pPr>
      <w:r>
        <w:rPr>
          <w:b w:val="0"/>
          <w:color w:val="5B6B7F"/>
          <w:sz w:val="17"/>
        </w:rPr>
        <w:t>*The reproducible notebook computes the exact MCC, threshold curve and confusion matrix on the full data.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5.  Action plan &amp; control  (CONTROL)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Focus SPC where the process is complex — </w:t>
      </w:r>
      <w:r>
        <w:rPr>
          <w:sz w:val="21"/>
        </w:rPr>
        <w:t>highest-defect-rate stations on lines L1 and L3 first.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Catch escapes, accept some false alarms — </w:t>
      </w:r>
      <w:r>
        <w:rPr>
          <w:sz w:val="21"/>
        </w:rPr>
        <w:t>tune threshold to MCC / cost of a missed defect.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Trace every failing part’s route — </w:t>
      </w:r>
      <w:r>
        <w:rPr>
          <w:sz w:val="21"/>
        </w:rPr>
        <w:t>recurring station sequences point to the stage to fix.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Poka-yoke at critical stations — </w:t>
      </w:r>
      <w:r>
        <w:rPr>
          <w:sz w:val="21"/>
        </w:rPr>
        <w:t>turn top signals into in-line gates that stop defects.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PDCA at scale — </w:t>
      </w:r>
      <w:r>
        <w:rPr>
          <w:sz w:val="21"/>
        </w:rPr>
        <w:t>re-score MCC and the station defect map per shift; retrain as the line drifts.</w:t>
      </w:r>
    </w:p>
    <w:p>
      <w:pPr>
        <w:spacing w:after="40"/>
      </w:pPr>
    </w:p>
    <w:p>
      <w:r>
        <w:rPr>
          <w:i/>
          <w:color w:val="5B6B7F"/>
          <w:sz w:val="17"/>
        </w:rPr>
        <w:t>Data source: Bosch Production Line Performance — Kaggle competition (2016). Analysis and model reproducible in the attached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