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30"/>
              </w:rPr>
              <w:t>Technical Report — Steam power plant (Rankine cycle)</w:t>
            </w:r>
          </w:p>
          <w:p>
            <w:r>
              <w:rPr>
                <w:color w:val="CDDBE9"/>
                <w:sz w:val="19"/>
              </w:rPr>
              <w:t>Thermodynamics · Power cycles · CoolProp (IAPWS-IF97)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Problem &amp; specification</w:t>
      </w:r>
    </w:p>
    <w:p>
      <w:pPr>
        <w:spacing w:after="80"/>
      </w:pPr>
      <w:r>
        <w:rPr>
          <w:b w:val="0"/>
          <w:color w:val="16202E"/>
          <w:sz w:val="21"/>
        </w:rPr>
        <w:t>Analyse a steam power plant operating on a Rankine cycle. Compute every thermodynamic state, the thermal efficiency (ideal and with realistic component losses), the back-work ratio and the turbine-exit steam quality, and optimise the design by sweeping boiler pressure, superheat temperature and condenser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8 MPa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boiler pressure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500 °C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turbine inlet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10 kPa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condenser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0.85 / 0.85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turbine / pump η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Method</w:t>
      </w:r>
    </w:p>
    <w:p>
      <w:pPr>
        <w:spacing w:after="80"/>
      </w:pPr>
      <w:r>
        <w:rPr>
          <w:b w:val="0"/>
          <w:color w:val="16202E"/>
          <w:sz w:val="21"/>
        </w:rPr>
        <w:t>The four states are: 1 = condenser exit (saturated liquid), 2 = pump exit, 3 = turbine inlet (superheated), 4 = turbine exit. Enthalpies and entropies come from CoolProp (IAPWS-IF97). Efficiency:</w:t>
      </w:r>
    </w:p>
    <w:p>
      <w:r>
        <w:rPr>
          <w:rFonts w:ascii="Cambria Math" w:hAnsi="Cambria Math"/>
          <w:b/>
          <w:color w:val="0B1F3A"/>
          <w:sz w:val="22"/>
        </w:rPr>
        <w:t>η_th = w_net / q_in = (w_turbine − w_pump) / (h3 − h2)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188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88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760"/>
        <w:gridCol w:w="3456"/>
      </w:tblGrid>
      <w:tr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Ideal thermal efficiency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39.4 %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Real thermal efficiency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33.4 %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Net work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1069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Turbine work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1079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Pump work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9.5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Heat input q_in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3198 kJ/kg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Back-work ratio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0.88 %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Turbine-exit quality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0.89</w:t>
            </w:r>
          </w:p>
        </w:tc>
      </w:tr>
    </w:tbl>
    <w:p>
      <w:pPr>
        <w:spacing w:after="120"/>
      </w:pPr>
      <w:r>
        <w:rPr>
          <w:b w:val="0"/>
          <w:color w:val="5B6B7F"/>
          <w:sz w:val="17"/>
        </w:rPr>
        <w:t>The back-work ratio of 0.88 % shows the pump consumes almost no work — the defining advantage of a vapour power cycle over a gas-turbine cycle.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Optimisation &amp; the wetness limit</w:t>
      </w:r>
    </w:p>
    <w:p>
      <w:pPr>
        <w:spacing w:after="120"/>
      </w:pPr>
      <w:r>
        <w:rPr>
          <w:b w:val="0"/>
          <w:color w:val="16202E"/>
          <w:sz w:val="21"/>
        </w:rPr>
        <w:t>Efficiency rises with superheat temperature and with lower condenser pressure (and with boiler pressure):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574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_tma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7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1574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a_pco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7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color w:val="16202E"/>
          <w:sz w:val="21"/>
        </w:rPr>
        <w:t>However, raising boiler pressure and lowering condenser pressure both push the turbine exit wetter. Below ~88 % quality, droplets erode the last turbine stages — the physical reason real plants use reheat (and regeneration).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Conclusion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Fix the operating point — </w:t>
      </w:r>
      <w:r>
        <w:rPr>
          <w:sz w:val="21"/>
        </w:rPr>
        <w:t>set pressures and superheat for a target efficiency.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Respect the wetness limit — </w:t>
      </w:r>
      <w:r>
        <w:rPr>
          <w:sz w:val="21"/>
        </w:rPr>
        <w:t>it caps how far pressure and vacuum can be pushed.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Justify reheat &amp; regeneration — </w:t>
      </w:r>
      <w:r>
        <w:rPr>
          <w:sz w:val="21"/>
        </w:rPr>
        <w:t>the next design steps follow from this trade-off.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Benchmark vs Brayton — </w:t>
      </w:r>
      <w:r>
        <w:rPr>
          <w:sz w:val="21"/>
        </w:rPr>
        <w:t>the &lt;1% back-work ratio explains steam-cycle dominance in base-load power.</w:t>
      </w:r>
    </w:p>
    <w:p>
      <w:pPr>
        <w:spacing w:after="40"/>
      </w:pPr>
    </w:p>
    <w:p>
      <w:r>
        <w:rPr>
          <w:i/>
          <w:color w:val="5B6B7F"/>
          <w:sz w:val="17"/>
        </w:rPr>
        <w:t>Steam properties via CoolProp (IAPWS-IF97). Fully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