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A1A1A"/>
          <w:sz w:val="30"/>
          <w:szCs w:val="30"/>
        </w:rPr>
        <w:t xml:space="preserve">Directors' Report FY 2025-26 — Reply to Highlighted Portions</w:t>
      </w:r>
    </w:p>
    <w:p>
      <w:pPr>
        <w:spacing w:after="240"/>
      </w:pPr>
      <w:r>
        <w:rPr>
          <w:rFonts w:ascii="Calibri" w:cs="Calibri" w:eastAsia="Calibri" w:hAnsi="Calibri"/>
          <w:i/>
          <w:iCs/>
          <w:color w:val="595959"/>
          <w:sz w:val="20"/>
          <w:szCs w:val="20"/>
        </w:rPr>
        <w:t xml:space="preserve">Memo for management and company secretary review · Datre Corporation Limited · Refers to Directors_Report_2526_Final_for_Print_1.doc</w:t>
      </w:r>
    </w:p>
    <w:p>
      <w:pPr>
        <w:pBdr>
          <w:bottom w:val="single" w:color="D0D0D0" w:sz="4" w:space="4"/>
        </w:pBdr>
        <w:spacing w:after="120" w:before="280"/>
      </w:pPr>
      <w:r>
        <w:rPr>
          <w:rFonts w:ascii="Calibri" w:cs="Calibri" w:eastAsia="Calibri" w:hAnsi="Calibri"/>
          <w:b/>
          <w:bCs/>
          <w:color w:val="B45309"/>
          <w:sz w:val="24"/>
          <w:szCs w:val="24"/>
        </w:rPr>
        <w:t xml:space="preserve">Cover note</w:t>
      </w:r>
    </w:p>
    <w:p>
      <w:pPr>
        <w:spacing w:after="180" w:line="300"/>
        <w:jc w:val="both"/>
      </w:pPr>
      <w:r>
        <w:rPr>
          <w:rFonts w:ascii="Calibri" w:cs="Calibri" w:eastAsia="Calibri" w:hAnsi="Calibri"/>
          <w:color w:val="1A1A1A"/>
          <w:sz w:val="22"/>
          <w:szCs w:val="22"/>
        </w:rPr>
        <w:t xml:space="preserve">Three sections of the circulated draft were highlighted: the State of Affairs and Future Outlook paragraphs, the Technology Absorption (R&amp;D) disclosure, and the Management Discussion and Analysis. All three read as carried-forward boilerplate rather than this year's actual results. Proposed replacement text for each is below, drafted from the same financial and operational facts used in the Note 24 going-concern redraft, so the Directors' Report, Note 24 and the audited figures all tell the same story. Bracketed text highlighted in yellow marks figures to be confirmed by the finance team. One likely typo is flagged separately.</w:t>
      </w:r>
    </w:p>
    <w:p>
      <w:pPr>
        <w:pBdr>
          <w:bottom w:val="single" w:color="D0D0D0" w:sz="4" w:space="4"/>
        </w:pBdr>
        <w:spacing w:after="120" w:before="280"/>
      </w:pPr>
      <w:r>
        <w:rPr>
          <w:rFonts w:ascii="Calibri" w:cs="Calibri" w:eastAsia="Calibri" w:hAnsi="Calibri"/>
          <w:b/>
          <w:bCs/>
          <w:color w:val="B45309"/>
          <w:sz w:val="24"/>
          <w:szCs w:val="24"/>
        </w:rPr>
        <w:t xml:space="preserve">1. State of Affairs and Future Outlook</w:t>
      </w:r>
    </w:p>
    <w:p>
      <w:pPr>
        <w:spacing w:after="40" w:before="120"/>
      </w:pPr>
      <w:r>
        <w:rPr>
          <w:rFonts w:ascii="Calibri" w:cs="Calibri" w:eastAsia="Calibri" w:hAnsi="Calibri"/>
          <w:b/>
          <w:bCs/>
          <w:caps/>
          <w:color w:val="595959"/>
          <w:spacing w:val="10"/>
          <w:sz w:val="18"/>
          <w:szCs w:val="18"/>
        </w:rPr>
        <w:t xml:space="preserve">Current text</w:t>
      </w:r>
    </w:p>
    <w:p>
      <w:pPr>
        <w:pBdr>
          <w:left w:val="single" w:color="C9CDD3" w:sz="12" w:space="8"/>
        </w:pBdr>
        <w:spacing w:after="160" w:line="280"/>
        <w:ind w:left="260"/>
        <w:jc w:val="both"/>
      </w:pPr>
      <w:r>
        <w:rPr>
          <w:rFonts w:ascii="Calibri" w:cs="Calibri" w:eastAsia="Calibri" w:hAnsi="Calibri"/>
          <w:i/>
          <w:iCs/>
          <w:color w:val="595959"/>
          <w:sz w:val="21"/>
          <w:szCs w:val="21"/>
        </w:rPr>
        <w:t xml:space="preserve">During the year the turnover of the Company has increased by 26.11% to Rs.2,574.12 lakh (previous year Rs.2,041.24 lakh). During the year under review, the Company made steady progress on multiple fronts — developing new customers and products, pursuing an active cost reduction drive, and enhancing production processes to achieve shorter production cycles. The Company also undertook significant capital expenditure to procure new machinery and equipment, while simultaneously revamping existing machinery to reduce breakdowns and improve overall operational performance. Building on these efforts, your directors remain confident that the Company's operations will continue to improve in the year ahead.</w:t>
      </w:r>
    </w:p>
    <w:p>
      <w:pPr>
        <w:spacing w:after="40" w:before="120"/>
      </w:pPr>
      <w:r>
        <w:rPr>
          <w:rFonts w:ascii="Calibri" w:cs="Calibri" w:eastAsia="Calibri" w:hAnsi="Calibri"/>
          <w:b/>
          <w:bCs/>
          <w:caps/>
          <w:color w:val="595959"/>
          <w:spacing w:val="10"/>
          <w:sz w:val="18"/>
          <w:szCs w:val="18"/>
        </w:rPr>
        <w:t xml:space="preserve">Proposed replacement</w:t>
      </w:r>
    </w:p>
    <w:p>
      <w:pPr>
        <w:spacing w:after="180" w:line="300"/>
        <w:jc w:val="both"/>
      </w:pPr>
      <w:r>
        <w:rPr>
          <w:rFonts w:ascii="Calibri" w:cs="Calibri" w:eastAsia="Calibri" w:hAnsi="Calibri"/>
          <w:color w:val="1A1A1A"/>
          <w:sz w:val="22"/>
          <w:szCs w:val="22"/>
        </w:rPr>
        <w:t xml:space="preserve">During the year, the turnover of the Company increased by 26.11% to Rs. 2,574.12 lakh (previous year Rs. 2,041.24 lakh), and the Company earned a net profit of Rs. 182.03 lakh, against Rs. </w:t>
      </w:r>
      <w:r>
        <w:rPr>
          <w:rFonts w:ascii="Calibri" w:cs="Calibri" w:eastAsia="Calibri" w:hAnsi="Calibri"/>
          <w:b/>
          <w:bCs/>
          <w:color w:val="B7791F"/>
          <w:sz w:val="22"/>
          <w:szCs w:val="22"/>
          <w:highlight w:val="yellow"/>
          <w:highlightCs w:val="yellow"/>
        </w:rPr>
        <w:t xml:space="preserve">[X]</w:t>
      </w:r>
      <w:r>
        <w:rPr>
          <w:rFonts w:ascii="Calibri" w:cs="Calibri" w:eastAsia="Calibri" w:hAnsi="Calibri"/>
          <w:color w:val="1A1A1A"/>
          <w:sz w:val="22"/>
          <w:szCs w:val="22"/>
        </w:rPr>
        <w:t xml:space="preserve"> lakh in the previous year. Consequent upon this improved performance, the accumulated losses of earlier years have been fully set off and the Company has returned to a positive net worth position.</w:t>
      </w:r>
    </w:p>
    <w:p>
      <w:pPr>
        <w:spacing w:after="180" w:line="300"/>
        <w:jc w:val="both"/>
      </w:pPr>
      <w:r>
        <w:rPr>
          <w:rFonts w:ascii="Calibri" w:cs="Calibri" w:eastAsia="Calibri" w:hAnsi="Calibri"/>
          <w:color w:val="1A1A1A"/>
          <w:sz w:val="22"/>
          <w:szCs w:val="22"/>
        </w:rPr>
        <w:t xml:space="preserve">During the year under review, the Company made concrete progress across its principal customer relationships. Cast-steel coupler supplies to Indian Railways continued under the Company's OEM partnership with Sona Comstar, and following prolonged commercial negotiations, a revised pricing arrangement was concluded during the year. The Company's relationship with Tega Industries Limited progressed with a large-size high-chrome casting for its Combi Mill Liner application, which completed a successful field trial in Sweden, with further requirements presently under discussion. New products developed for Thejo Engineering Limited are undergoing field trials in Brazil, with encouraging results. On the export front, the Company concluded a four-year supplier-qualification process with Komatsu's Himi Plant in Japan and has entered into direct contractual arrangements covering supply and quality-assessment requirements, with the purchase order for trial supplies awaited.</w:t>
      </w:r>
    </w:p>
    <w:p>
      <w:pPr>
        <w:spacing w:after="180" w:line="300"/>
        <w:jc w:val="both"/>
      </w:pPr>
      <w:r>
        <w:rPr>
          <w:rFonts w:ascii="Calibri" w:cs="Calibri" w:eastAsia="Calibri" w:hAnsi="Calibri"/>
          <w:color w:val="1A1A1A"/>
          <w:sz w:val="22"/>
          <w:szCs w:val="22"/>
        </w:rPr>
        <w:t xml:space="preserve">The Company continued its capital expenditure programme to upgrade machinery and heat-treatment infrastructure and to revamp existing plant to reduce breakdowns. Based on this progress, your directors remain confident that operations will continue to improve in the year ahead, while noting that the Komatsu, Thejo/Brazil and Tega/Sweden developments remain at trial or negotiation stage and are not yet reflected in confirmed order volumes.</w:t>
      </w:r>
    </w:p>
    <w:p>
      <w:pPr>
        <w:pBdr>
          <w:bottom w:val="single" w:color="D0D0D0" w:sz="4" w:space="4"/>
        </w:pBdr>
        <w:spacing w:after="120" w:before="280"/>
      </w:pPr>
      <w:r>
        <w:rPr>
          <w:rFonts w:ascii="Calibri" w:cs="Calibri" w:eastAsia="Calibri" w:hAnsi="Calibri"/>
          <w:b/>
          <w:bCs/>
          <w:color w:val="B45309"/>
          <w:sz w:val="24"/>
          <w:szCs w:val="24"/>
        </w:rPr>
        <w:t xml:space="preserve">2. Technology Absorption (Research &amp; Development)</w:t>
      </w:r>
    </w:p>
    <w:p>
      <w:pPr>
        <w:spacing w:after="40" w:before="120"/>
      </w:pPr>
      <w:r>
        <w:rPr>
          <w:rFonts w:ascii="Calibri" w:cs="Calibri" w:eastAsia="Calibri" w:hAnsi="Calibri"/>
          <w:b/>
          <w:bCs/>
          <w:caps/>
          <w:color w:val="595959"/>
          <w:spacing w:val="10"/>
          <w:sz w:val="18"/>
          <w:szCs w:val="18"/>
        </w:rPr>
        <w:t xml:space="preserve">Current text</w:t>
      </w:r>
    </w:p>
    <w:p>
      <w:pPr>
        <w:pBdr>
          <w:left w:val="single" w:color="C9CDD3" w:sz="12" w:space="8"/>
        </w:pBdr>
        <w:spacing w:after="160" w:line="280"/>
        <w:ind w:left="260"/>
        <w:jc w:val="both"/>
      </w:pPr>
      <w:r>
        <w:rPr>
          <w:rFonts w:ascii="Calibri" w:cs="Calibri" w:eastAsia="Calibri" w:hAnsi="Calibri"/>
          <w:i/>
          <w:iCs/>
          <w:color w:val="595959"/>
          <w:sz w:val="21"/>
          <w:szCs w:val="21"/>
        </w:rPr>
        <w:t xml:space="preserve">Generic prior-year template — e.g. "100% reclamation of sand in moulding system" and other bullet points not specific to FY 2025-26. Retained structure (five required headings under Rule 8(3), Section 134(3)(m)) but content needs refreshing.</w:t>
      </w:r>
    </w:p>
    <w:p>
      <w:pPr>
        <w:spacing w:after="40" w:before="120"/>
      </w:pPr>
      <w:r>
        <w:rPr>
          <w:rFonts w:ascii="Calibri" w:cs="Calibri" w:eastAsia="Calibri" w:hAnsi="Calibri"/>
          <w:b/>
          <w:bCs/>
          <w:caps/>
          <w:color w:val="595959"/>
          <w:spacing w:val="10"/>
          <w:sz w:val="18"/>
          <w:szCs w:val="18"/>
        </w:rPr>
        <w:t xml:space="preserve">Proposed replacement</w:t>
      </w:r>
    </w:p>
    <w:p>
      <w:pPr>
        <w:spacing w:after="80" w:before="200"/>
      </w:pPr>
      <w:r>
        <w:rPr>
          <w:rFonts w:ascii="Calibri" w:cs="Calibri" w:eastAsia="Calibri" w:hAnsi="Calibri"/>
          <w:b/>
          <w:bCs/>
          <w:color w:val="1A1A1A"/>
          <w:sz w:val="21"/>
          <w:szCs w:val="21"/>
        </w:rPr>
        <w:t xml:space="preserve">Specific areas of R&amp;D</w:t>
      </w:r>
    </w:p>
    <w:p>
      <w:pPr>
        <w:pStyle w:val="ListParagraph"/>
        <w:numPr>
          <w:ilvl w:val="0"/>
          <w:numId w:val="1"/>
        </w:numPr>
        <w:spacing w:after="100" w:line="280"/>
        <w:ind w:left="360"/>
      </w:pPr>
      <w:r>
        <w:rPr>
          <w:rFonts w:ascii="Calibri" w:cs="Calibri" w:eastAsia="Calibri" w:hAnsi="Calibri"/>
          <w:color w:val="1A1A1A"/>
          <w:sz w:val="22"/>
          <w:szCs w:val="22"/>
        </w:rPr>
        <w:t xml:space="preserve">Development of specialised heat-treatment cycles and quenching parameters for new high-chrome and CrMo-grade castings.</w:t>
      </w:r>
    </w:p>
    <w:p>
      <w:pPr>
        <w:pStyle w:val="ListParagraph"/>
        <w:numPr>
          <w:ilvl w:val="0"/>
          <w:numId w:val="1"/>
        </w:numPr>
        <w:spacing w:after="100" w:line="280"/>
        <w:ind w:left="360"/>
      </w:pPr>
      <w:r>
        <w:rPr>
          <w:rFonts w:ascii="Calibri" w:cs="Calibri" w:eastAsia="Calibri" w:hAnsi="Calibri"/>
          <w:color w:val="1A1A1A"/>
          <w:sz w:val="22"/>
          <w:szCs w:val="22"/>
        </w:rPr>
        <w:t xml:space="preserve">Process and metallurgical work completed for the Komatsu Himi Plant (Japan) supplier-qualification programme.</w:t>
      </w:r>
    </w:p>
    <w:p>
      <w:pPr>
        <w:pStyle w:val="ListParagraph"/>
        <w:numPr>
          <w:ilvl w:val="0"/>
          <w:numId w:val="1"/>
        </w:numPr>
        <w:spacing w:after="100" w:line="280"/>
        <w:ind w:left="360"/>
      </w:pPr>
      <w:r>
        <w:rPr>
          <w:rFonts w:ascii="Calibri" w:cs="Calibri" w:eastAsia="Calibri" w:hAnsi="Calibri"/>
          <w:color w:val="1A1A1A"/>
          <w:sz w:val="22"/>
          <w:szCs w:val="22"/>
        </w:rPr>
        <w:t xml:space="preserve">Continued reduction of machining allowances and methoding review to improve yield.</w:t>
      </w:r>
    </w:p>
    <w:p>
      <w:pPr>
        <w:pStyle w:val="ListParagraph"/>
        <w:numPr>
          <w:ilvl w:val="0"/>
          <w:numId w:val="1"/>
        </w:numPr>
        <w:spacing w:after="100" w:line="280"/>
        <w:ind w:left="360"/>
      </w:pPr>
      <w:r>
        <w:rPr>
          <w:rFonts w:ascii="Calibri" w:cs="Calibri" w:eastAsia="Calibri" w:hAnsi="Calibri"/>
          <w:color w:val="1A1A1A"/>
          <w:sz w:val="22"/>
          <w:szCs w:val="22"/>
        </w:rPr>
        <w:t xml:space="preserve">Product development for new mining-sector customers, including large-size high-chrome mill-liner castings.</w:t>
      </w:r>
    </w:p>
    <w:p>
      <w:pPr>
        <w:pStyle w:val="ListParagraph"/>
        <w:numPr>
          <w:ilvl w:val="0"/>
          <w:numId w:val="1"/>
        </w:numPr>
        <w:spacing w:after="100" w:line="280"/>
        <w:ind w:left="360"/>
      </w:pPr>
      <w:r>
        <w:rPr>
          <w:rFonts w:ascii="Calibri" w:cs="Calibri" w:eastAsia="Calibri" w:hAnsi="Calibri"/>
          <w:color w:val="1A1A1A"/>
          <w:sz w:val="22"/>
          <w:szCs w:val="22"/>
        </w:rPr>
        <w:t xml:space="preserve">Quality-control improvements targeting the rejection rate on safety-critical railway castings.</w:t>
      </w:r>
    </w:p>
    <w:p>
      <w:pPr>
        <w:spacing w:after="80" w:before="200"/>
      </w:pPr>
      <w:r>
        <w:rPr>
          <w:rFonts w:ascii="Calibri" w:cs="Calibri" w:eastAsia="Calibri" w:hAnsi="Calibri"/>
          <w:b/>
          <w:bCs/>
          <w:color w:val="1A1A1A"/>
          <w:sz w:val="21"/>
          <w:szCs w:val="21"/>
        </w:rPr>
        <w:t xml:space="preserve">Benefits derived</w:t>
      </w:r>
    </w:p>
    <w:p>
      <w:pPr>
        <w:pStyle w:val="ListParagraph"/>
        <w:numPr>
          <w:ilvl w:val="0"/>
          <w:numId w:val="1"/>
        </w:numPr>
        <w:spacing w:after="100" w:line="280"/>
        <w:ind w:left="360"/>
      </w:pPr>
      <w:r>
        <w:rPr>
          <w:rFonts w:ascii="Calibri" w:cs="Calibri" w:eastAsia="Calibri" w:hAnsi="Calibri"/>
          <w:color w:val="1A1A1A"/>
          <w:sz w:val="22"/>
          <w:szCs w:val="22"/>
        </w:rPr>
        <w:t xml:space="preserve">Successful completion of the Komatsu qualification process and execution of direct supply/quality-assessment agreements.</w:t>
      </w:r>
    </w:p>
    <w:p>
      <w:pPr>
        <w:pStyle w:val="ListParagraph"/>
        <w:numPr>
          <w:ilvl w:val="0"/>
          <w:numId w:val="1"/>
        </w:numPr>
        <w:spacing w:after="100" w:line="280"/>
        <w:ind w:left="360"/>
      </w:pPr>
      <w:r>
        <w:rPr>
          <w:rFonts w:ascii="Calibri" w:cs="Calibri" w:eastAsia="Calibri" w:hAnsi="Calibri"/>
          <w:color w:val="1A1A1A"/>
          <w:sz w:val="22"/>
          <w:szCs w:val="22"/>
        </w:rPr>
        <w:t xml:space="preserve">Field validation of new mill-liner castings, including a successful trial run in Sweden.</w:t>
      </w:r>
    </w:p>
    <w:p>
      <w:pPr>
        <w:pStyle w:val="ListParagraph"/>
        <w:numPr>
          <w:ilvl w:val="0"/>
          <w:numId w:val="1"/>
        </w:numPr>
        <w:spacing w:after="100" w:line="280"/>
        <w:ind w:left="360"/>
      </w:pPr>
      <w:r>
        <w:rPr>
          <w:rFonts w:ascii="Calibri" w:cs="Calibri" w:eastAsia="Calibri" w:hAnsi="Calibri"/>
          <w:color w:val="1A1A1A"/>
          <w:sz w:val="22"/>
          <w:szCs w:val="22"/>
        </w:rPr>
        <w:t xml:space="preserve">Market penetration and new customer development.</w:t>
      </w:r>
    </w:p>
    <w:p>
      <w:pPr>
        <w:pStyle w:val="ListParagraph"/>
        <w:numPr>
          <w:ilvl w:val="0"/>
          <w:numId w:val="1"/>
        </w:numPr>
        <w:spacing w:after="100" w:line="280"/>
        <w:ind w:left="360"/>
      </w:pPr>
      <w:r>
        <w:rPr>
          <w:rFonts w:ascii="Calibri" w:cs="Calibri" w:eastAsia="Calibri" w:hAnsi="Calibri"/>
          <w:color w:val="1A1A1A"/>
          <w:sz w:val="22"/>
          <w:szCs w:val="22"/>
        </w:rPr>
        <w:t xml:space="preserve">Improved yield and reduced cost of production.</w:t>
      </w:r>
    </w:p>
    <w:p>
      <w:pPr>
        <w:spacing w:after="80" w:before="200"/>
      </w:pPr>
      <w:r>
        <w:rPr>
          <w:rFonts w:ascii="Calibri" w:cs="Calibri" w:eastAsia="Calibri" w:hAnsi="Calibri"/>
          <w:b/>
          <w:bCs/>
          <w:color w:val="1A1A1A"/>
          <w:sz w:val="21"/>
          <w:szCs w:val="21"/>
        </w:rPr>
        <w:t xml:space="preserve">Future Plan of Action</w:t>
      </w:r>
    </w:p>
    <w:p>
      <w:pPr>
        <w:pStyle w:val="ListParagraph"/>
        <w:numPr>
          <w:ilvl w:val="0"/>
          <w:numId w:val="1"/>
        </w:numPr>
        <w:spacing w:after="100" w:line="280"/>
        <w:ind w:left="360"/>
      </w:pPr>
      <w:r>
        <w:rPr>
          <w:rFonts w:ascii="Calibri" w:cs="Calibri" w:eastAsia="Calibri" w:hAnsi="Calibri"/>
          <w:color w:val="1A1A1A"/>
          <w:sz w:val="22"/>
          <w:szCs w:val="22"/>
        </w:rPr>
        <w:t xml:space="preserve">Exploring new markets through the export qualification programmes now in progress.</w:t>
      </w:r>
    </w:p>
    <w:p>
      <w:pPr>
        <w:pStyle w:val="ListParagraph"/>
        <w:numPr>
          <w:ilvl w:val="0"/>
          <w:numId w:val="1"/>
        </w:numPr>
        <w:spacing w:after="100" w:line="280"/>
        <w:ind w:left="360"/>
      </w:pPr>
      <w:r>
        <w:rPr>
          <w:rFonts w:ascii="Calibri" w:cs="Calibri" w:eastAsia="Calibri" w:hAnsi="Calibri"/>
          <w:color w:val="1A1A1A"/>
          <w:sz w:val="22"/>
          <w:szCs w:val="22"/>
        </w:rPr>
        <w:t xml:space="preserve">Continued investment in heat-treatment and quality-control infrastructure.</w:t>
      </w:r>
    </w:p>
    <w:p>
      <w:pPr>
        <w:pStyle w:val="ListParagraph"/>
        <w:numPr>
          <w:ilvl w:val="0"/>
          <w:numId w:val="1"/>
        </w:numPr>
        <w:spacing w:after="100" w:line="280"/>
        <w:ind w:left="360"/>
      </w:pPr>
      <w:r>
        <w:rPr>
          <w:rFonts w:ascii="Calibri" w:cs="Calibri" w:eastAsia="Calibri" w:hAnsi="Calibri"/>
          <w:color w:val="1A1A1A"/>
          <w:sz w:val="22"/>
          <w:szCs w:val="22"/>
        </w:rPr>
        <w:t xml:space="preserve">Strengthening research on quality improvement and value-added product development at reduced cost.</w:t>
      </w:r>
    </w:p>
    <w:p>
      <w:pPr>
        <w:spacing w:after="80" w:before="200"/>
      </w:pPr>
      <w:r>
        <w:rPr>
          <w:rFonts w:ascii="Calibri" w:cs="Calibri" w:eastAsia="Calibri" w:hAnsi="Calibri"/>
          <w:b/>
          <w:bCs/>
          <w:color w:val="1A1A1A"/>
          <w:sz w:val="21"/>
          <w:szCs w:val="21"/>
        </w:rPr>
        <w:t xml:space="preserve">Expenditure on R&amp;D</w:t>
      </w:r>
    </w:p>
    <w:p>
      <w:pPr>
        <w:spacing w:after="180" w:line="300"/>
        <w:jc w:val="both"/>
      </w:pPr>
      <w:r>
        <w:rPr>
          <w:rFonts w:ascii="Calibri" w:cs="Calibri" w:eastAsia="Calibri" w:hAnsi="Calibri"/>
          <w:color w:val="1A1A1A"/>
          <w:sz w:val="22"/>
          <w:szCs w:val="22"/>
        </w:rPr>
        <w:t xml:space="preserve">Expenses incurred on Research and Development are booked under the respective general accounting heads and are not separately quantified under a distinct Research &amp; Development expenditure head.</w:t>
      </w:r>
    </w:p>
    <w:p>
      <w:pPr>
        <w:spacing w:after="80" w:before="200"/>
      </w:pPr>
      <w:r>
        <w:rPr>
          <w:rFonts w:ascii="Calibri" w:cs="Calibri" w:eastAsia="Calibri" w:hAnsi="Calibri"/>
          <w:b/>
          <w:bCs/>
          <w:color w:val="1A1A1A"/>
          <w:sz w:val="21"/>
          <w:szCs w:val="21"/>
        </w:rPr>
        <w:t xml:space="preserve">Technology Absorption, Adoption &amp; Innovation</w:t>
      </w:r>
    </w:p>
    <w:p>
      <w:pPr>
        <w:spacing w:after="180" w:line="300"/>
        <w:jc w:val="both"/>
      </w:pPr>
      <w:r>
        <w:rPr>
          <w:rFonts w:ascii="Calibri" w:cs="Calibri" w:eastAsia="Calibri" w:hAnsi="Calibri"/>
          <w:color w:val="1A1A1A"/>
          <w:sz w:val="22"/>
          <w:szCs w:val="22"/>
        </w:rPr>
        <w:t xml:space="preserve">The Company maintains ongoing engagement with IIF, NIFT, NML, IIM, </w:t>
      </w:r>
      <w:r>
        <w:rPr>
          <w:rFonts w:ascii="Calibri" w:cs="Calibri" w:eastAsia="Calibri" w:hAnsi="Calibri"/>
          <w:b/>
          <w:bCs/>
          <w:color w:val="B7791F"/>
          <w:sz w:val="22"/>
          <w:szCs w:val="22"/>
          <w:highlight w:val="yellow"/>
          <w:highlightCs w:val="yellow"/>
        </w:rPr>
        <w:t xml:space="preserve">EEPC</w:t>
      </w:r>
      <w:r>
        <w:rPr>
          <w:rFonts w:ascii="Calibri" w:cs="Calibri" w:eastAsia="Calibri" w:hAnsi="Calibri"/>
          <w:color w:val="1A1A1A"/>
          <w:sz w:val="22"/>
          <w:szCs w:val="22"/>
        </w:rPr>
        <w:t xml:space="preserve"> and other organisations concerned with foundry technology, and continues internal quality-training programmes for its employees.</w:t>
      </w:r>
    </w:p>
    <w:p>
      <w:pPr>
        <w:spacing w:after="180" w:line="300"/>
        <w:jc w:val="both"/>
      </w:pPr>
      <w:r>
        <w:rPr>
          <w:rFonts w:ascii="Calibri" w:cs="Calibri" w:eastAsia="Calibri" w:hAnsi="Calibri"/>
          <w:color w:val="1A1A1A"/>
          <w:sz w:val="22"/>
          <w:szCs w:val="22"/>
        </w:rPr>
        <w:t xml:space="preserve">The original draft reads "EPPC" — almost certainly a typo for EEPC India, the export promotion council. Confirm before filing.</w:t>
      </w:r>
    </w:p>
    <w:p>
      <w:pPr>
        <w:pBdr>
          <w:bottom w:val="single" w:color="D0D0D0" w:sz="4" w:space="4"/>
        </w:pBdr>
        <w:spacing w:after="120" w:before="280"/>
      </w:pPr>
      <w:r>
        <w:rPr>
          <w:rFonts w:ascii="Calibri" w:cs="Calibri" w:eastAsia="Calibri" w:hAnsi="Calibri"/>
          <w:b/>
          <w:bCs/>
          <w:color w:val="B45309"/>
          <w:sz w:val="24"/>
          <w:szCs w:val="24"/>
        </w:rPr>
        <w:t xml:space="preserve">3. Management Discussion and Analysis</w:t>
      </w:r>
    </w:p>
    <w:p>
      <w:pPr>
        <w:spacing w:after="40" w:before="120"/>
      </w:pPr>
      <w:r>
        <w:rPr>
          <w:rFonts w:ascii="Calibri" w:cs="Calibri" w:eastAsia="Calibri" w:hAnsi="Calibri"/>
          <w:b/>
          <w:bCs/>
          <w:caps/>
          <w:color w:val="595959"/>
          <w:spacing w:val="10"/>
          <w:sz w:val="18"/>
          <w:szCs w:val="18"/>
        </w:rPr>
        <w:t xml:space="preserve">Current text</w:t>
      </w:r>
    </w:p>
    <w:p>
      <w:pPr>
        <w:pBdr>
          <w:left w:val="single" w:color="C9CDD3" w:sz="12" w:space="8"/>
        </w:pBdr>
        <w:spacing w:after="160" w:line="280"/>
        <w:ind w:left="260"/>
        <w:jc w:val="both"/>
      </w:pPr>
      <w:r>
        <w:rPr>
          <w:rFonts w:ascii="Calibri" w:cs="Calibri" w:eastAsia="Calibri" w:hAnsi="Calibri"/>
          <w:i/>
          <w:iCs/>
          <w:color w:val="595959"/>
          <w:sz w:val="21"/>
          <w:szCs w:val="21"/>
        </w:rPr>
        <w:t xml:space="preserve">"Market for engineering Castings and Industrial Valves (Steel and Alloy Steel) is very big both in domestic as well as international fields for exports. The Indian Foundry Industry produce approx. Nine (9) million M.T. of Castings." Opportunities &amp; Constraints section lists only opportunities — no constraints.</w:t>
      </w:r>
    </w:p>
    <w:p>
      <w:pPr>
        <w:spacing w:after="40" w:before="120"/>
      </w:pPr>
      <w:r>
        <w:rPr>
          <w:rFonts w:ascii="Calibri" w:cs="Calibri" w:eastAsia="Calibri" w:hAnsi="Calibri"/>
          <w:b/>
          <w:bCs/>
          <w:caps/>
          <w:color w:val="595959"/>
          <w:spacing w:val="10"/>
          <w:sz w:val="18"/>
          <w:szCs w:val="18"/>
        </w:rPr>
        <w:t xml:space="preserve">Proposed replacement</w:t>
      </w:r>
    </w:p>
    <w:p>
      <w:pPr>
        <w:spacing w:after="80" w:before="200"/>
      </w:pPr>
      <w:r>
        <w:rPr>
          <w:rFonts w:ascii="Calibri" w:cs="Calibri" w:eastAsia="Calibri" w:hAnsi="Calibri"/>
          <w:b/>
          <w:bCs/>
          <w:color w:val="1A1A1A"/>
          <w:sz w:val="21"/>
          <w:szCs w:val="21"/>
        </w:rPr>
        <w:t xml:space="preserve">Industrial structure and Development</w:t>
      </w:r>
    </w:p>
    <w:p>
      <w:pPr>
        <w:spacing w:after="180" w:line="300"/>
        <w:jc w:val="both"/>
      </w:pPr>
      <w:r>
        <w:rPr>
          <w:rFonts w:ascii="Calibri" w:cs="Calibri" w:eastAsia="Calibri" w:hAnsi="Calibri"/>
          <w:color w:val="1A1A1A"/>
          <w:sz w:val="22"/>
          <w:szCs w:val="22"/>
        </w:rPr>
        <w:t xml:space="preserve">The Indian foundry industry comprises approximately </w:t>
      </w:r>
      <w:r>
        <w:rPr>
          <w:rFonts w:ascii="Calibri" w:cs="Calibri" w:eastAsia="Calibri" w:hAnsi="Calibri"/>
          <w:b/>
          <w:bCs/>
          <w:color w:val="B7791F"/>
          <w:sz w:val="22"/>
          <w:szCs w:val="22"/>
          <w:highlight w:val="yellow"/>
          <w:highlightCs w:val="yellow"/>
        </w:rPr>
        <w:t xml:space="preserve">[4,500-5,000]</w:t>
      </w:r>
      <w:r>
        <w:rPr>
          <w:rFonts w:ascii="Calibri" w:cs="Calibri" w:eastAsia="Calibri" w:hAnsi="Calibri"/>
          <w:color w:val="1A1A1A"/>
          <w:sz w:val="22"/>
          <w:szCs w:val="22"/>
        </w:rPr>
        <w:t xml:space="preserve"> units, of which around </w:t>
      </w:r>
      <w:r>
        <w:rPr>
          <w:rFonts w:ascii="Calibri" w:cs="Calibri" w:eastAsia="Calibri" w:hAnsi="Calibri"/>
          <w:b/>
          <w:bCs/>
          <w:color w:val="B7791F"/>
          <w:sz w:val="22"/>
          <w:szCs w:val="22"/>
          <w:highlight w:val="yellow"/>
          <w:highlightCs w:val="yellow"/>
        </w:rPr>
        <w:t xml:space="preserve">[90%]</w:t>
      </w:r>
      <w:r>
        <w:rPr>
          <w:rFonts w:ascii="Calibri" w:cs="Calibri" w:eastAsia="Calibri" w:hAnsi="Calibri"/>
          <w:color w:val="1A1A1A"/>
          <w:sz w:val="22"/>
          <w:szCs w:val="22"/>
        </w:rPr>
        <w:t xml:space="preserve"> are classified as MSMEs. Steel and alloy-steel castings form a comparatively small share of the industry's total output of approximately </w:t>
      </w:r>
      <w:r>
        <w:rPr>
          <w:rFonts w:ascii="Calibri" w:cs="Calibri" w:eastAsia="Calibri" w:hAnsi="Calibri"/>
          <w:b/>
          <w:bCs/>
          <w:color w:val="B7791F"/>
          <w:sz w:val="22"/>
          <w:szCs w:val="22"/>
          <w:highlight w:val="yellow"/>
          <w:highlightCs w:val="yellow"/>
        </w:rPr>
        <w:t xml:space="preserve">[12-13]</w:t>
      </w:r>
      <w:r>
        <w:rPr>
          <w:rFonts w:ascii="Calibri" w:cs="Calibri" w:eastAsia="Calibri" w:hAnsi="Calibri"/>
          <w:color w:val="1A1A1A"/>
          <w:sz w:val="22"/>
          <w:szCs w:val="22"/>
        </w:rPr>
        <w:t xml:space="preserve"> million M.T. per annum, with iron castings dominating on account of automotive volumes. The market for engineering castings and industrial valves in steel and alloy steel remains large, both in domestic and export markets.</w:t>
      </w:r>
    </w:p>
    <w:p>
      <w:pPr>
        <w:spacing w:after="180" w:line="300"/>
        <w:jc w:val="both"/>
      </w:pPr>
      <w:r>
        <w:rPr>
          <w:rFonts w:ascii="Calibri" w:cs="Calibri" w:eastAsia="Calibri" w:hAnsi="Calibri"/>
          <w:color w:val="1A1A1A"/>
          <w:sz w:val="22"/>
          <w:szCs w:val="22"/>
        </w:rPr>
        <w:t xml:space="preserve">The figures above update the previous "approx. nine million M.T." estimate but are themselves drawn from an industry briefing reviewed during the year, not a verified primary source. Confirm the current figure against IBEF or the Indian Foundry Association before filing, or retain the original figure if it is independently sourced.</w:t>
      </w:r>
    </w:p>
    <w:p>
      <w:pPr>
        <w:spacing w:after="80" w:before="200"/>
      </w:pPr>
      <w:r>
        <w:rPr>
          <w:rFonts w:ascii="Calibri" w:cs="Calibri" w:eastAsia="Calibri" w:hAnsi="Calibri"/>
          <w:b/>
          <w:bCs/>
          <w:color w:val="1A1A1A"/>
          <w:sz w:val="21"/>
          <w:szCs w:val="21"/>
        </w:rPr>
        <w:t xml:space="preserve">Opportunities &amp; Constraints</w:t>
      </w:r>
    </w:p>
    <w:p>
      <w:pPr>
        <w:spacing w:after="180" w:line="300"/>
        <w:jc w:val="both"/>
      </w:pPr>
      <w:r>
        <w:rPr>
          <w:rFonts w:ascii="Calibri" w:cs="Calibri" w:eastAsia="Calibri" w:hAnsi="Calibri"/>
          <w:color w:val="1A1A1A"/>
          <w:sz w:val="22"/>
          <w:szCs w:val="22"/>
        </w:rPr>
        <w:t xml:space="preserve">The Company's business focus has progressively shifted toward mining, railway and construction-equipment castings, where specialised metallurgy and heat-treatment capability form a significant barrier to entry. Its White Iron and Hi-Chrome castings serve mineral-based industries including gold, copper, iron ore and platinum. Its railway safety-item programme and recently concluded Komatsu Himi Plant qualification position it to participate in both the domestic "Make in India" initiative and global OEM supply chains. Indian Railways has also opened fresh vendor registration for certain cast-steel bogie components, which the Company is evaluating.</w:t>
      </w:r>
    </w:p>
    <w:p>
      <w:pPr>
        <w:spacing w:after="180" w:line="300"/>
        <w:jc w:val="both"/>
      </w:pPr>
      <w:r>
        <w:rPr>
          <w:rFonts w:ascii="Calibri" w:cs="Calibri" w:eastAsia="Calibri" w:hAnsi="Calibri"/>
          <w:color w:val="1A1A1A"/>
          <w:sz w:val="22"/>
          <w:szCs w:val="22"/>
        </w:rPr>
        <w:t xml:space="preserve">The Company's business remains concentrated among a small number of large customers. Input costs, particularly import-dependent alloying materials, remain exposed to global price and availability volatility. Export markets are increasingly subject to carbon-intensity compliance requirements and evolving tariff regimes, which may affect the economics of new export programmes as they mature.</w:t>
      </w:r>
    </w:p>
    <w:p>
      <w:pPr>
        <w:spacing w:after="180" w:line="300"/>
        <w:jc w:val="both"/>
      </w:pPr>
      <w:r>
        <w:rPr>
          <w:rFonts w:ascii="Calibri" w:cs="Calibri" w:eastAsia="Calibri" w:hAnsi="Calibri"/>
          <w:color w:val="1A1A1A"/>
          <w:sz w:val="22"/>
          <w:szCs w:val="22"/>
        </w:rPr>
        <w:t xml:space="preserve">Based on this combination of opportunities and constraints, the Company's business growth and stability over the medium to long term is considered reasonably secure, subject to continued customer diversification and management of the input-cost and compliance risks described above.</w:t>
      </w:r>
    </w:p>
    <w:p>
      <w:pPr>
        <w:pBdr>
          <w:bottom w:val="single" w:color="D0D0D0" w:sz="4" w:space="4"/>
        </w:pBdr>
        <w:spacing w:after="120" w:before="280"/>
      </w:pPr>
      <w:r>
        <w:rPr>
          <w:rFonts w:ascii="Calibri" w:cs="Calibri" w:eastAsia="Calibri" w:hAnsi="Calibri"/>
          <w:b/>
          <w:bCs/>
          <w:color w:val="B45309"/>
          <w:sz w:val="24"/>
          <w:szCs w:val="24"/>
        </w:rPr>
        <w:t xml:space="preserve">Placeholders to complete before circulation</w:t>
      </w:r>
    </w:p>
    <w:p>
      <w:pPr>
        <w:pStyle w:val="ListParagraph"/>
        <w:numPr>
          <w:ilvl w:val="0"/>
          <w:numId w:val="1"/>
        </w:numPr>
        <w:spacing w:after="100" w:line="280"/>
        <w:ind w:left="360"/>
      </w:pPr>
      <w:r>
        <w:rPr>
          <w:rFonts w:ascii="Calibri" w:cs="Calibri" w:eastAsia="Calibri" w:hAnsi="Calibri"/>
          <w:color w:val="1A1A1A"/>
          <w:sz w:val="22"/>
          <w:szCs w:val="22"/>
        </w:rPr>
        <w:t xml:space="preserve">Prior-year net profit comparative (FY 2024-25), for the State of Affairs opening sentence.</w:t>
      </w:r>
    </w:p>
    <w:p>
      <w:pPr>
        <w:pStyle w:val="ListParagraph"/>
        <w:numPr>
          <w:ilvl w:val="0"/>
          <w:numId w:val="1"/>
        </w:numPr>
        <w:spacing w:after="100" w:line="280"/>
        <w:ind w:left="360"/>
      </w:pPr>
      <w:r>
        <w:rPr>
          <w:rFonts w:ascii="Calibri" w:cs="Calibri" w:eastAsia="Calibri" w:hAnsi="Calibri"/>
          <w:color w:val="1A1A1A"/>
          <w:sz w:val="22"/>
          <w:szCs w:val="22"/>
        </w:rPr>
        <w:t xml:space="preserve">Confirmation that "EEPC" (not "EPPC") is the correct name in the Technology Absorption section.</w:t>
      </w:r>
    </w:p>
    <w:p>
      <w:pPr>
        <w:pStyle w:val="ListParagraph"/>
        <w:numPr>
          <w:ilvl w:val="0"/>
          <w:numId w:val="1"/>
        </w:numPr>
        <w:spacing w:after="100" w:line="280"/>
        <w:ind w:left="360"/>
      </w:pPr>
      <w:r>
        <w:rPr>
          <w:rFonts w:ascii="Calibri" w:cs="Calibri" w:eastAsia="Calibri" w:hAnsi="Calibri"/>
          <w:color w:val="1A1A1A"/>
          <w:sz w:val="22"/>
          <w:szCs w:val="22"/>
        </w:rPr>
        <w:t xml:space="preserve">Current, sourced figures for total foundry-unit count, MSME share and national casting output in the Management Discussion and Analysis — or a decision to retain the original "nine million M.T." figure if it has its own verified source.</w:t>
      </w:r>
    </w:p>
    <w:p>
      <w:pPr>
        <w:pBdr>
          <w:bottom w:val="single" w:color="D0D0D0" w:sz="4" w:space="4"/>
        </w:pBdr>
        <w:spacing w:after="120" w:before="280"/>
      </w:pPr>
      <w:r>
        <w:rPr>
          <w:rFonts w:ascii="Calibri" w:cs="Calibri" w:eastAsia="Calibri" w:hAnsi="Calibri"/>
          <w:b/>
          <w:bCs/>
          <w:color w:val="B45309"/>
          <w:sz w:val="24"/>
          <w:szCs w:val="24"/>
        </w:rPr>
        <w:t xml:space="preserve">Why these three</w:t>
      </w:r>
    </w:p>
    <w:p>
      <w:pPr>
        <w:spacing w:after="180" w:line="300"/>
        <w:jc w:val="both"/>
      </w:pPr>
      <w:r>
        <w:rPr>
          <w:rFonts w:ascii="Calibri" w:cs="Calibri" w:eastAsia="Calibri" w:hAnsi="Calibri"/>
          <w:color w:val="1A1A1A"/>
          <w:sz w:val="22"/>
          <w:szCs w:val="22"/>
        </w:rPr>
        <w:t xml:space="preserve">The State of Affairs section previously reported turnover but not the profit turnaround, which is the year's actual headline. The Technology Absorption section is a Companies Act-required disclosure whose structure must stay but whose content had gone stale. The Management Discussion and Analysis was missing the "Constraints" half of its own heading — a document directors sign should show both sides, and the constraints here (customer concentration, import-dependent alloy exposure, carbon-compliance and tariff risk) are real and already documented elsewhere in this year's materials.</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2026-09-02T12:32:06.034Z</dcterms:created>
  <dcterms:modified xsi:type="dcterms:W3CDTF">2026-09-02T12:32:06.052Z</dcterms:modified>
</cp:coreProperties>
</file>

<file path=docProps/custom.xml><?xml version="1.0" encoding="utf-8"?>
<Properties xmlns="http://schemas.openxmlformats.org/officeDocument/2006/custom-properties" xmlns:vt="http://schemas.openxmlformats.org/officeDocument/2006/docPropsVTypes"/>
</file>