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0"/>
          <w:szCs w:val="30"/>
        </w:rPr>
        <w:t xml:space="preserve">Note 24 — Additional Information</w:t>
      </w:r>
    </w:p>
    <w:p>
      <w:pPr>
        <w:spacing w:after="240"/>
      </w:pPr>
      <w:r>
        <w:rPr>
          <w:rFonts w:ascii="Calibri" w:cs="Calibri" w:eastAsia="Calibri" w:hAnsi="Calibri"/>
          <w:i/>
          <w:iCs/>
          <w:color w:val="595959"/>
          <w:sz w:val="20"/>
          <w:szCs w:val="20"/>
        </w:rPr>
        <w:t xml:space="preserve">Draft for management and statutory auditor review · Datre Corporation Limited · Financial statements for the year ended 31 March 2026</w:t>
      </w:r>
    </w:p>
    <w:p>
      <w:pPr>
        <w:pBdr>
          <w:bottom w:val="single" w:color="D0D0D0" w:sz="4" w:space="4"/>
        </w:pBdr>
        <w:spacing w:after="120" w:before="280"/>
      </w:pPr>
      <w:r>
        <w:rPr>
          <w:rFonts w:ascii="Calibri" w:cs="Calibri" w:eastAsia="Calibri" w:hAnsi="Calibri"/>
          <w:b/>
          <w:bCs/>
          <w:color w:val="B45309"/>
          <w:sz w:val="24"/>
          <w:szCs w:val="24"/>
        </w:rPr>
        <w:t xml:space="preserve">Cover note</w:t>
      </w:r>
    </w:p>
    <w:p>
      <w:pPr>
        <w:spacing w:after="180" w:line="300"/>
        <w:jc w:val="both"/>
      </w:pPr>
      <w:r>
        <w:rPr>
          <w:rFonts w:ascii="Calibri" w:cs="Calibri" w:eastAsia="Calibri" w:hAnsi="Calibri"/>
          <w:color w:val="1A1A1A"/>
          <w:sz w:val="22"/>
          <w:szCs w:val="22"/>
        </w:rPr>
        <w:t xml:space="preserve">This is a redraft of the Note 24 text circulated for review, with three changes: the stated turnover target is reconciled against the actual figure achieved, the net-worth and accumulated-loss claims are backed by numbers rather than left as assertions, and a short paragraph addresses Q1 FY 2026-27 trading as a subsequent event. Bracketed text highlighted in yellow marks figures to be confirmed and inserted by the finance team before this goes to the auditor. Everything else is ready to use as drafted.</w:t>
      </w:r>
    </w:p>
    <w:p>
      <w:pPr>
        <w:pBdr>
          <w:bottom w:val="single" w:color="D0D0D0" w:sz="4" w:space="4"/>
        </w:pBdr>
        <w:spacing w:after="120" w:before="280"/>
      </w:pPr>
      <w:r>
        <w:rPr>
          <w:rFonts w:ascii="Calibri" w:cs="Calibri" w:eastAsia="Calibri" w:hAnsi="Calibri"/>
          <w:b/>
          <w:bCs/>
          <w:color w:val="B45309"/>
          <w:sz w:val="24"/>
          <w:szCs w:val="24"/>
        </w:rPr>
        <w:t xml:space="preserve">Suggested Note 24 text</w:t>
      </w:r>
    </w:p>
    <w:p>
      <w:pPr>
        <w:spacing w:after="180" w:line="300"/>
        <w:jc w:val="both"/>
      </w:pPr>
      <w:r>
        <w:rPr>
          <w:rFonts w:ascii="Calibri" w:cs="Calibri" w:eastAsia="Calibri" w:hAnsi="Calibri"/>
          <w:color w:val="1A1A1A"/>
          <w:sz w:val="22"/>
          <w:szCs w:val="22"/>
        </w:rPr>
        <w:t xml:space="preserve">During the year, the Company's operational performance improved and it earned a net profit of Rs. 182.03 lakhs for the year ended 31 March 2026, against Rs. </w:t>
      </w:r>
      <w:r>
        <w:rPr>
          <w:rFonts w:ascii="Calibri" w:cs="Calibri" w:eastAsia="Calibri" w:hAnsi="Calibri"/>
          <w:b/>
          <w:bCs/>
          <w:color w:val="B7791F"/>
          <w:sz w:val="22"/>
          <w:szCs w:val="22"/>
          <w:highlight w:val="yellow"/>
          <w:highlightCs w:val="yellow"/>
        </w:rPr>
        <w:t xml:space="preserve">138.xx</w:t>
      </w:r>
      <w:r>
        <w:rPr>
          <w:rFonts w:ascii="Calibri" w:cs="Calibri" w:eastAsia="Calibri" w:hAnsi="Calibri"/>
          <w:color w:val="1A1A1A"/>
          <w:sz w:val="22"/>
          <w:szCs w:val="22"/>
        </w:rPr>
        <w:t xml:space="preserve"> lakhs in the previous year. This has </w:t>
      </w:r>
      <w:r>
        <w:rPr>
          <w:rFonts w:ascii="Calibri" w:cs="Calibri" w:eastAsia="Calibri" w:hAnsi="Calibri"/>
          <w:b/>
          <w:bCs/>
          <w:color w:val="B7791F"/>
          <w:sz w:val="22"/>
          <w:szCs w:val="22"/>
          <w:highlight w:val="yellow"/>
          <w:highlightCs w:val="yellow"/>
        </w:rPr>
        <w:t xml:space="preserve">[set off the accumulated losses in full / reduced accumulated losses from Rs. X lakhs to Rs. X lakhs]</w:t>
      </w:r>
      <w:r>
        <w:rPr>
          <w:rFonts w:ascii="Calibri" w:cs="Calibri" w:eastAsia="Calibri" w:hAnsi="Calibri"/>
          <w:color w:val="1A1A1A"/>
          <w:sz w:val="22"/>
          <w:szCs w:val="22"/>
        </w:rPr>
        <w:t xml:space="preserve">, and the Company's net worth stood at Rs. </w:t>
      </w:r>
      <w:r>
        <w:rPr>
          <w:rFonts w:ascii="Calibri" w:cs="Calibri" w:eastAsia="Calibri" w:hAnsi="Calibri"/>
          <w:b/>
          <w:bCs/>
          <w:color w:val="B7791F"/>
          <w:sz w:val="22"/>
          <w:szCs w:val="22"/>
          <w:highlight w:val="yellow"/>
          <w:highlightCs w:val="yellow"/>
        </w:rPr>
        <w:t xml:space="preserve">[X]</w:t>
      </w:r>
      <w:r>
        <w:rPr>
          <w:rFonts w:ascii="Calibri" w:cs="Calibri" w:eastAsia="Calibri" w:hAnsi="Calibri"/>
          <w:color w:val="1A1A1A"/>
          <w:sz w:val="22"/>
          <w:szCs w:val="22"/>
        </w:rPr>
        <w:t xml:space="preserve"> lakhs as at 31 March 2026, against Rs. (154.xx) lakhs a year earlier. Against a targeted turnover of Rs. 3,000.00 lakhs for 2025-26, the Company achieved Rs. </w:t>
      </w:r>
      <w:r>
        <w:rPr>
          <w:rFonts w:ascii="Calibri" w:cs="Calibri" w:eastAsia="Calibri" w:hAnsi="Calibri"/>
          <w:b/>
          <w:bCs/>
          <w:color w:val="B7791F"/>
          <w:sz w:val="22"/>
          <w:szCs w:val="22"/>
          <w:highlight w:val="yellow"/>
          <w:highlightCs w:val="yellow"/>
        </w:rPr>
        <w:t xml:space="preserve">[X]</w:t>
      </w:r>
      <w:r>
        <w:rPr>
          <w:rFonts w:ascii="Calibri" w:cs="Calibri" w:eastAsia="Calibri" w:hAnsi="Calibri"/>
          <w:color w:val="1A1A1A"/>
          <w:sz w:val="22"/>
          <w:szCs w:val="22"/>
        </w:rPr>
        <w:t xml:space="preserve"> lakhs.</w:t>
      </w:r>
    </w:p>
    <w:p>
      <w:pPr>
        <w:spacing w:after="180" w:line="300"/>
        <w:jc w:val="both"/>
      </w:pPr>
      <w:r>
        <w:rPr>
          <w:rFonts w:ascii="Calibri" w:cs="Calibri" w:eastAsia="Calibri" w:hAnsi="Calibri"/>
          <w:color w:val="1A1A1A"/>
          <w:sz w:val="22"/>
          <w:szCs w:val="22"/>
        </w:rPr>
        <w:t xml:space="preserve">The Company has developed new products for a new customer, Thejo Engineering Ltd., for the global mining industry; field trials in Brazil are promising and may lead to a five-year fixed-term contract with an OEM for a significant annual requirement. Technically upgraded couplers for Indian Railways are now in regular supply through an OEM partnership. On the export front, the Company has been selected by global construction equipment manufacturers in Japan and the USA, with the pilot lot currently under quality assessment — an early step toward a global supply-chain role.</w:t>
      </w:r>
    </w:p>
    <w:p>
      <w:pPr>
        <w:spacing w:after="180" w:line="300"/>
        <w:jc w:val="both"/>
      </w:pPr>
      <w:r>
        <w:rPr>
          <w:rFonts w:ascii="Calibri" w:cs="Calibri" w:eastAsia="Calibri" w:hAnsi="Calibri"/>
          <w:color w:val="1A1A1A"/>
          <w:sz w:val="22"/>
          <w:szCs w:val="22"/>
        </w:rPr>
        <w:t xml:space="preserve">Subsequent to the year end, revenue for Q1 FY 2026-27 was Rs. </w:t>
      </w:r>
      <w:r>
        <w:rPr>
          <w:rFonts w:ascii="Calibri" w:cs="Calibri" w:eastAsia="Calibri" w:hAnsi="Calibri"/>
          <w:b/>
          <w:bCs/>
          <w:color w:val="B7791F"/>
          <w:sz w:val="22"/>
          <w:szCs w:val="22"/>
          <w:highlight w:val="yellow"/>
          <w:highlightCs w:val="yellow"/>
        </w:rPr>
        <w:t xml:space="preserve">[X]</w:t>
      </w:r>
      <w:r>
        <w:rPr>
          <w:rFonts w:ascii="Calibri" w:cs="Calibri" w:eastAsia="Calibri" w:hAnsi="Calibri"/>
          <w:color w:val="1A1A1A"/>
          <w:sz w:val="22"/>
          <w:szCs w:val="22"/>
        </w:rPr>
        <w:t xml:space="preserve"> lakhs, down </w:t>
      </w:r>
      <w:r>
        <w:rPr>
          <w:rFonts w:ascii="Calibri" w:cs="Calibri" w:eastAsia="Calibri" w:hAnsi="Calibri"/>
          <w:b/>
          <w:bCs/>
          <w:color w:val="B7791F"/>
          <w:sz w:val="22"/>
          <w:szCs w:val="22"/>
          <w:highlight w:val="yellow"/>
          <w:highlightCs w:val="yellow"/>
        </w:rPr>
        <w:t xml:space="preserve">[X]</w:t>
      </w:r>
      <w:r>
        <w:rPr>
          <w:rFonts w:ascii="Calibri" w:cs="Calibri" w:eastAsia="Calibri" w:hAnsi="Calibri"/>
          <w:color w:val="1A1A1A"/>
          <w:sz w:val="22"/>
          <w:szCs w:val="22"/>
        </w:rPr>
        <w:t xml:space="preserve">% against Q1 FY 2025-26. Management attributes this to </w:t>
      </w:r>
      <w:r>
        <w:rPr>
          <w:rFonts w:ascii="Calibri" w:cs="Calibri" w:eastAsia="Calibri" w:hAnsi="Calibri"/>
          <w:b/>
          <w:bCs/>
          <w:color w:val="B7791F"/>
          <w:sz w:val="22"/>
          <w:szCs w:val="22"/>
          <w:highlight w:val="yellow"/>
          <w:highlightCs w:val="yellow"/>
        </w:rPr>
        <w:t xml:space="preserve">[cause, if established]</w:t>
      </w:r>
      <w:r>
        <w:rPr>
          <w:rFonts w:ascii="Calibri" w:cs="Calibri" w:eastAsia="Calibri" w:hAnsi="Calibri"/>
          <w:color w:val="1A1A1A"/>
          <w:sz w:val="22"/>
          <w:szCs w:val="22"/>
        </w:rPr>
        <w:t xml:space="preserve"> and expects </w:t>
      </w:r>
      <w:r>
        <w:rPr>
          <w:rFonts w:ascii="Calibri" w:cs="Calibri" w:eastAsia="Calibri" w:hAnsi="Calibri"/>
          <w:b/>
          <w:bCs/>
          <w:color w:val="B7791F"/>
          <w:sz w:val="22"/>
          <w:szCs w:val="22"/>
          <w:highlight w:val="yellow"/>
          <w:highlightCs w:val="yellow"/>
        </w:rPr>
        <w:t xml:space="preserve">[recovery basis / order book support]</w:t>
      </w:r>
      <w:r>
        <w:rPr>
          <w:rFonts w:ascii="Calibri" w:cs="Calibri" w:eastAsia="Calibri" w:hAnsi="Calibri"/>
          <w:color w:val="1A1A1A"/>
          <w:sz w:val="22"/>
          <w:szCs w:val="22"/>
        </w:rPr>
        <w:t xml:space="preserve">.</w:t>
      </w:r>
    </w:p>
    <w:p>
      <w:pPr>
        <w:spacing w:after="180" w:line="300"/>
        <w:jc w:val="both"/>
      </w:pPr>
      <w:r>
        <w:rPr>
          <w:rFonts w:ascii="Calibri" w:cs="Calibri" w:eastAsia="Calibri" w:hAnsi="Calibri"/>
          <w:color w:val="1A1A1A"/>
          <w:sz w:val="22"/>
          <w:szCs w:val="22"/>
        </w:rPr>
        <w:t xml:space="preserve">Based on the order book on hand, the initiatives described above, and the Company's cash flow position, management has assessed that the Company will be able to meet its obligations and continue its operations for at least twelve months from the date of these financial statements, and has accordingly prepared these on a going concern basis.</w:t>
      </w:r>
    </w:p>
    <w:p>
      <w:pPr>
        <w:pBdr>
          <w:bottom w:val="single" w:color="D0D0D0" w:sz="4" w:space="4"/>
        </w:pBdr>
        <w:spacing w:after="120" w:before="280"/>
      </w:pPr>
      <w:r>
        <w:rPr>
          <w:rFonts w:ascii="Calibri" w:cs="Calibri" w:eastAsia="Calibri" w:hAnsi="Calibri"/>
          <w:b/>
          <w:bCs/>
          <w:color w:val="B45309"/>
          <w:sz w:val="24"/>
          <w:szCs w:val="24"/>
        </w:rPr>
        <w:t xml:space="preserve">Placeholders to complete before circulation</w:t>
      </w:r>
    </w:p>
    <w:p>
      <w:pPr>
        <w:pStyle w:val="ListParagraph"/>
        <w:numPr>
          <w:ilvl w:val="0"/>
          <w:numId w:val="1"/>
        </w:numPr>
        <w:spacing w:after="100" w:line="280"/>
        <w:ind w:left="360"/>
      </w:pPr>
      <w:r>
        <w:rPr>
          <w:rFonts w:ascii="Calibri" w:cs="Calibri" w:eastAsia="Calibri" w:hAnsi="Calibri"/>
          <w:color w:val="1A1A1A"/>
          <w:sz w:val="22"/>
          <w:szCs w:val="22"/>
        </w:rPr>
        <w:t xml:space="preserve">Prior-year net profit comparative (FY 2024-25), for the opening sentence.</w:t>
      </w:r>
    </w:p>
    <w:p>
      <w:pPr>
        <w:pStyle w:val="ListParagraph"/>
        <w:numPr>
          <w:ilvl w:val="0"/>
          <w:numId w:val="1"/>
        </w:numPr>
        <w:spacing w:after="100" w:line="280"/>
        <w:ind w:left="360"/>
      </w:pPr>
      <w:r>
        <w:rPr>
          <w:rFonts w:ascii="Calibri" w:cs="Calibri" w:eastAsia="Calibri" w:hAnsi="Calibri"/>
          <w:color w:val="1A1A1A"/>
          <w:sz w:val="22"/>
          <w:szCs w:val="22"/>
        </w:rPr>
        <w:t xml:space="preserve">Nature and amount of the accumulated-loss set-off, and the closing net-worth figure as at 31 March 2026.</w:t>
      </w:r>
    </w:p>
    <w:p>
      <w:pPr>
        <w:pStyle w:val="ListParagraph"/>
        <w:numPr>
          <w:ilvl w:val="0"/>
          <w:numId w:val="1"/>
        </w:numPr>
        <w:spacing w:after="100" w:line="280"/>
        <w:ind w:left="360"/>
      </w:pPr>
      <w:r>
        <w:rPr>
          <w:rFonts w:ascii="Calibri" w:cs="Calibri" w:eastAsia="Calibri" w:hAnsi="Calibri"/>
          <w:color w:val="1A1A1A"/>
          <w:sz w:val="22"/>
          <w:szCs w:val="22"/>
        </w:rPr>
        <w:t xml:space="preserve">Actual turnover achieved for FY 2025-26, against the stated Rs. 3,000.00 lakh target.</w:t>
      </w:r>
    </w:p>
    <w:p>
      <w:pPr>
        <w:pStyle w:val="ListParagraph"/>
        <w:numPr>
          <w:ilvl w:val="0"/>
          <w:numId w:val="1"/>
        </w:numPr>
        <w:spacing w:after="100" w:line="280"/>
        <w:ind w:left="360"/>
      </w:pPr>
      <w:r>
        <w:rPr>
          <w:rFonts w:ascii="Calibri" w:cs="Calibri" w:eastAsia="Calibri" w:hAnsi="Calibri"/>
          <w:color w:val="1A1A1A"/>
          <w:sz w:val="22"/>
          <w:szCs w:val="22"/>
        </w:rPr>
        <w:t xml:space="preserve">Q1 FY 2026-27 revenue, the year-on-year decline percentage, its cause if established, and management's basis for expecting recovery — or confirmation that this is already covered in a separate subsequent-events note, in which case this paragraph can be dropped from Note 24.</w:t>
      </w:r>
    </w:p>
    <w:p>
      <w:pPr>
        <w:pBdr>
          <w:bottom w:val="single" w:color="D0D0D0" w:sz="4" w:space="4"/>
        </w:pBdr>
        <w:spacing w:after="120" w:before="280"/>
      </w:pPr>
      <w:r>
        <w:rPr>
          <w:rFonts w:ascii="Calibri" w:cs="Calibri" w:eastAsia="Calibri" w:hAnsi="Calibri"/>
          <w:b/>
          <w:bCs/>
          <w:color w:val="B45309"/>
          <w:sz w:val="24"/>
          <w:szCs w:val="24"/>
        </w:rPr>
        <w:t xml:space="preserve">Why these four points</w:t>
      </w:r>
    </w:p>
    <w:p>
      <w:pPr>
        <w:spacing w:after="180" w:line="300"/>
        <w:jc w:val="both"/>
      </w:pPr>
      <w:r>
        <w:rPr>
          <w:rFonts w:ascii="Calibri" w:cs="Calibri" w:eastAsia="Calibri" w:hAnsi="Calibri"/>
          <w:color w:val="1A1A1A"/>
          <w:sz w:val="22"/>
          <w:szCs w:val="22"/>
        </w:rPr>
        <w:t xml:space="preserve">A stated target with no reported outcome, and a strong claim about accumulated losses with no supporting figure, both read as incomplete to anyone reviewing the note closely — auditor, banker, or investor. The Q1 FY 2026-27 point carries more weight: if the FY 2025-26 audit report is signed in the normal window, that quarter falls inside the subsequent-events period the auditor is required to consider for a going-concern assessment. They will already have the management accounts. The only open question is whether the note addresses it directly or leaves it to surface elsewhere.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2026-09-01T10:15:02.529Z</dcterms:created>
  <dcterms:modified xsi:type="dcterms:W3CDTF">2026-09-01T10:15:02.529Z</dcterms:modified>
</cp:coreProperties>
</file>

<file path=docProps/custom.xml><?xml version="1.0" encoding="utf-8"?>
<Properties xmlns="http://schemas.openxmlformats.org/officeDocument/2006/custom-properties" xmlns:vt="http://schemas.openxmlformats.org/officeDocument/2006/docPropsVTypes"/>
</file>