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color w:val="6D2E46"/>
          <w:spacing w:val="20"/>
          <w:sz w:val="18"/>
          <w:szCs w:val="18"/>
        </w:rPr>
        <w:t xml:space="preserve">MSME MANUFACTURING · WEST BENGAL</w:t>
      </w:r>
    </w:p>
    <w:p>
      <w:pPr>
        <w:spacing w:after="200"/>
      </w:pPr>
      <w:r>
        <w:rPr>
          <w:rFonts w:ascii="Cambria" w:cs="Cambria" w:eastAsia="Cambria" w:hAnsi="Cambria"/>
          <w:b/>
          <w:bCs/>
          <w:color w:val="1A1A1A"/>
          <w:sz w:val="64"/>
          <w:szCs w:val="64"/>
        </w:rPr>
        <w:t xml:space="preserve">Datre Corporation: When Manufacturing Knowledge Becomes the Real Moat</w:t>
      </w:r>
    </w:p>
    <w:p>
      <w:pPr>
        <w:pBdr>
          <w:bottom w:val="single" w:color="D8D2CC" w:sz="6" w:space="16"/>
        </w:pBdr>
        <w:spacing w:after="320"/>
      </w:pPr>
      <w:r>
        <w:rPr>
          <w:rFonts w:ascii="Cambria" w:cs="Cambria" w:eastAsia="Cambria" w:hAnsi="Cambria"/>
          <w:i/>
          <w:iCs/>
          <w:color w:val="3A3A3A"/>
          <w:sz w:val="26"/>
          <w:szCs w:val="26"/>
        </w:rPr>
        <w:t xml:space="preserve">A three-decade-old foundry in Falta offers a case study in how an MSME manufacturer can build a competitive moat that is not, in the end, mainly about machines.</w:t>
      </w:r>
    </w:p>
    <w:p>
      <w:pPr>
        <w:spacing w:after="200" w:line="300"/>
        <w:jc w:val="both"/>
      </w:pPr>
      <w:r>
        <w:rPr>
          <w:rFonts w:ascii="Cambria" w:cs="Cambria" w:eastAsia="Cambria" w:hAnsi="Cambria"/>
          <w:i w:val="false"/>
          <w:iCs w:val="false"/>
          <w:color w:val="222222"/>
          <w:sz w:val="23"/>
          <w:szCs w:val="23"/>
        </w:rPr>
        <w:t xml:space="preserve">India's manufacturing ambition is increasingly focused on moving domestic industry higher up the value chain. Yet for an MSME manufacturer, particularly one operating away from the country's largest industrial clusters, that transition takes more than installing modern machinery. Datre Corporation Limited, based in West Bengal, offers a useful case study in how a traditional manufacturing asset can be progressively rebuilt around knowledge, product criticality and customer qualification, rather than around capacity alone.</w:t>
      </w:r>
    </w:p>
    <w:p>
      <w:pPr>
        <w:spacing w:after="200" w:line="300"/>
        <w:jc w:val="both"/>
      </w:pPr>
      <w:r>
        <w:rPr>
          <w:rFonts w:ascii="Cambria" w:cs="Cambria" w:eastAsia="Cambria" w:hAnsi="Cambria"/>
          <w:i w:val="false"/>
          <w:iCs w:val="false"/>
          <w:color w:val="222222"/>
          <w:sz w:val="23"/>
          <w:szCs w:val="23"/>
        </w:rPr>
        <w:t xml:space="preserve">Established in 1996, Datre's foundry was originally configured primarily for industrial valve castings, using no-bake sand moulding supported by CNC machining. When the overseas collaboration around which the original project had been conceived did not develop as planned, the company was eventually forced to reconsider the economics of the plant itself.</w:t>
      </w:r>
    </w:p>
    <w:p>
      <w:pPr>
        <w:pStyle w:val="Heading1"/>
        <w:spacing w:after="180" w:before="380"/>
      </w:pPr>
      <w:r>
        <w:rPr>
          <w:rFonts w:ascii="Cambria" w:cs="Cambria" w:eastAsia="Cambria" w:hAnsi="Cambria"/>
          <w:b/>
          <w:bCs/>
          <w:color w:val="6D2E46"/>
          <w:sz w:val="30"/>
          <w:szCs w:val="30"/>
        </w:rPr>
        <w:t xml:space="preserve">Choosing Where Not to Compete</w:t>
      </w:r>
    </w:p>
    <w:p>
      <w:pPr>
        <w:spacing w:after="200" w:line="300"/>
        <w:jc w:val="both"/>
      </w:pPr>
      <w:r>
        <w:rPr>
          <w:rFonts w:ascii="Cambria" w:cs="Cambria" w:eastAsia="Cambria" w:hAnsi="Cambria"/>
          <w:i w:val="false"/>
          <w:iCs w:val="false"/>
          <w:color w:val="222222"/>
          <w:sz w:val="23"/>
          <w:szCs w:val="23"/>
        </w:rPr>
        <w:t xml:space="preserve">The no-bake moulding process provides flexibility for customised castings, but competing in generic, high-volume products against automated green-sand foundries would expose Datre to an inherent cost disadvantage.</w:t>
      </w:r>
    </w:p>
    <w:p>
      <w:pPr>
        <w:spacing w:after="200" w:line="300"/>
        <w:jc w:val="both"/>
      </w:pPr>
      <w:r>
        <w:rPr>
          <w:rFonts w:ascii="Cambria" w:cs="Cambria" w:eastAsia="Cambria" w:hAnsi="Cambria"/>
          <w:i w:val="false"/>
          <w:iCs w:val="false"/>
          <w:color w:val="222222"/>
          <w:sz w:val="23"/>
          <w:szCs w:val="23"/>
        </w:rPr>
        <w:t xml:space="preserve">Machining offered another route, but not necessarily a durable competitive moat. CNC machining is undoubtedly a hard manufacturing skill, yet machines, tooling methodologies and operator capabilities can ultimately be replicated. An experienced purchaser can increasingly estimate machining time and develop a reasonably predictable cost model.</w:t>
      </w:r>
    </w:p>
    <w:p>
      <w:pPr>
        <w:spacing w:after="200" w:line="300"/>
        <w:jc w:val="both"/>
      </w:pPr>
      <w:r>
        <w:rPr>
          <w:rFonts w:ascii="Cambria" w:cs="Cambria" w:eastAsia="Cambria" w:hAnsi="Cambria"/>
          <w:i w:val="false"/>
          <w:iCs w:val="false"/>
          <w:color w:val="222222"/>
          <w:sz w:val="23"/>
          <w:szCs w:val="23"/>
        </w:rPr>
        <w:t xml:space="preserve">Casting geometry can similarly be measured and reproduced, while chemical composition can be determined through metallurgical analysis.</w:t>
      </w:r>
    </w:p>
    <w:p>
      <w:pPr>
        <w:spacing w:after="200" w:line="300"/>
        <w:jc w:val="both"/>
      </w:pPr>
      <w:r>
        <w:rPr>
          <w:rFonts w:ascii="Cambria" w:cs="Cambria" w:eastAsia="Cambria" w:hAnsi="Cambria"/>
          <w:i w:val="false"/>
          <w:iCs w:val="false"/>
          <w:color w:val="222222"/>
          <w:sz w:val="23"/>
          <w:szCs w:val="23"/>
        </w:rPr>
        <w:t xml:space="preserve">Datre therefore increasingly concentrated on something considerably more difficult to reverse-engineer: the final metallurgical properties created through heat treatment and quenching.</w:t>
      </w:r>
    </w:p>
    <w:p>
      <w:pPr>
        <w:spacing w:after="200" w:line="300"/>
        <w:jc w:val="both"/>
      </w:pPr>
      <w:r>
        <w:rPr>
          <w:rFonts w:ascii="Cambria" w:cs="Cambria" w:eastAsia="Cambria" w:hAnsi="Cambria"/>
          <w:i w:val="false"/>
          <w:iCs w:val="false"/>
          <w:color w:val="222222"/>
          <w:sz w:val="23"/>
          <w:szCs w:val="23"/>
        </w:rPr>
        <w:t xml:space="preserve">Heat treatment starts with metallurgical science, but industrial success depends heavily on accumulated experimentation. Chemistry, section thickness, heating rate, soaking time, furnace behaviour, transfer time, quenching medium and cooling characteristics interact in ways that must ultimately be proven on the actual component.</w:t>
      </w:r>
    </w:p>
    <w:p>
      <w:pPr>
        <w:spacing w:after="200" w:line="300"/>
        <w:jc w:val="both"/>
      </w:pPr>
      <w:r>
        <w:rPr>
          <w:rFonts w:ascii="Cambria" w:cs="Cambria" w:eastAsia="Cambria" w:hAnsi="Cambria"/>
          <w:i w:val="false"/>
          <w:iCs w:val="false"/>
          <w:color w:val="222222"/>
          <w:sz w:val="23"/>
          <w:szCs w:val="23"/>
        </w:rPr>
        <w:t xml:space="preserve">The finished casting may reveal its chemistry, dimensions, hardness and microstructure. It does not necessarily reveal the precise process history that produced them.</w:t>
      </w:r>
    </w:p>
    <w:p>
      <w:pPr>
        <w:spacing w:after="200" w:line="300"/>
        <w:jc w:val="both"/>
      </w:pPr>
      <w:r>
        <w:rPr>
          <w:rFonts w:ascii="Cambria" w:cs="Cambria" w:eastAsia="Cambria" w:hAnsi="Cambria"/>
          <w:i w:val="false"/>
          <w:iCs w:val="false"/>
          <w:color w:val="222222"/>
          <w:sz w:val="23"/>
          <w:szCs w:val="23"/>
        </w:rPr>
        <w:t xml:space="preserve">Datre consequently had to build both the heat-treatment infrastructure and the associated soft knowledge required by its new product portfolio. That accumulated trial-and-error experience has progressively become an intellectual manufacturing asset — one the company has, by its own account, declined to hand over to customers even when asked, treating its heat-treatment cycle as proprietary rather than as a routine part of the supply package.</w:t>
      </w:r>
    </w:p>
    <w:p>
      <w:pPr>
        <w:pStyle w:val="Heading1"/>
        <w:spacing w:after="180" w:before="380"/>
      </w:pPr>
      <w:r>
        <w:rPr>
          <w:rFonts w:ascii="Cambria" w:cs="Cambria" w:eastAsia="Cambria" w:hAnsi="Cambria"/>
          <w:b/>
          <w:bCs/>
          <w:color w:val="6D2E46"/>
          <w:sz w:val="30"/>
          <w:szCs w:val="30"/>
        </w:rPr>
        <w:t xml:space="preserve">Product Criticality Creates a Second Moat</w:t>
      </w:r>
    </w:p>
    <w:p>
      <w:pPr>
        <w:spacing w:after="200" w:line="300"/>
        <w:jc w:val="both"/>
      </w:pPr>
      <w:r>
        <w:rPr>
          <w:rFonts w:ascii="Cambria" w:cs="Cambria" w:eastAsia="Cambria" w:hAnsi="Cambria"/>
          <w:i w:val="false"/>
          <w:iCs w:val="false"/>
          <w:color w:val="222222"/>
          <w:sz w:val="23"/>
          <w:szCs w:val="23"/>
        </w:rPr>
        <w:t xml:space="preserve">The significance becomes greater because Datre's current castings ultimately become parts of much larger mining, railway and heavy-equipment systems.</w:t>
      </w:r>
    </w:p>
    <w:p>
      <w:pPr>
        <w:spacing w:after="200" w:line="300"/>
        <w:jc w:val="both"/>
      </w:pPr>
      <w:r>
        <w:rPr>
          <w:rFonts w:ascii="Cambria" w:cs="Cambria" w:eastAsia="Cambria" w:hAnsi="Cambria"/>
          <w:i w:val="false"/>
          <w:iCs w:val="false"/>
          <w:color w:val="222222"/>
          <w:sz w:val="23"/>
          <w:szCs w:val="23"/>
        </w:rPr>
        <w:t xml:space="preserve">For an OEM, the procurement equation is therefore not simply the price of a casting. A component failure can potentially mean equipment downtime, warranty exposure, production losses, safety concerns or reputational damage.</w:t>
      </w:r>
    </w:p>
    <w:p>
      <w:pPr>
        <w:pBdr>
          <w:top w:val="single" w:color="6D2E46" w:sz="8" w:space="14"/>
          <w:bottom w:val="single" w:color="6D2E46" w:sz="8" w:space="14"/>
        </w:pBdr>
        <w:spacing w:after="300" w:before="260"/>
        <w:jc w:val="center"/>
      </w:pPr>
      <w:r>
        <w:rPr>
          <w:rFonts w:ascii="Cambria" w:cs="Cambria" w:eastAsia="Cambria" w:hAnsi="Cambria"/>
          <w:b/>
          <w:bCs/>
          <w:i/>
          <w:iCs/>
          <w:color w:val="6D2E46"/>
          <w:sz w:val="32"/>
          <w:szCs w:val="32"/>
        </w:rPr>
        <w:t xml:space="preserve">The component may represent a small fraction of the machine's value, while the consequence of its failure can be disproportionately large.</w:t>
      </w:r>
    </w:p>
    <w:p>
      <w:pPr>
        <w:spacing w:after="200" w:line="300"/>
        <w:jc w:val="both"/>
      </w:pPr>
      <w:r>
        <w:rPr>
          <w:rFonts w:ascii="Cambria" w:cs="Cambria" w:eastAsia="Cambria" w:hAnsi="Cambria"/>
          <w:i w:val="false"/>
          <w:iCs w:val="false"/>
          <w:color w:val="222222"/>
          <w:sz w:val="23"/>
          <w:szCs w:val="23"/>
        </w:rPr>
        <w:t xml:space="preserve">OEM qualification therefore becomes a business asset in itself. Product development, process audits, metallurgical validation, trial batches, corrective learning and demonstrated production consistency can take considerable time. Industry research reviewed alongside Datre's own materials identifies customer stickiness and long, thorough qualification trials as meaningful barriers to entry in specialised high-chrome casting applications — the same dynamic that has kept the global market for high-chrome mill-liner castings concentrated among a small number of established suppliers, with well-funded entrants having previously tried and failed to break in.</w:t>
      </w:r>
    </w:p>
    <w:p>
      <w:pPr>
        <w:spacing w:after="200" w:line="300"/>
        <w:jc w:val="both"/>
      </w:pPr>
      <w:r>
        <w:rPr>
          <w:rFonts w:ascii="Cambria" w:cs="Cambria" w:eastAsia="Cambria" w:hAnsi="Cambria"/>
          <w:i w:val="false"/>
          <w:iCs w:val="false"/>
          <w:color w:val="222222"/>
          <w:sz w:val="23"/>
          <w:szCs w:val="23"/>
        </w:rPr>
        <w:t xml:space="preserve">A competitor with substantial capital could certainly build a newer foundry. It could purchase similar furnaces, spectrometers, moulding equipment and CNC machines.</w:t>
      </w:r>
    </w:p>
    <w:p>
      <w:pPr>
        <w:spacing w:after="200" w:line="300"/>
        <w:jc w:val="both"/>
      </w:pPr>
      <w:r>
        <w:rPr>
          <w:rFonts w:ascii="Cambria" w:cs="Cambria" w:eastAsia="Cambria" w:hAnsi="Cambria"/>
          <w:i w:val="false"/>
          <w:iCs w:val="false"/>
          <w:color w:val="222222"/>
          <w:sz w:val="23"/>
          <w:szCs w:val="23"/>
        </w:rPr>
        <w:t xml:space="preserve">What it cannot purchase overnight is years of heat-treatment learning, successful product development, OEM approval, field-performance history and customer confidence.</w:t>
      </w:r>
    </w:p>
    <w:p>
      <w:pPr>
        <w:spacing w:after="200" w:line="300"/>
        <w:jc w:val="both"/>
      </w:pPr>
      <w:r>
        <w:rPr>
          <w:rFonts w:ascii="Cambria" w:cs="Cambria" w:eastAsia="Cambria" w:hAnsi="Cambria"/>
          <w:i w:val="false"/>
          <w:iCs w:val="false"/>
          <w:color w:val="222222"/>
          <w:sz w:val="23"/>
          <w:szCs w:val="23"/>
        </w:rPr>
        <w:t xml:space="preserve">This distinction fundamentally changes the return-on-investment equation for a new entrant.</w:t>
      </w:r>
    </w:p>
    <w:p>
      <w:pPr>
        <w:spacing w:after="200" w:line="300"/>
        <w:jc w:val="both"/>
      </w:pPr>
      <w:r>
        <w:rPr>
          <w:rFonts w:ascii="Cambria" w:cs="Cambria" w:eastAsia="Cambria" w:hAnsi="Cambria"/>
          <w:i w:val="false"/>
          <w:iCs w:val="false"/>
          <w:color w:val="222222"/>
          <w:sz w:val="23"/>
          <w:szCs w:val="23"/>
        </w:rPr>
        <w:t xml:space="preserve">A greenfield competitor must invest first and earn later: build the plant, recruit people, develop processes, undergo trials and audits, obtain approvals and then progressively win enough business to reach economic capacity utilisation. Depreciation, manpower, energy, maintenance and financing costs continue throughout that qualification period.</w:t>
      </w:r>
    </w:p>
    <w:p>
      <w:pPr>
        <w:spacing w:after="200" w:line="300"/>
        <w:jc w:val="both"/>
      </w:pPr>
      <w:r>
        <w:rPr>
          <w:rFonts w:ascii="Cambria" w:cs="Cambria" w:eastAsia="Cambria" w:hAnsi="Cambria"/>
          <w:i/>
          <w:iCs/>
          <w:color w:val="222222"/>
          <w:sz w:val="23"/>
          <w:szCs w:val="23"/>
        </w:rPr>
        <w:t xml:space="preserve">The real barrier to entry is therefore not simply capital expenditure — it is capital expenditure multiplied by time-to-revenue and uncertainty of utilisation.</w:t>
      </w:r>
    </w:p>
    <w:p>
      <w:pPr>
        <w:pStyle w:val="Heading1"/>
        <w:spacing w:after="180" w:before="380"/>
      </w:pPr>
      <w:r>
        <w:rPr>
          <w:rFonts w:ascii="Cambria" w:cs="Cambria" w:eastAsia="Cambria" w:hAnsi="Cambria"/>
          <w:b/>
          <w:bCs/>
          <w:color w:val="6D2E46"/>
          <w:sz w:val="30"/>
          <w:szCs w:val="30"/>
        </w:rPr>
        <w:t xml:space="preserve">The MSME Challenge Adds Another Dimension</w:t>
      </w:r>
    </w:p>
    <w:p>
      <w:pPr>
        <w:spacing w:after="200" w:line="300"/>
        <w:jc w:val="both"/>
      </w:pPr>
      <w:r>
        <w:rPr>
          <w:rFonts w:ascii="Cambria" w:cs="Cambria" w:eastAsia="Cambria" w:hAnsi="Cambria"/>
          <w:i w:val="false"/>
          <w:iCs w:val="false"/>
          <w:color w:val="222222"/>
          <w:sz w:val="23"/>
          <w:szCs w:val="23"/>
        </w:rPr>
        <w:t xml:space="preserve">This is particularly relevant in Indian MSME manufacturing.</w:t>
      </w:r>
    </w:p>
    <w:p>
      <w:pPr>
        <w:spacing w:after="200" w:line="300"/>
        <w:jc w:val="both"/>
      </w:pPr>
      <w:r>
        <w:rPr>
          <w:rFonts w:ascii="Cambria" w:cs="Cambria" w:eastAsia="Cambria" w:hAnsi="Cambria"/>
          <w:i w:val="false"/>
          <w:iCs w:val="false"/>
          <w:color w:val="222222"/>
          <w:sz w:val="23"/>
          <w:szCs w:val="23"/>
        </w:rPr>
        <w:t xml:space="preserve">A sophisticated plant alone does not constitute a functioning manufacturing ecosystem. Skilled metallurgists, quality personnel, maintenance engineers, moulders, fettlers and experienced shop-floor supervisors must operate together consistently.</w:t>
      </w:r>
    </w:p>
    <w:p>
      <w:pPr>
        <w:spacing w:after="200" w:line="300"/>
        <w:jc w:val="both"/>
      </w:pPr>
      <w:r>
        <w:rPr>
          <w:rFonts w:ascii="Cambria" w:cs="Cambria" w:eastAsia="Cambria" w:hAnsi="Cambria"/>
          <w:i w:val="false"/>
          <w:iCs w:val="false"/>
          <w:color w:val="222222"/>
          <w:sz w:val="23"/>
          <w:szCs w:val="23"/>
        </w:rPr>
        <w:t xml:space="preserve">For manufacturers in West Bengal, the challenge can become more pronounced when factories are located outside Kolkata's principal urban employment market. Attracting and retaining specialised technical talent, and expanding the blue-collar workforce, can constrain growth even when customer demand and installed machinery are available. Datre's own business assessment identifies attracting appropriate factory talent and adding shop-floor manpower as important scaling challenges.</w:t>
      </w:r>
    </w:p>
    <w:p>
      <w:pPr>
        <w:spacing w:after="200" w:line="300"/>
        <w:jc w:val="both"/>
      </w:pPr>
      <w:r>
        <w:rPr>
          <w:rFonts w:ascii="Cambria" w:cs="Cambria" w:eastAsia="Cambria" w:hAnsi="Cambria"/>
          <w:i w:val="false"/>
          <w:iCs w:val="false"/>
          <w:color w:val="222222"/>
          <w:sz w:val="23"/>
          <w:szCs w:val="23"/>
        </w:rPr>
        <w:t xml:space="preserve">The consequences are visible inside the factory as well.</w:t>
      </w:r>
    </w:p>
    <w:p>
      <w:pPr>
        <w:spacing w:after="200" w:line="300"/>
        <w:jc w:val="both"/>
      </w:pPr>
      <w:r>
        <w:rPr>
          <w:rFonts w:ascii="Cambria" w:cs="Cambria" w:eastAsia="Cambria" w:hAnsi="Cambria"/>
          <w:i w:val="false"/>
          <w:iCs w:val="false"/>
          <w:color w:val="222222"/>
          <w:sz w:val="23"/>
          <w:szCs w:val="23"/>
        </w:rPr>
        <w:t xml:space="preserve">Datre's current products require substantially longer heat-treatment cycles than its original valve-oriented product mix. Increasing production therefore increases work-in-progress. Castings occupy fettling and staging areas while awaiting heat treatment, inspection and subsequent operations, creating pressure on floor space and internal material movement.</w:t>
      </w:r>
    </w:p>
    <w:p>
      <w:pPr>
        <w:spacing w:after="200" w:line="300"/>
        <w:jc w:val="both"/>
      </w:pPr>
      <w:r>
        <w:rPr>
          <w:rFonts w:ascii="Cambria" w:cs="Cambria" w:eastAsia="Cambria" w:hAnsi="Cambria"/>
          <w:i w:val="false"/>
          <w:iCs w:val="false"/>
          <w:color w:val="222222"/>
          <w:sz w:val="23"/>
          <w:szCs w:val="23"/>
        </w:rPr>
        <w:t xml:space="preserve">Capacity consequently cannot be measured merely by melting tonnes. Fettling space, WIP dwell time, furnace availability, material handling, quality resources and manpower collectively determine practical output.</w:t>
      </w:r>
    </w:p>
    <w:p>
      <w:pPr>
        <w:spacing w:after="200" w:line="300"/>
        <w:jc w:val="both"/>
      </w:pPr>
      <w:r>
        <w:rPr>
          <w:rFonts w:ascii="Cambria" w:cs="Cambria" w:eastAsia="Cambria" w:hAnsi="Cambria"/>
          <w:i w:val="false"/>
          <w:iCs w:val="false"/>
          <w:color w:val="222222"/>
          <w:sz w:val="23"/>
          <w:szCs w:val="23"/>
        </w:rPr>
        <w:t xml:space="preserve">For an MSME, solving these bottlenecks through carefully sequenced brownfield investment can generate very different economics from constructing an entirely new facility.</w:t>
      </w:r>
    </w:p>
    <w:p>
      <w:pPr>
        <w:pStyle w:val="Heading1"/>
        <w:spacing w:after="180" w:before="380"/>
      </w:pPr>
      <w:r>
        <w:rPr>
          <w:rFonts w:ascii="Cambria" w:cs="Cambria" w:eastAsia="Cambria" w:hAnsi="Cambria"/>
          <w:b/>
          <w:bCs/>
          <w:color w:val="6D2E46"/>
          <w:sz w:val="30"/>
          <w:szCs w:val="30"/>
        </w:rPr>
        <w:t xml:space="preserve">An Older Plant, but a Newer Business</w:t>
      </w:r>
    </w:p>
    <w:p>
      <w:pPr>
        <w:spacing w:after="200" w:line="300"/>
        <w:jc w:val="both"/>
      </w:pPr>
      <w:r>
        <w:rPr>
          <w:rFonts w:ascii="Cambria" w:cs="Cambria" w:eastAsia="Cambria" w:hAnsi="Cambria"/>
          <w:i w:val="false"/>
          <w:iCs w:val="false"/>
          <w:color w:val="222222"/>
          <w:sz w:val="23"/>
          <w:szCs w:val="23"/>
        </w:rPr>
        <w:t xml:space="preserve">This helps explain Datre's continuing capital programme. Rather than abandoning a three-decade-old plant, the company has progressively localised imported equipment, developed in-house maintenance capability and selectively replaced or upgraded critical machinery. Heat-treatment and quality infrastructure have received particular attention as the product portfolio has changed.</w:t>
      </w:r>
    </w:p>
    <w:p>
      <w:pPr>
        <w:spacing w:after="200" w:line="300"/>
        <w:jc w:val="both"/>
      </w:pPr>
      <w:r>
        <w:rPr>
          <w:rFonts w:ascii="Cambria" w:cs="Cambria" w:eastAsia="Cambria" w:hAnsi="Cambria"/>
          <w:i w:val="false"/>
          <w:iCs w:val="false"/>
          <w:color w:val="222222"/>
          <w:sz w:val="23"/>
          <w:szCs w:val="23"/>
        </w:rPr>
        <w:t xml:space="preserve">The financial turnaround supports the argument. FY2021 closed with revenue of roughly ₹8.5 crore and a net loss of about ₹3.7 crore — the year auditors flagged “material uncertainty related to going concern.” By FY2023 the company had turned a net profit of ₹1.47 crore, followed by ₹1.45 crore in FY2024 and ₹1.38 crore in FY2025: three consecutive profitable years, on revenue that had, by FY2024, more than doubled from the FY2021 trough.</w:t>
      </w:r>
    </w:p>
    <w:p>
      <w:pPr>
        <w:spacing w:after="200" w:line="300"/>
        <w:jc w:val="both"/>
      </w:pPr>
      <w:r>
        <w:rPr>
          <w:rFonts w:ascii="Cambria" w:cs="Cambria" w:eastAsia="Cambria" w:hAnsi="Cambria"/>
          <w:i w:val="false"/>
          <w:iCs w:val="false"/>
          <w:color w:val="222222"/>
          <w:sz w:val="23"/>
          <w:szCs w:val="23"/>
        </w:rPr>
        <w:t xml:space="preserve">Datre therefore illustrates a broader opportunity — and challenge — for Indian manufacturing MSMEs.</w:t>
      </w:r>
    </w:p>
    <w:p>
      <w:pPr>
        <w:pBdr>
          <w:top w:val="single" w:color="6D2E46" w:sz="8" w:space="14"/>
          <w:bottom w:val="single" w:color="6D2E46" w:sz="8" w:space="14"/>
        </w:pBdr>
        <w:spacing w:after="300" w:before="260"/>
        <w:jc w:val="center"/>
      </w:pPr>
      <w:r>
        <w:rPr>
          <w:rFonts w:ascii="Cambria" w:cs="Cambria" w:eastAsia="Cambria" w:hAnsi="Cambria"/>
          <w:b/>
          <w:bCs/>
          <w:i/>
          <w:iCs/>
          <w:color w:val="6D2E46"/>
          <w:sz w:val="32"/>
          <w:szCs w:val="32"/>
        </w:rPr>
        <w:t xml:space="preserve">Capital can buy machines. It cannot instantly buy process knowledge, a trained manufacturing ecosystem, OEM qualification, field-performance history or customer confidence.</w:t>
      </w:r>
    </w:p>
    <w:p>
      <w:pPr>
        <w:spacing w:after="200" w:line="300"/>
        <w:jc w:val="both"/>
      </w:pPr>
      <w:r>
        <w:rPr>
          <w:rFonts w:ascii="Cambria" w:cs="Cambria" w:eastAsia="Cambria" w:hAnsi="Cambria"/>
          <w:i w:val="false"/>
          <w:iCs w:val="false"/>
          <w:color w:val="222222"/>
          <w:sz w:val="23"/>
          <w:szCs w:val="23"/>
        </w:rPr>
        <w:t xml:space="preserve">For Datre, that may ultimately be its most important asset. The physical foundry can be replicated. The accumulated engineering ecosystem surrounding it is considerably harder to reproduce — and harder still to reproduce at an attractive return on investment.</w:t>
      </w:r>
    </w:p>
    <w:p>
      <w:pPr>
        <w:pBdr>
          <w:top w:val="single" w:color="D8D2CC" w:sz="4" w:space="10"/>
        </w:pBdr>
        <w:spacing w:before="400"/>
      </w:pPr>
      <w:r>
        <w:rPr>
          <w:rFonts w:ascii="Cambria" w:cs="Cambria" w:eastAsia="Cambria" w:hAnsi="Cambria"/>
          <w:i/>
          <w:iCs/>
          <w:color w:val="6B7684"/>
          <w:sz w:val="18"/>
          <w:szCs w:val="18"/>
        </w:rPr>
        <w:t xml:space="preserve">Company history, product and process details drawn from Datre Corporation Limited's internal materials. Financial figures are from the company's audited statements, FY2021–FY2025 (Chetan &amp; Co., Chartered Accountants).</w:t>
      </w:r>
    </w:p>
    <w:p>
      <w:pPr>
        <w:spacing w:before="80"/>
      </w:pPr>
      <w:r>
        <w:rPr>
          <w:rFonts w:ascii="Cambria" w:cs="Cambria" w:eastAsia="Cambria" w:hAnsi="Cambria"/>
          <w:i/>
          <w:iCs/>
          <w:color w:val="6B7684"/>
          <w:sz w:val="18"/>
          <w:szCs w:val="18"/>
        </w:rPr>
        <w:t xml:space="preserve">Editorial note: company materials include a document referencing “post-NCLT” status for this period. Case details, dates and resolution terms were not available for independent verification and are not asserted in this article.</w:t>
      </w:r>
    </w:p>
    <w:sectPr>
      <w:pgSz w:w="11906" w:h="16838" w:orient="portrait"/>
      <w:pgMar w:top="1152" w:right="1300" w:bottom="1152"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2026-08-26T07:30:37.776Z</dcterms:created>
  <dcterms:modified xsi:type="dcterms:W3CDTF">2026-08-26T07:30:37.776Z</dcterms:modified>
</cp:coreProperties>
</file>

<file path=docProps/custom.xml><?xml version="1.0" encoding="utf-8"?>
<Properties xmlns="http://schemas.openxmlformats.org/officeDocument/2006/custom-properties" xmlns:vt="http://schemas.openxmlformats.org/officeDocument/2006/docPropsVTypes"/>
</file>