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0D7377"/>
          <w:sz w:val="52"/>
          <w:szCs w:val="52"/>
        </w:rPr>
        <w:t xml:space="preserve">SOFTWARE REQUIREMENTS SPECIFICATION</w:t>
      </w:r>
    </w:p>
    <w:p>
      <w:pPr>
        <w:spacing w:before="300"/>
        <w:jc w:val="center"/>
      </w:pPr>
      <w:r>
        <w:rPr>
          <w:b/>
          <w:bCs/>
          <w:color w:val="B8860B"/>
          <w:sz w:val="40"/>
          <w:szCs w:val="40"/>
        </w:rPr>
        <w:t xml:space="preserve">SinhalaBridge</w:t>
      </w:r>
    </w:p>
    <w:p>
      <w:pPr>
        <w:spacing w:before="100"/>
        <w:jc w:val="center"/>
      </w:pPr>
      <w:r>
        <w:rPr>
          <w:i/>
          <w:iCs/>
          <w:sz w:val="28"/>
          <w:szCs w:val="28"/>
        </w:rPr>
        <w:t xml:space="preserve">A Sinhala–English Language Learning Platform</w:t>
      </w:r>
    </w:p>
    <w:p>
      <w:pPr>
        <w:spacing w:before="2400"/>
        <w:jc w:val="center"/>
      </w:pPr>
      <w:r>
        <w:rPr>
          <w:sz w:val="24"/>
          <w:szCs w:val="24"/>
        </w:rPr>
        <w:t xml:space="preserve">Version 1.0</w:t>
      </w:r>
    </w:p>
    <w:p>
      <w:pPr>
        <w:jc w:val="center"/>
      </w:pPr>
      <w:r>
        <w:rPr>
          <w:sz w:val="24"/>
          <w:szCs w:val="24"/>
        </w:rPr>
        <w:t xml:space="preserve">6 July 2026</w:t>
      </w:r>
    </w:p>
    <w:p>
      <w:pPr>
        <w:spacing w:before="200"/>
        <w:jc w:val="center"/>
      </w:pPr>
      <w:r>
        <w:rPr>
          <w:sz w:val="24"/>
          <w:szCs w:val="24"/>
        </w:rPr>
        <w:t xml:space="preserve">Prepared by: Induwara</w:t>
      </w:r>
    </w:p>
    <w:p>
      <w:pPr>
        <w:jc w:val="center"/>
      </w:pPr>
      <w:r>
        <w:rPr>
          <w:sz w:val="24"/>
          <w:szCs w:val="24"/>
        </w:rPr>
        <w:t xml:space="preserve">Status: Draft</w:t>
      </w:r>
    </w:p>
    <w:p>
      <w:pPr>
        <w:sectPr>
          <w:pgSz w:w="11906" w:h="16838" w:orient="portrait"/>
          <w:pgMar w:top="1440" w:right="1440" w:bottom="1440" w:left="1440" w:header="708" w:footer="708" w:gutter="0"/>
          <w:pgNumType/>
          <w:docGrid w:linePitch="360"/>
        </w:sectPr>
      </w:pPr>
    </w:p>
    <w:p>
      <w:pPr>
        <w:pStyle w:val="Heading1"/>
        <w:spacing w:after="160" w:before="360"/>
      </w:pPr>
      <w:r>
        <w:rPr>
          <w:color w:val="0D7377"/>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60" w:before="360"/>
      </w:pPr>
      <w:r>
        <w:rPr>
          <w:color w:val="0D7377"/>
        </w:rPr>
        <w:t xml:space="preserve">1. Introduction</w:t>
      </w:r>
    </w:p>
    <w:p>
      <w:pPr>
        <w:pStyle w:val="Heading2"/>
        <w:spacing w:after="120" w:before="280"/>
      </w:pPr>
      <w:r>
        <w:rPr>
          <w:color w:val="134E5E"/>
        </w:rPr>
        <w:t xml:space="preserve">1.1 Purpose</w:t>
      </w:r>
    </w:p>
    <w:p>
      <w:pPr>
        <w:spacing w:after="140" w:line="300"/>
        <w:jc w:val="both"/>
      </w:pPr>
      <w:r>
        <w:t xml:space="preserve">This Software Requirements Specification (SRS) defines the functional and non-functional requirements for SinhalaBridge, a web-based English language learning platform designed for native Sinhala speakers in Sri Lanka, with future applicability to South Asian learners more broadly (including India). The document is intended for the product owner, developers, designers, and testers involved in building the platform.</w:t>
      </w:r>
    </w:p>
    <w:p>
      <w:pPr>
        <w:pStyle w:val="Heading2"/>
        <w:spacing w:after="120" w:before="280"/>
      </w:pPr>
      <w:r>
        <w:rPr>
          <w:color w:val="134E5E"/>
        </w:rPr>
        <w:t xml:space="preserve">1.2 Scope</w:t>
      </w:r>
    </w:p>
    <w:p>
      <w:pPr>
        <w:spacing w:after="140" w:line="300"/>
        <w:jc w:val="both"/>
      </w:pPr>
      <w:r>
        <w:t xml:space="preserve">SinhalaBridge guides learners from basic grammar to independent formal writing through a fixed eight-stage pedagogical sequence: (1) tenses, (2) complex sentences, (3) adjectives, adverbs and prepositions, (4) passive voice, (5) Sinhala-to-English translation, (6) guided essays, (7) solo essays, and (8) formal letter writing. This sequence is derived from the author's own successful learning journey and is treated as the authoritative curriculum structure; the platform must not reorder or dilute it.</w:t>
      </w:r>
    </w:p>
    <w:p>
      <w:pPr>
        <w:spacing w:after="140" w:line="300"/>
        <w:jc w:val="both"/>
      </w:pPr>
      <w:r>
        <w:t xml:space="preserve">The initial release is a browser-based application (responsive web) delivered without a build toolchain (CDN-based React), evolving toward a full production stack in later releases. The scope covers learner-facing features, content delivery, progress tracking, gamification, and basic administration. Mobile native apps, live tutoring marketplaces, and payment processing are out of scope for Version 1.0.</w:t>
      </w:r>
    </w:p>
    <w:p>
      <w:pPr>
        <w:pStyle w:val="Heading2"/>
        <w:spacing w:after="120" w:before="280"/>
      </w:pPr>
      <w:r>
        <w:rPr>
          <w:color w:val="134E5E"/>
        </w:rPr>
        <w:t xml:space="preserve">1.3 Definitions, Acronyms and Abbreviations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000"/>
        <w:gridCol w:w="7240"/>
      </w:tblGrid>
      <w:tr>
        <w:tc>
          <w:tcPr>
            <w:tcW w:type="dxa" w:w="2000"/>
            <w:shd w:fill="E8F4F4" w:val="clear"/>
            <w:tcMar>
              <w:top w:type="dxa" w:w="80"/>
              <w:left w:type="dxa" w:w="120"/>
              <w:bottom w:type="dxa" w:w="80"/>
              <w:right w:type="dxa" w:w="120"/>
            </w:tcMar>
          </w:tcPr>
          <w:p>
            <w:r>
              <w:rPr>
                <w:b/>
                <w:bCs/>
                <w:sz w:val="20"/>
                <w:szCs w:val="20"/>
              </w:rPr>
              <w:t xml:space="preserve">Term</w:t>
            </w:r>
          </w:p>
        </w:tc>
        <w:tc>
          <w:tcPr>
            <w:tcW w:type="dxa" w:w="7240"/>
            <w:shd w:fill="E8F4F4" w:val="clear"/>
            <w:tcMar>
              <w:top w:type="dxa" w:w="80"/>
              <w:left w:type="dxa" w:w="120"/>
              <w:bottom w:type="dxa" w:w="80"/>
              <w:right w:type="dxa" w:w="120"/>
            </w:tcMar>
          </w:tcPr>
          <w:p>
            <w:r>
              <w:rPr>
                <w:b/>
                <w:bCs/>
                <w:sz w:val="20"/>
                <w:szCs w:val="20"/>
              </w:rPr>
              <w:t xml:space="preserve">Definition</w:t>
            </w:r>
          </w:p>
        </w:tc>
      </w:tr>
      <w:tr>
        <w:tc>
          <w:tcPr>
            <w:tcW w:type="dxa" w:w="2000"/>
            <w:tcMar>
              <w:top w:type="dxa" w:w="80"/>
              <w:left w:type="dxa" w:w="120"/>
              <w:bottom w:type="dxa" w:w="80"/>
              <w:right w:type="dxa" w:w="120"/>
            </w:tcMar>
          </w:tcPr>
          <w:p>
            <w:r>
              <w:rPr>
                <w:b w:val="false"/>
                <w:bCs w:val="false"/>
                <w:sz w:val="20"/>
                <w:szCs w:val="20"/>
              </w:rPr>
              <w:t xml:space="preserve">SRS</w:t>
            </w:r>
          </w:p>
        </w:tc>
        <w:tc>
          <w:tcPr>
            <w:tcW w:type="dxa" w:w="7240"/>
            <w:tcMar>
              <w:top w:type="dxa" w:w="80"/>
              <w:left w:type="dxa" w:w="120"/>
              <w:bottom w:type="dxa" w:w="80"/>
              <w:right w:type="dxa" w:w="120"/>
            </w:tcMar>
          </w:tcPr>
          <w:p>
            <w:r>
              <w:rPr>
                <w:b w:val="false"/>
                <w:bCs w:val="false"/>
                <w:sz w:val="20"/>
                <w:szCs w:val="20"/>
              </w:rPr>
              <w:t xml:space="preserve">Software Requirements Specification</w:t>
            </w:r>
          </w:p>
        </w:tc>
      </w:tr>
      <w:tr>
        <w:tc>
          <w:tcPr>
            <w:tcW w:type="dxa" w:w="2000"/>
            <w:tcMar>
              <w:top w:type="dxa" w:w="80"/>
              <w:left w:type="dxa" w:w="120"/>
              <w:bottom w:type="dxa" w:w="80"/>
              <w:right w:type="dxa" w:w="120"/>
            </w:tcMar>
          </w:tcPr>
          <w:p>
            <w:r>
              <w:rPr>
                <w:b w:val="false"/>
                <w:bCs w:val="false"/>
                <w:sz w:val="20"/>
                <w:szCs w:val="20"/>
              </w:rPr>
              <w:t xml:space="preserve">Stage</w:t>
            </w:r>
          </w:p>
        </w:tc>
        <w:tc>
          <w:tcPr>
            <w:tcW w:type="dxa" w:w="7240"/>
            <w:tcMar>
              <w:top w:type="dxa" w:w="80"/>
              <w:left w:type="dxa" w:w="120"/>
              <w:bottom w:type="dxa" w:w="80"/>
              <w:right w:type="dxa" w:w="120"/>
            </w:tcMar>
          </w:tcPr>
          <w:p>
            <w:r>
              <w:rPr>
                <w:b w:val="false"/>
                <w:bCs w:val="false"/>
                <w:sz w:val="20"/>
                <w:szCs w:val="20"/>
              </w:rPr>
              <w:t xml:space="preserve">One of the eight fixed units in the pedagogical sequence</w:t>
            </w:r>
          </w:p>
        </w:tc>
      </w:tr>
      <w:tr>
        <w:tc>
          <w:tcPr>
            <w:tcW w:type="dxa" w:w="2000"/>
            <w:tcMar>
              <w:top w:type="dxa" w:w="80"/>
              <w:left w:type="dxa" w:w="120"/>
              <w:bottom w:type="dxa" w:w="80"/>
              <w:right w:type="dxa" w:w="120"/>
            </w:tcMar>
          </w:tcPr>
          <w:p>
            <w:r>
              <w:rPr>
                <w:b w:val="false"/>
                <w:bCs w:val="false"/>
                <w:sz w:val="20"/>
                <w:szCs w:val="20"/>
              </w:rPr>
              <w:t xml:space="preserve">XP</w:t>
            </w:r>
          </w:p>
        </w:tc>
        <w:tc>
          <w:tcPr>
            <w:tcW w:type="dxa" w:w="7240"/>
            <w:tcMar>
              <w:top w:type="dxa" w:w="80"/>
              <w:left w:type="dxa" w:w="120"/>
              <w:bottom w:type="dxa" w:w="80"/>
              <w:right w:type="dxa" w:w="120"/>
            </w:tcMar>
          </w:tcPr>
          <w:p>
            <w:r>
              <w:rPr>
                <w:b w:val="false"/>
                <w:bCs w:val="false"/>
                <w:sz w:val="20"/>
                <w:szCs w:val="20"/>
              </w:rPr>
              <w:t xml:space="preserve">Experience points awarded for completing learning activities</w:t>
            </w:r>
          </w:p>
        </w:tc>
      </w:tr>
      <w:tr>
        <w:tc>
          <w:tcPr>
            <w:tcW w:type="dxa" w:w="2000"/>
            <w:tcMar>
              <w:top w:type="dxa" w:w="80"/>
              <w:left w:type="dxa" w:w="120"/>
              <w:bottom w:type="dxa" w:w="80"/>
              <w:right w:type="dxa" w:w="120"/>
            </w:tcMar>
          </w:tcPr>
          <w:p>
            <w:r>
              <w:rPr>
                <w:b w:val="false"/>
                <w:bCs w:val="false"/>
                <w:sz w:val="20"/>
                <w:szCs w:val="20"/>
              </w:rPr>
              <w:t xml:space="preserve">NFR</w:t>
            </w:r>
          </w:p>
        </w:tc>
        <w:tc>
          <w:tcPr>
            <w:tcW w:type="dxa" w:w="7240"/>
            <w:tcMar>
              <w:top w:type="dxa" w:w="80"/>
              <w:left w:type="dxa" w:w="120"/>
              <w:bottom w:type="dxa" w:w="80"/>
              <w:right w:type="dxa" w:w="120"/>
            </w:tcMar>
          </w:tcPr>
          <w:p>
            <w:r>
              <w:rPr>
                <w:b w:val="false"/>
                <w:bCs w:val="false"/>
                <w:sz w:val="20"/>
                <w:szCs w:val="20"/>
              </w:rPr>
              <w:t xml:space="preserve">Non-functional requirement</w:t>
            </w:r>
          </w:p>
        </w:tc>
      </w:tr>
      <w:tr>
        <w:tc>
          <w:tcPr>
            <w:tcW w:type="dxa" w:w="2000"/>
            <w:tcMar>
              <w:top w:type="dxa" w:w="80"/>
              <w:left w:type="dxa" w:w="120"/>
              <w:bottom w:type="dxa" w:w="80"/>
              <w:right w:type="dxa" w:w="120"/>
            </w:tcMar>
          </w:tcPr>
          <w:p>
            <w:r>
              <w:rPr>
                <w:b w:val="false"/>
                <w:bCs w:val="false"/>
                <w:sz w:val="20"/>
                <w:szCs w:val="20"/>
              </w:rPr>
              <w:t xml:space="preserve">CDN</w:t>
            </w:r>
          </w:p>
        </w:tc>
        <w:tc>
          <w:tcPr>
            <w:tcW w:type="dxa" w:w="7240"/>
            <w:tcMar>
              <w:top w:type="dxa" w:w="80"/>
              <w:left w:type="dxa" w:w="120"/>
              <w:bottom w:type="dxa" w:w="80"/>
              <w:right w:type="dxa" w:w="120"/>
            </w:tcMar>
          </w:tcPr>
          <w:p>
            <w:r>
              <w:rPr>
                <w:b w:val="false"/>
                <w:bCs w:val="false"/>
                <w:sz w:val="20"/>
                <w:szCs w:val="20"/>
              </w:rPr>
              <w:t xml:space="preserve">Content Delivery Network (used to serve React/Babel without a build step)</w:t>
            </w:r>
          </w:p>
        </w:tc>
      </w:tr>
      <w:tr>
        <w:tc>
          <w:tcPr>
            <w:tcW w:type="dxa" w:w="2000"/>
            <w:tcMar>
              <w:top w:type="dxa" w:w="80"/>
              <w:left w:type="dxa" w:w="120"/>
              <w:bottom w:type="dxa" w:w="80"/>
              <w:right w:type="dxa" w:w="120"/>
            </w:tcMar>
          </w:tcPr>
          <w:p>
            <w:r>
              <w:rPr>
                <w:b w:val="false"/>
                <w:bCs w:val="false"/>
                <w:sz w:val="20"/>
                <w:szCs w:val="20"/>
              </w:rPr>
              <w:t xml:space="preserve">L1 / L2</w:t>
            </w:r>
          </w:p>
        </w:tc>
        <w:tc>
          <w:tcPr>
            <w:tcW w:type="dxa" w:w="7240"/>
            <w:tcMar>
              <w:top w:type="dxa" w:w="80"/>
              <w:left w:type="dxa" w:w="120"/>
              <w:bottom w:type="dxa" w:w="80"/>
              <w:right w:type="dxa" w:w="120"/>
            </w:tcMar>
          </w:tcPr>
          <w:p>
            <w:r>
              <w:rPr>
                <w:b w:val="false"/>
                <w:bCs w:val="false"/>
                <w:sz w:val="20"/>
                <w:szCs w:val="20"/>
              </w:rPr>
              <w:t xml:space="preserve">First language (Sinhala) / second language (English)</w:t>
            </w:r>
          </w:p>
        </w:tc>
      </w:tr>
      <w:tr>
        <w:tc>
          <w:tcPr>
            <w:tcW w:type="dxa" w:w="2000"/>
            <w:tcMar>
              <w:top w:type="dxa" w:w="80"/>
              <w:left w:type="dxa" w:w="120"/>
              <w:bottom w:type="dxa" w:w="80"/>
              <w:right w:type="dxa" w:w="120"/>
            </w:tcMar>
          </w:tcPr>
          <w:p>
            <w:r>
              <w:rPr>
                <w:b w:val="false"/>
                <w:bCs w:val="false"/>
                <w:sz w:val="20"/>
                <w:szCs w:val="20"/>
              </w:rPr>
              <w:t xml:space="preserve">CEFR</w:t>
            </w:r>
          </w:p>
        </w:tc>
        <w:tc>
          <w:tcPr>
            <w:tcW w:type="dxa" w:w="7240"/>
            <w:tcMar>
              <w:top w:type="dxa" w:w="80"/>
              <w:left w:type="dxa" w:w="120"/>
              <w:bottom w:type="dxa" w:w="80"/>
              <w:right w:type="dxa" w:w="120"/>
            </w:tcMar>
          </w:tcPr>
          <w:p>
            <w:r>
              <w:rPr>
                <w:b w:val="false"/>
                <w:bCs w:val="false"/>
                <w:sz w:val="20"/>
                <w:szCs w:val="20"/>
              </w:rPr>
              <w:t xml:space="preserve">Common European Framework of Reference for Languages (A1–C2)</w:t>
            </w:r>
          </w:p>
        </w:tc>
      </w:tr>
      <w:tr>
        <w:tc>
          <w:tcPr>
            <w:tcW w:type="dxa" w:w="2000"/>
            <w:tcMar>
              <w:top w:type="dxa" w:w="80"/>
              <w:left w:type="dxa" w:w="120"/>
              <w:bottom w:type="dxa" w:w="80"/>
              <w:right w:type="dxa" w:w="120"/>
            </w:tcMar>
          </w:tcPr>
          <w:p>
            <w:r>
              <w:rPr>
                <w:b w:val="false"/>
                <w:bCs w:val="false"/>
                <w:sz w:val="20"/>
                <w:szCs w:val="20"/>
              </w:rPr>
              <w:t xml:space="preserve">LMS</w:t>
            </w:r>
          </w:p>
        </w:tc>
        <w:tc>
          <w:tcPr>
            <w:tcW w:type="dxa" w:w="7240"/>
            <w:tcMar>
              <w:top w:type="dxa" w:w="80"/>
              <w:left w:type="dxa" w:w="120"/>
              <w:bottom w:type="dxa" w:w="80"/>
              <w:right w:type="dxa" w:w="120"/>
            </w:tcMar>
          </w:tcPr>
          <w:p>
            <w:r>
              <w:rPr>
                <w:b w:val="false"/>
                <w:bCs w:val="false"/>
                <w:sz w:val="20"/>
                <w:szCs w:val="20"/>
              </w:rPr>
              <w:t xml:space="preserve">Learning Management System</w:t>
            </w:r>
          </w:p>
        </w:tc>
      </w:tr>
    </w:tbl>
    <w:p>
      <w:pPr>
        <w:pStyle w:val="Heading2"/>
        <w:spacing w:after="120" w:before="280"/>
      </w:pPr>
      <w:r>
        <w:rPr>
          <w:color w:val="134E5E"/>
        </w:rPr>
        <w:t xml:space="preserve">1.4 References</w:t>
      </w:r>
    </w:p>
    <w:p>
      <w:pPr>
        <w:pStyle w:val="ListParagraph"/>
        <w:numPr>
          <w:ilvl w:val="0"/>
          <w:numId w:val="2"/>
        </w:numPr>
        <w:spacing w:after="80" w:line="280"/>
      </w:pPr>
      <w:r>
        <w:t xml:space="preserve">IEEE Std 830-1998, Recommended Practice for Software Requirements Specifications</w:t>
      </w:r>
    </w:p>
    <w:p>
      <w:pPr>
        <w:pStyle w:val="ListParagraph"/>
        <w:numPr>
          <w:ilvl w:val="0"/>
          <w:numId w:val="2"/>
        </w:numPr>
        <w:spacing w:after="80" w:line="280"/>
      </w:pPr>
      <w:r>
        <w:t xml:space="preserve">Benchmark platforms analysed: British Council LearnEnglish (LK), BBC Learning English, Duolingo, Talkpal, DP Education (Sri Lanka), Cambridge English, ELSA Speak, italki/Preply, British Way English Academy (online course model), OnlineEnglish.lk</w:t>
      </w:r>
    </w:p>
    <w:p>
      <w:pPr>
        <w:pStyle w:val="Heading2"/>
        <w:spacing w:after="120" w:before="280"/>
      </w:pPr>
      <w:r>
        <w:rPr>
          <w:color w:val="134E5E"/>
        </w:rPr>
        <w:t xml:space="preserve">1.5 Overview</w:t>
      </w:r>
    </w:p>
    <w:p>
      <w:pPr>
        <w:spacing w:after="140" w:line="300"/>
        <w:jc w:val="both"/>
      </w:pPr>
      <w:r>
        <w:t xml:space="preserve">Section 2 describes the product in context, including insights from the competitive analysis. Section 3 specifies functional requirements grouped by feature area. Section 4 lists non-functional requirements. Section 5 covers external interfaces, and Section 6 lists constraints, assumptions and future work.</w:t>
      </w:r>
    </w:p>
    <w:p>
      <w:pPr>
        <w:pStyle w:val="Heading1"/>
        <w:spacing w:after="160" w:before="360"/>
      </w:pPr>
      <w:r>
        <w:rPr>
          <w:color w:val="0D7377"/>
        </w:rPr>
        <w:t xml:space="preserve">2. Overall Description</w:t>
      </w:r>
    </w:p>
    <w:p>
      <w:pPr>
        <w:pStyle w:val="Heading2"/>
        <w:spacing w:after="120" w:before="280"/>
      </w:pPr>
      <w:r>
        <w:rPr>
          <w:color w:val="134E5E"/>
        </w:rPr>
        <w:t xml:space="preserve">2.1 Product Perspective</w:t>
      </w:r>
    </w:p>
    <w:p>
      <w:pPr>
        <w:spacing w:after="140" w:line="300"/>
        <w:jc w:val="both"/>
      </w:pPr>
      <w:r>
        <w:t xml:space="preserve">SinhalaBridge is a new, self-contained product. It is not a component of an existing LMS, though it borrows proven patterns from the platforms analysed. An interactive prototype of the learning roadmap already exists as a standalone HTML file using React, ReactDOM and Babel via CDN, featuring a Sri Lankan-inspired visual identity (saffron, gold, teal), Sinhala script labels, expandable stage cards, completion states and XP tracking. Version 1.0 formalises and extends this prototype.</w:t>
      </w:r>
    </w:p>
    <w:p>
      <w:pPr>
        <w:pStyle w:val="Heading2"/>
        <w:spacing w:after="120" w:before="280"/>
      </w:pPr>
      <w:r>
        <w:rPr>
          <w:color w:val="134E5E"/>
        </w:rPr>
        <w:t xml:space="preserve">2.2 Competitive Analysis Summary</w:t>
      </w:r>
    </w:p>
    <w:p>
      <w:pPr>
        <w:spacing w:after="140" w:line="300"/>
        <w:jc w:val="both"/>
      </w:pPr>
      <w:r>
        <w:t xml:space="preserve">The following patterns were identified across leading platforms and inform the requirements in Section 3:</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040"/>
      </w:tblGrid>
      <w:tr>
        <w:tc>
          <w:tcPr>
            <w:tcW w:type="dxa" w:w="2600"/>
            <w:shd w:fill="E8F4F4" w:val="clear"/>
            <w:tcMar>
              <w:top w:type="dxa" w:w="80"/>
              <w:left w:type="dxa" w:w="120"/>
              <w:bottom w:type="dxa" w:w="80"/>
              <w:right w:type="dxa" w:w="120"/>
            </w:tcMar>
          </w:tcPr>
          <w:p>
            <w:r>
              <w:rPr>
                <w:b/>
                <w:bCs/>
                <w:sz w:val="20"/>
                <w:szCs w:val="20"/>
              </w:rPr>
              <w:t xml:space="preserve">Platform</w:t>
            </w:r>
          </w:p>
        </w:tc>
        <w:tc>
          <w:tcPr>
            <w:tcW w:type="dxa" w:w="3600"/>
            <w:shd w:fill="E8F4F4" w:val="clear"/>
            <w:tcMar>
              <w:top w:type="dxa" w:w="80"/>
              <w:left w:type="dxa" w:w="120"/>
              <w:bottom w:type="dxa" w:w="80"/>
              <w:right w:type="dxa" w:w="120"/>
            </w:tcMar>
          </w:tcPr>
          <w:p>
            <w:r>
              <w:rPr>
                <w:b/>
                <w:bCs/>
                <w:sz w:val="20"/>
                <w:szCs w:val="20"/>
              </w:rPr>
              <w:t xml:space="preserve">Strength Adopted</w:t>
            </w:r>
          </w:p>
        </w:tc>
        <w:tc>
          <w:tcPr>
            <w:tcW w:type="dxa" w:w="3040"/>
            <w:shd w:fill="E8F4F4" w:val="clear"/>
            <w:tcMar>
              <w:top w:type="dxa" w:w="80"/>
              <w:left w:type="dxa" w:w="120"/>
              <w:bottom w:type="dxa" w:w="80"/>
              <w:right w:type="dxa" w:w="120"/>
            </w:tcMar>
          </w:tcPr>
          <w:p>
            <w:r>
              <w:rPr>
                <w:b/>
                <w:bCs/>
                <w:sz w:val="20"/>
                <w:szCs w:val="20"/>
              </w:rPr>
              <w:t xml:space="preserve">Gap SinhalaBridge Fills</w:t>
            </w:r>
          </w:p>
        </w:tc>
      </w:tr>
      <w:tr>
        <w:tc>
          <w:tcPr>
            <w:tcW w:type="dxa" w:w="2600"/>
            <w:tcMar>
              <w:top w:type="dxa" w:w="80"/>
              <w:left w:type="dxa" w:w="120"/>
              <w:bottom w:type="dxa" w:w="80"/>
              <w:right w:type="dxa" w:w="120"/>
            </w:tcMar>
          </w:tcPr>
          <w:p>
            <w:r>
              <w:rPr>
                <w:b w:val="false"/>
                <w:bCs w:val="false"/>
                <w:sz w:val="20"/>
                <w:szCs w:val="20"/>
              </w:rPr>
              <w:t xml:space="preserve">British Council / BBC</w:t>
            </w:r>
          </w:p>
        </w:tc>
        <w:tc>
          <w:tcPr>
            <w:tcW w:type="dxa" w:w="3600"/>
            <w:tcMar>
              <w:top w:type="dxa" w:w="80"/>
              <w:left w:type="dxa" w:w="120"/>
              <w:bottom w:type="dxa" w:w="80"/>
              <w:right w:type="dxa" w:w="120"/>
            </w:tcMar>
          </w:tcPr>
          <w:p>
            <w:r>
              <w:rPr>
                <w:b w:val="false"/>
                <w:bCs w:val="false"/>
                <w:sz w:val="20"/>
                <w:szCs w:val="20"/>
              </w:rPr>
              <w:t xml:space="preserve">Structured, level-based curriculum; free graded materials; trusted certification model</w:t>
            </w:r>
          </w:p>
        </w:tc>
        <w:tc>
          <w:tcPr>
            <w:tcW w:type="dxa" w:w="3040"/>
            <w:tcMar>
              <w:top w:type="dxa" w:w="80"/>
              <w:left w:type="dxa" w:w="120"/>
              <w:bottom w:type="dxa" w:w="80"/>
              <w:right w:type="dxa" w:w="120"/>
            </w:tcMar>
          </w:tcPr>
          <w:p>
            <w:r>
              <w:rPr>
                <w:b w:val="false"/>
                <w:bCs w:val="false"/>
                <w:sz w:val="20"/>
                <w:szCs w:val="20"/>
              </w:rPr>
              <w:t xml:space="preserve">No Sinhala-medium instruction; sequence not tailored to Sinhala speakers' transfer errors</w:t>
            </w:r>
          </w:p>
        </w:tc>
      </w:tr>
      <w:tr>
        <w:tc>
          <w:tcPr>
            <w:tcW w:type="dxa" w:w="2600"/>
            <w:tcMar>
              <w:top w:type="dxa" w:w="80"/>
              <w:left w:type="dxa" w:w="120"/>
              <w:bottom w:type="dxa" w:w="80"/>
              <w:right w:type="dxa" w:w="120"/>
            </w:tcMar>
          </w:tcPr>
          <w:p>
            <w:r>
              <w:rPr>
                <w:b w:val="false"/>
                <w:bCs w:val="false"/>
                <w:sz w:val="20"/>
                <w:szCs w:val="20"/>
              </w:rPr>
              <w:t xml:space="preserve">Duolingo</w:t>
            </w:r>
          </w:p>
        </w:tc>
        <w:tc>
          <w:tcPr>
            <w:tcW w:type="dxa" w:w="3600"/>
            <w:tcMar>
              <w:top w:type="dxa" w:w="80"/>
              <w:left w:type="dxa" w:w="120"/>
              <w:bottom w:type="dxa" w:w="80"/>
              <w:right w:type="dxa" w:w="120"/>
            </w:tcMar>
          </w:tcPr>
          <w:p>
            <w:r>
              <w:rPr>
                <w:b w:val="false"/>
                <w:bCs w:val="false"/>
                <w:sz w:val="20"/>
                <w:szCs w:val="20"/>
              </w:rPr>
              <w:t xml:space="preserve">Gamification: XP, streaks, bite-sized lessons, progress path</w:t>
            </w:r>
          </w:p>
        </w:tc>
        <w:tc>
          <w:tcPr>
            <w:tcW w:type="dxa" w:w="3040"/>
            <w:tcMar>
              <w:top w:type="dxa" w:w="80"/>
              <w:left w:type="dxa" w:w="120"/>
              <w:bottom w:type="dxa" w:w="80"/>
              <w:right w:type="dxa" w:w="120"/>
            </w:tcMar>
          </w:tcPr>
          <w:p>
            <w:r>
              <w:rPr>
                <w:b w:val="false"/>
                <w:bCs w:val="false"/>
                <w:sz w:val="20"/>
                <w:szCs w:val="20"/>
              </w:rPr>
              <w:t xml:space="preserve">Weak on essay/letter writing; no L1-specific translation practice</w:t>
            </w:r>
          </w:p>
        </w:tc>
      </w:tr>
      <w:tr>
        <w:tc>
          <w:tcPr>
            <w:tcW w:type="dxa" w:w="2600"/>
            <w:tcMar>
              <w:top w:type="dxa" w:w="80"/>
              <w:left w:type="dxa" w:w="120"/>
              <w:bottom w:type="dxa" w:w="80"/>
              <w:right w:type="dxa" w:w="120"/>
            </w:tcMar>
          </w:tcPr>
          <w:p>
            <w:r>
              <w:rPr>
                <w:b w:val="false"/>
                <w:bCs w:val="false"/>
                <w:sz w:val="20"/>
                <w:szCs w:val="20"/>
              </w:rPr>
              <w:t xml:space="preserve">Talkpal / ELSA</w:t>
            </w:r>
          </w:p>
        </w:tc>
        <w:tc>
          <w:tcPr>
            <w:tcW w:type="dxa" w:w="3600"/>
            <w:tcMar>
              <w:top w:type="dxa" w:w="80"/>
              <w:left w:type="dxa" w:w="120"/>
              <w:bottom w:type="dxa" w:w="80"/>
              <w:right w:type="dxa" w:w="120"/>
            </w:tcMar>
          </w:tcPr>
          <w:p>
            <w:r>
              <w:rPr>
                <w:b w:val="false"/>
                <w:bCs w:val="false"/>
                <w:sz w:val="20"/>
                <w:szCs w:val="20"/>
              </w:rPr>
              <w:t xml:space="preserve">AI conversation and pronunciation feedback; personalised paths</w:t>
            </w:r>
          </w:p>
        </w:tc>
        <w:tc>
          <w:tcPr>
            <w:tcW w:type="dxa" w:w="3040"/>
            <w:tcMar>
              <w:top w:type="dxa" w:w="80"/>
              <w:left w:type="dxa" w:w="120"/>
              <w:bottom w:type="dxa" w:w="80"/>
              <w:right w:type="dxa" w:w="120"/>
            </w:tcMar>
          </w:tcPr>
          <w:p>
            <w:r>
              <w:rPr>
                <w:b w:val="false"/>
                <w:bCs w:val="false"/>
                <w:sz w:val="20"/>
                <w:szCs w:val="20"/>
              </w:rPr>
              <w:t xml:space="preserve">Generic curriculum; no fixed pedagogical progression</w:t>
            </w:r>
          </w:p>
        </w:tc>
      </w:tr>
      <w:tr>
        <w:tc>
          <w:tcPr>
            <w:tcW w:type="dxa" w:w="2600"/>
            <w:tcMar>
              <w:top w:type="dxa" w:w="80"/>
              <w:left w:type="dxa" w:w="120"/>
              <w:bottom w:type="dxa" w:w="80"/>
              <w:right w:type="dxa" w:w="120"/>
            </w:tcMar>
          </w:tcPr>
          <w:p>
            <w:r>
              <w:rPr>
                <w:b w:val="false"/>
                <w:bCs w:val="false"/>
                <w:sz w:val="20"/>
                <w:szCs w:val="20"/>
              </w:rPr>
              <w:t xml:space="preserve">DP Education (LK)</w:t>
            </w:r>
          </w:p>
        </w:tc>
        <w:tc>
          <w:tcPr>
            <w:tcW w:type="dxa" w:w="3600"/>
            <w:tcMar>
              <w:top w:type="dxa" w:w="80"/>
              <w:left w:type="dxa" w:w="120"/>
              <w:bottom w:type="dxa" w:w="80"/>
              <w:right w:type="dxa" w:w="120"/>
            </w:tcMar>
          </w:tcPr>
          <w:p>
            <w:r>
              <w:rPr>
                <w:b w:val="false"/>
                <w:bCs w:val="false"/>
                <w:sz w:val="20"/>
                <w:szCs w:val="20"/>
              </w:rPr>
              <w:t xml:space="preserve">Free access mission; local relevance; video lessons</w:t>
            </w:r>
          </w:p>
        </w:tc>
        <w:tc>
          <w:tcPr>
            <w:tcW w:type="dxa" w:w="3040"/>
            <w:tcMar>
              <w:top w:type="dxa" w:w="80"/>
              <w:left w:type="dxa" w:w="120"/>
              <w:bottom w:type="dxa" w:w="80"/>
              <w:right w:type="dxa" w:w="120"/>
            </w:tcMar>
          </w:tcPr>
          <w:p>
            <w:r>
              <w:rPr>
                <w:b w:val="false"/>
                <w:bCs w:val="false"/>
                <w:sz w:val="20"/>
                <w:szCs w:val="20"/>
              </w:rPr>
              <w:t xml:space="preserve">Lacks interactive practice, progress tracking and structured writing stages</w:t>
            </w:r>
          </w:p>
        </w:tc>
      </w:tr>
      <w:tr>
        <w:tc>
          <w:tcPr>
            <w:tcW w:type="dxa" w:w="2600"/>
            <w:tcMar>
              <w:top w:type="dxa" w:w="80"/>
              <w:left w:type="dxa" w:w="120"/>
              <w:bottom w:type="dxa" w:w="80"/>
              <w:right w:type="dxa" w:w="120"/>
            </w:tcMar>
          </w:tcPr>
          <w:p>
            <w:r>
              <w:rPr>
                <w:b w:val="false"/>
                <w:bCs w:val="false"/>
                <w:sz w:val="20"/>
                <w:szCs w:val="20"/>
              </w:rPr>
              <w:t xml:space="preserve">italki / Preply</w:t>
            </w:r>
          </w:p>
        </w:tc>
        <w:tc>
          <w:tcPr>
            <w:tcW w:type="dxa" w:w="3600"/>
            <w:tcMar>
              <w:top w:type="dxa" w:w="80"/>
              <w:left w:type="dxa" w:w="120"/>
              <w:bottom w:type="dxa" w:w="80"/>
              <w:right w:type="dxa" w:w="120"/>
            </w:tcMar>
          </w:tcPr>
          <w:p>
            <w:r>
              <w:rPr>
                <w:b w:val="false"/>
                <w:bCs w:val="false"/>
                <w:sz w:val="20"/>
                <w:szCs w:val="20"/>
              </w:rPr>
              <w:t xml:space="preserve">Human feedback on productive skills (speaking/writing)</w:t>
            </w:r>
          </w:p>
        </w:tc>
        <w:tc>
          <w:tcPr>
            <w:tcW w:type="dxa" w:w="3040"/>
            <w:tcMar>
              <w:top w:type="dxa" w:w="80"/>
              <w:left w:type="dxa" w:w="120"/>
              <w:bottom w:type="dxa" w:w="80"/>
              <w:right w:type="dxa" w:w="120"/>
            </w:tcMar>
          </w:tcPr>
          <w:p>
            <w:r>
              <w:rPr>
                <w:b w:val="false"/>
                <w:bCs w:val="false"/>
                <w:sz w:val="20"/>
                <w:szCs w:val="20"/>
              </w:rPr>
              <w:t xml:space="preserve">Costly; SinhalaBridge offers guided → solo writing scaffolding instead</w:t>
            </w:r>
          </w:p>
        </w:tc>
      </w:tr>
    </w:tbl>
    <w:p>
      <w:pPr>
        <w:pStyle w:val="Heading2"/>
        <w:spacing w:after="120" w:before="280"/>
      </w:pPr>
      <w:r>
        <w:rPr>
          <w:color w:val="134E5E"/>
        </w:rPr>
        <w:t xml:space="preserve">2.3 Product Functions (Summary)</w:t>
      </w:r>
    </w:p>
    <w:p>
      <w:pPr>
        <w:pStyle w:val="ListParagraph"/>
        <w:numPr>
          <w:ilvl w:val="0"/>
          <w:numId w:val="2"/>
        </w:numPr>
        <w:spacing w:after="80" w:line="280"/>
      </w:pPr>
      <w:r>
        <w:t xml:space="preserve">Deliver the eight-stage curriculum as an interactive, sequential roadmap with locked/unlocked stages.</w:t>
      </w:r>
    </w:p>
    <w:p>
      <w:pPr>
        <w:pStyle w:val="ListParagraph"/>
        <w:numPr>
          <w:ilvl w:val="0"/>
          <w:numId w:val="2"/>
        </w:numPr>
        <w:spacing w:after="80" w:line="280"/>
      </w:pPr>
      <w:r>
        <w:t xml:space="preserve">Provide lessons, examples and exercises bilingually (Sinhala explanations, English target content).</w:t>
      </w:r>
    </w:p>
    <w:p>
      <w:pPr>
        <w:pStyle w:val="ListParagraph"/>
        <w:numPr>
          <w:ilvl w:val="0"/>
          <w:numId w:val="2"/>
        </w:numPr>
        <w:spacing w:after="80" w:line="280"/>
      </w:pPr>
      <w:r>
        <w:t xml:space="preserve">Offer exercise types per stage: multiple choice, gap-fill, sentence reordering, translation input, and structured writing tasks.</w:t>
      </w:r>
    </w:p>
    <w:p>
      <w:pPr>
        <w:pStyle w:val="ListParagraph"/>
        <w:numPr>
          <w:ilvl w:val="0"/>
          <w:numId w:val="2"/>
        </w:numPr>
        <w:spacing w:after="80" w:line="280"/>
      </w:pPr>
      <w:r>
        <w:t xml:space="preserve">Track progress, XP, streaks and stage completion; persist across sessions.</w:t>
      </w:r>
    </w:p>
    <w:p>
      <w:pPr>
        <w:pStyle w:val="ListParagraph"/>
        <w:numPr>
          <w:ilvl w:val="0"/>
          <w:numId w:val="2"/>
        </w:numPr>
        <w:spacing w:after="80" w:line="280"/>
      </w:pPr>
      <w:r>
        <w:t xml:space="preserve">Give automated feedback on objective exercises and rubric-guided feedback on writing stages.</w:t>
      </w:r>
    </w:p>
    <w:p>
      <w:pPr>
        <w:pStyle w:val="ListParagraph"/>
        <w:numPr>
          <w:ilvl w:val="0"/>
          <w:numId w:val="2"/>
        </w:numPr>
        <w:spacing w:after="80" w:line="280"/>
      </w:pPr>
      <w:r>
        <w:t xml:space="preserve">Provide an admin interface for authoring and updating lesson content.</w:t>
      </w:r>
    </w:p>
    <w:p>
      <w:pPr>
        <w:pStyle w:val="Heading2"/>
        <w:spacing w:after="120" w:before="280"/>
      </w:pPr>
      <w:r>
        <w:rPr>
          <w:color w:val="134E5E"/>
        </w:rPr>
        <w:t xml:space="preserve">2.4 User Classes and Characteristics</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c>
          <w:tcPr>
            <w:tcW w:type="dxa" w:w="2400"/>
            <w:shd w:fill="E8F4F4" w:val="clear"/>
            <w:tcMar>
              <w:top w:type="dxa" w:w="80"/>
              <w:left w:type="dxa" w:w="120"/>
              <w:bottom w:type="dxa" w:w="80"/>
              <w:right w:type="dxa" w:w="120"/>
            </w:tcMar>
          </w:tcPr>
          <w:p>
            <w:r>
              <w:rPr>
                <w:b/>
                <w:bCs/>
                <w:sz w:val="20"/>
                <w:szCs w:val="20"/>
              </w:rPr>
              <w:t xml:space="preserve">User Class</w:t>
            </w:r>
          </w:p>
        </w:tc>
        <w:tc>
          <w:tcPr>
            <w:tcW w:type="dxa" w:w="6840"/>
            <w:shd w:fill="E8F4F4" w:val="clear"/>
            <w:tcMar>
              <w:top w:type="dxa" w:w="80"/>
              <w:left w:type="dxa" w:w="120"/>
              <w:bottom w:type="dxa" w:w="80"/>
              <w:right w:type="dxa" w:w="120"/>
            </w:tcMar>
          </w:tcPr>
          <w:p>
            <w:r>
              <w:rPr>
                <w:b/>
                <w:bCs/>
                <w:sz w:val="20"/>
                <w:szCs w:val="20"/>
              </w:rPr>
              <w:t xml:space="preserve">Characteristics</w:t>
            </w:r>
          </w:p>
        </w:tc>
      </w:tr>
      <w:tr>
        <w:tc>
          <w:tcPr>
            <w:tcW w:type="dxa" w:w="2400"/>
            <w:tcMar>
              <w:top w:type="dxa" w:w="80"/>
              <w:left w:type="dxa" w:w="120"/>
              <w:bottom w:type="dxa" w:w="80"/>
              <w:right w:type="dxa" w:w="120"/>
            </w:tcMar>
          </w:tcPr>
          <w:p>
            <w:r>
              <w:rPr>
                <w:b w:val="false"/>
                <w:bCs w:val="false"/>
                <w:sz w:val="20"/>
                <w:szCs w:val="20"/>
              </w:rPr>
              <w:t xml:space="preserve">Learner (primary)</w:t>
            </w:r>
          </w:p>
        </w:tc>
        <w:tc>
          <w:tcPr>
            <w:tcW w:type="dxa" w:w="6840"/>
            <w:tcMar>
              <w:top w:type="dxa" w:w="80"/>
              <w:left w:type="dxa" w:w="120"/>
              <w:bottom w:type="dxa" w:w="80"/>
              <w:right w:type="dxa" w:w="120"/>
            </w:tcMar>
          </w:tcPr>
          <w:p>
            <w:r>
              <w:rPr>
                <w:b w:val="false"/>
                <w:bCs w:val="false"/>
                <w:sz w:val="20"/>
                <w:szCs w:val="20"/>
              </w:rPr>
              <w:t xml:space="preserve">Native Sinhala speaker, teens to adults, beginner–intermediate English (CEFR A1–B1), variable digital literacy, often on low-bandwidth mobile connections</w:t>
            </w:r>
          </w:p>
        </w:tc>
      </w:tr>
      <w:tr>
        <w:tc>
          <w:tcPr>
            <w:tcW w:type="dxa" w:w="2400"/>
            <w:tcMar>
              <w:top w:type="dxa" w:w="80"/>
              <w:left w:type="dxa" w:w="120"/>
              <w:bottom w:type="dxa" w:w="80"/>
              <w:right w:type="dxa" w:w="120"/>
            </w:tcMar>
          </w:tcPr>
          <w:p>
            <w:r>
              <w:rPr>
                <w:b w:val="false"/>
                <w:bCs w:val="false"/>
                <w:sz w:val="20"/>
                <w:szCs w:val="20"/>
              </w:rPr>
              <w:t xml:space="preserve">Content Author / Admin</w:t>
            </w:r>
          </w:p>
        </w:tc>
        <w:tc>
          <w:tcPr>
            <w:tcW w:type="dxa" w:w="6840"/>
            <w:tcMar>
              <w:top w:type="dxa" w:w="80"/>
              <w:left w:type="dxa" w:w="120"/>
              <w:bottom w:type="dxa" w:w="80"/>
              <w:right w:type="dxa" w:w="120"/>
            </w:tcMar>
          </w:tcPr>
          <w:p>
            <w:r>
              <w:rPr>
                <w:b w:val="false"/>
                <w:bCs w:val="false"/>
                <w:sz w:val="20"/>
                <w:szCs w:val="20"/>
              </w:rPr>
              <w:t xml:space="preserve">Creates and edits lessons, exercises and translations; manages stage content; reviews learner analytics</w:t>
            </w:r>
          </w:p>
        </w:tc>
      </w:tr>
      <w:tr>
        <w:tc>
          <w:tcPr>
            <w:tcW w:type="dxa" w:w="2400"/>
            <w:tcMar>
              <w:top w:type="dxa" w:w="80"/>
              <w:left w:type="dxa" w:w="120"/>
              <w:bottom w:type="dxa" w:w="80"/>
              <w:right w:type="dxa" w:w="120"/>
            </w:tcMar>
          </w:tcPr>
          <w:p>
            <w:r>
              <w:rPr>
                <w:b w:val="false"/>
                <w:bCs w:val="false"/>
                <w:sz w:val="20"/>
                <w:szCs w:val="20"/>
              </w:rPr>
              <w:t xml:space="preserve">Guest</w:t>
            </w:r>
          </w:p>
        </w:tc>
        <w:tc>
          <w:tcPr>
            <w:tcW w:type="dxa" w:w="6840"/>
            <w:tcMar>
              <w:top w:type="dxa" w:w="80"/>
              <w:left w:type="dxa" w:w="120"/>
              <w:bottom w:type="dxa" w:w="80"/>
              <w:right w:type="dxa" w:w="120"/>
            </w:tcMar>
          </w:tcPr>
          <w:p>
            <w:r>
              <w:rPr>
                <w:b w:val="false"/>
                <w:bCs w:val="false"/>
                <w:sz w:val="20"/>
                <w:szCs w:val="20"/>
              </w:rPr>
              <w:t xml:space="preserve">Unregistered visitor; can preview Stage 1 sample lessons before signing up</w:t>
            </w:r>
          </w:p>
        </w:tc>
      </w:tr>
    </w:tbl>
    <w:p>
      <w:pPr>
        <w:pStyle w:val="Heading2"/>
        <w:spacing w:after="120" w:before="280"/>
      </w:pPr>
      <w:r>
        <w:rPr>
          <w:color w:val="134E5E"/>
        </w:rPr>
        <w:t xml:space="preserve">2.5 Operating Environment</w:t>
      </w:r>
    </w:p>
    <w:p>
      <w:pPr>
        <w:pStyle w:val="ListParagraph"/>
        <w:numPr>
          <w:ilvl w:val="0"/>
          <w:numId w:val="2"/>
        </w:numPr>
        <w:spacing w:after="80" w:line="280"/>
      </w:pPr>
      <w:r>
        <w:t xml:space="preserve">Client: modern browsers (Chrome, Edge, Firefox, Safari) on desktop and Android/iOS mobile browsers; minimum 360 px viewport.</w:t>
      </w:r>
    </w:p>
    <w:p>
      <w:pPr>
        <w:pStyle w:val="ListParagraph"/>
        <w:numPr>
          <w:ilvl w:val="0"/>
          <w:numId w:val="2"/>
        </w:numPr>
        <w:spacing w:after="80" w:line="280"/>
      </w:pPr>
      <w:r>
        <w:t xml:space="preserve">Prototype delivery: static HTML + React/ReactDOM/Babel via cdnjs.cloudflare.com (UMD builds); requires internet connection.</w:t>
      </w:r>
    </w:p>
    <w:p>
      <w:pPr>
        <w:pStyle w:val="ListParagraph"/>
        <w:numPr>
          <w:ilvl w:val="0"/>
          <w:numId w:val="2"/>
        </w:numPr>
        <w:spacing w:after="80" w:line="280"/>
      </w:pPr>
      <w:r>
        <w:t xml:space="preserve">Production target (post-V1): hosted web app with API backend and database for accounts and progress.</w:t>
      </w:r>
    </w:p>
    <w:p>
      <w:pPr>
        <w:pStyle w:val="Heading2"/>
        <w:spacing w:after="120" w:before="280"/>
      </w:pPr>
      <w:r>
        <w:rPr>
          <w:color w:val="134E5E"/>
        </w:rPr>
        <w:t xml:space="preserve">2.6 Design and Implementation Constraints</w:t>
      </w:r>
    </w:p>
    <w:p>
      <w:pPr>
        <w:pStyle w:val="ListParagraph"/>
        <w:numPr>
          <w:ilvl w:val="0"/>
          <w:numId w:val="2"/>
        </w:numPr>
        <w:spacing w:after="80" w:line="280"/>
      </w:pPr>
      <w:r>
        <w:t xml:space="preserve">The eight-stage sequence is fixed and must not be reorganised by design, code, or content decisions.</w:t>
      </w:r>
    </w:p>
    <w:p>
      <w:pPr>
        <w:pStyle w:val="ListParagraph"/>
        <w:numPr>
          <w:ilvl w:val="0"/>
          <w:numId w:val="2"/>
        </w:numPr>
        <w:spacing w:after="80" w:line="280"/>
      </w:pPr>
      <w:r>
        <w:t xml:space="preserve">All UI must correctly render Sinhala Unicode script alongside Latin script (font fallbacks: Noto Sans Sinhala or equivalent).</w:t>
      </w:r>
    </w:p>
    <w:p>
      <w:pPr>
        <w:pStyle w:val="ListParagraph"/>
        <w:numPr>
          <w:ilvl w:val="0"/>
          <w:numId w:val="2"/>
        </w:numPr>
        <w:spacing w:after="80" w:line="280"/>
      </w:pPr>
      <w:r>
        <w:t xml:space="preserve">Prototype phase must remain buildless (no Node.js toolchain required to open the app).</w:t>
      </w:r>
    </w:p>
    <w:p>
      <w:pPr>
        <w:pStyle w:val="ListParagraph"/>
        <w:numPr>
          <w:ilvl w:val="0"/>
          <w:numId w:val="2"/>
        </w:numPr>
        <w:spacing w:after="80" w:line="280"/>
      </w:pPr>
      <w:r>
        <w:t xml:space="preserve">Design language: Sri Lankan-inspired palette (saffron, gold, teal) established in the existing prototype.</w:t>
      </w:r>
    </w:p>
    <w:p>
      <w:pPr>
        <w:pStyle w:val="Heading2"/>
        <w:spacing w:after="120" w:before="280"/>
      </w:pPr>
      <w:r>
        <w:rPr>
          <w:color w:val="134E5E"/>
        </w:rPr>
        <w:t xml:space="preserve">2.7 Assumptions and Dependencies</w:t>
      </w:r>
    </w:p>
    <w:p>
      <w:pPr>
        <w:pStyle w:val="ListParagraph"/>
        <w:numPr>
          <w:ilvl w:val="0"/>
          <w:numId w:val="2"/>
        </w:numPr>
        <w:spacing w:after="80" w:line="280"/>
      </w:pPr>
      <w:r>
        <w:t xml:space="preserve">Learners have intermittent but recurring internet access; offline mode is a future enhancement, not V1.</w:t>
      </w:r>
    </w:p>
    <w:p>
      <w:pPr>
        <w:pStyle w:val="ListParagraph"/>
        <w:numPr>
          <w:ilvl w:val="0"/>
          <w:numId w:val="2"/>
        </w:numPr>
        <w:spacing w:after="80" w:line="280"/>
      </w:pPr>
      <w:r>
        <w:t xml:space="preserve">Lesson content will be authored by the product owner initially; no third-party content licensing in V1.</w:t>
      </w:r>
    </w:p>
    <w:p>
      <w:pPr>
        <w:pStyle w:val="ListParagraph"/>
        <w:numPr>
          <w:ilvl w:val="0"/>
          <w:numId w:val="2"/>
        </w:numPr>
        <w:spacing w:after="80" w:line="280"/>
      </w:pPr>
      <w:r>
        <w:t xml:space="preserve">CDN availability (cdnjs) is assumed for the prototype phase.</w:t>
      </w:r>
    </w:p>
    <w:p>
      <w:pPr>
        <w:pStyle w:val="Heading1"/>
        <w:spacing w:after="160" w:before="360"/>
      </w:pPr>
      <w:r>
        <w:rPr>
          <w:color w:val="0D7377"/>
        </w:rPr>
        <w:t xml:space="preserve">3. Functional Requirements</w:t>
      </w:r>
    </w:p>
    <w:p>
      <w:pPr>
        <w:pStyle w:val="Heading2"/>
        <w:spacing w:after="120" w:before="280"/>
      </w:pPr>
      <w:r>
        <w:rPr>
          <w:color w:val="134E5E"/>
        </w:rPr>
        <w:t xml:space="preserve">3.1 Curriculum Roadmap (FR-RM)</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FR-RM-01</w:t>
            </w:r>
          </w:p>
        </w:tc>
        <w:tc>
          <w:tcPr>
            <w:tcW w:type="dxa" w:w="6540"/>
            <w:tcMar>
              <w:top w:type="dxa" w:w="80"/>
              <w:left w:type="dxa" w:w="120"/>
              <w:bottom w:type="dxa" w:w="80"/>
              <w:right w:type="dxa" w:w="120"/>
            </w:tcMar>
          </w:tcPr>
          <w:p>
            <w:r>
              <w:rPr>
                <w:b w:val="false"/>
                <w:bCs w:val="false"/>
                <w:sz w:val="20"/>
                <w:szCs w:val="20"/>
              </w:rPr>
              <w:t xml:space="preserve">The system shall present the eight stages as a visual roadmap in the fixed order: tenses; complex sentences; adjectives/adverbs/prepositions; passive voice; Sinhala-to-English translation; guided essays; solo essays; formal letter writing.</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FR-RM-02</w:t>
            </w:r>
          </w:p>
        </w:tc>
        <w:tc>
          <w:tcPr>
            <w:tcW w:type="dxa" w:w="6540"/>
            <w:tcMar>
              <w:top w:type="dxa" w:w="80"/>
              <w:left w:type="dxa" w:w="120"/>
              <w:bottom w:type="dxa" w:w="80"/>
              <w:right w:type="dxa" w:w="120"/>
            </w:tcMar>
          </w:tcPr>
          <w:p>
            <w:r>
              <w:rPr>
                <w:b w:val="false"/>
                <w:bCs w:val="false"/>
                <w:sz w:val="20"/>
                <w:szCs w:val="20"/>
              </w:rPr>
              <w:t xml:space="preserve">Each stage card shall be expandable to show its description, lesson list, and completion status.</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FR-RM-03</w:t>
            </w:r>
          </w:p>
        </w:tc>
        <w:tc>
          <w:tcPr>
            <w:tcW w:type="dxa" w:w="6540"/>
            <w:tcMar>
              <w:top w:type="dxa" w:w="80"/>
              <w:left w:type="dxa" w:w="120"/>
              <w:bottom w:type="dxa" w:w="80"/>
              <w:right w:type="dxa" w:w="120"/>
            </w:tcMar>
          </w:tcPr>
          <w:p>
            <w:r>
              <w:rPr>
                <w:b w:val="false"/>
                <w:bCs w:val="false"/>
                <w:sz w:val="20"/>
                <w:szCs w:val="20"/>
              </w:rPr>
              <w:t xml:space="preserve">Stages shall unlock sequentially; a stage becomes available only when the previous stage is marked complete. An optional 'explore mode' toggle may allow preview of locked content without earning XP.</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FR-RM-04</w:t>
            </w:r>
          </w:p>
        </w:tc>
        <w:tc>
          <w:tcPr>
            <w:tcW w:type="dxa" w:w="6540"/>
            <w:tcMar>
              <w:top w:type="dxa" w:w="80"/>
              <w:left w:type="dxa" w:w="120"/>
              <w:bottom w:type="dxa" w:w="80"/>
              <w:right w:type="dxa" w:w="120"/>
            </w:tcMar>
          </w:tcPr>
          <w:p>
            <w:r>
              <w:rPr>
                <w:b w:val="false"/>
                <w:bCs w:val="false"/>
                <w:sz w:val="20"/>
                <w:szCs w:val="20"/>
              </w:rPr>
              <w:t xml:space="preserve">Stage titles and descriptions shall be displayed bilingually (Sinhala and English).</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FR-RM-05</w:t>
            </w:r>
          </w:p>
        </w:tc>
        <w:tc>
          <w:tcPr>
            <w:tcW w:type="dxa" w:w="6540"/>
            <w:tcMar>
              <w:top w:type="dxa" w:w="80"/>
              <w:left w:type="dxa" w:w="120"/>
              <w:bottom w:type="dxa" w:w="80"/>
              <w:right w:type="dxa" w:w="120"/>
            </w:tcMar>
          </w:tcPr>
          <w:p>
            <w:r>
              <w:rPr>
                <w:b w:val="false"/>
                <w:bCs w:val="false"/>
                <w:sz w:val="20"/>
                <w:szCs w:val="20"/>
              </w:rPr>
              <w:t xml:space="preserve">The roadmap shall visually indicate three states per stage: locked, in progress, completed.</w:t>
            </w:r>
          </w:p>
        </w:tc>
        <w:tc>
          <w:tcPr>
            <w:tcW w:type="dxa" w:w="1200"/>
            <w:tcMar>
              <w:top w:type="dxa" w:w="80"/>
              <w:left w:type="dxa" w:w="120"/>
              <w:bottom w:type="dxa" w:w="80"/>
              <w:right w:type="dxa" w:w="120"/>
            </w:tcMar>
          </w:tcPr>
          <w:p>
            <w:r>
              <w:rPr>
                <w:b w:val="false"/>
                <w:bCs w:val="false"/>
                <w:sz w:val="20"/>
                <w:szCs w:val="20"/>
              </w:rPr>
              <w:t xml:space="preserve">Must</w:t>
            </w:r>
          </w:p>
        </w:tc>
      </w:tr>
    </w:tbl>
    <w:p>
      <w:pPr>
        <w:pStyle w:val="Heading2"/>
        <w:spacing w:after="120" w:before="280"/>
      </w:pPr>
      <w:r>
        <w:rPr>
          <w:color w:val="134E5E"/>
        </w:rPr>
        <w:t xml:space="preserve">3.2 Lessons and Content (FR-LC)</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FR-LC-01</w:t>
            </w:r>
          </w:p>
        </w:tc>
        <w:tc>
          <w:tcPr>
            <w:tcW w:type="dxa" w:w="6540"/>
            <w:tcMar>
              <w:top w:type="dxa" w:w="80"/>
              <w:left w:type="dxa" w:w="120"/>
              <w:bottom w:type="dxa" w:w="80"/>
              <w:right w:type="dxa" w:w="120"/>
            </w:tcMar>
          </w:tcPr>
          <w:p>
            <w:r>
              <w:rPr>
                <w:b w:val="false"/>
                <w:bCs w:val="false"/>
                <w:sz w:val="20"/>
                <w:szCs w:val="20"/>
              </w:rPr>
              <w:t xml:space="preserve">Each stage shall contain one or more lessons consisting of an explanation (Sinhala-medium), worked examples (English with Sinhala glosses), and a practice set.</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FR-LC-02</w:t>
            </w:r>
          </w:p>
        </w:tc>
        <w:tc>
          <w:tcPr>
            <w:tcW w:type="dxa" w:w="6540"/>
            <w:tcMar>
              <w:top w:type="dxa" w:w="80"/>
              <w:left w:type="dxa" w:w="120"/>
              <w:bottom w:type="dxa" w:w="80"/>
              <w:right w:type="dxa" w:w="120"/>
            </w:tcMar>
          </w:tcPr>
          <w:p>
            <w:r>
              <w:rPr>
                <w:b w:val="false"/>
                <w:bCs w:val="false"/>
                <w:sz w:val="20"/>
                <w:szCs w:val="20"/>
              </w:rPr>
              <w:t xml:space="preserve">Grammar explanations shall explicitly contrast Sinhala and English structures where transfer errors are common (e.g., word order, articles, tense marking).</w:t>
            </w:r>
          </w:p>
        </w:tc>
        <w:tc>
          <w:tcPr>
            <w:tcW w:type="dxa" w:w="1200"/>
            <w:tcMar>
              <w:top w:type="dxa" w:w="80"/>
              <w:left w:type="dxa" w:w="120"/>
              <w:bottom w:type="dxa" w:w="80"/>
              <w:right w:type="dxa" w:w="120"/>
            </w:tcMar>
          </w:tcPr>
          <w:p>
            <w:r>
              <w:rPr>
                <w:b w:val="false"/>
                <w:bCs w:val="false"/>
                <w:sz w:val="20"/>
                <w:szCs w:val="20"/>
              </w:rPr>
              <w:t xml:space="preserve">Should</w:t>
            </w:r>
          </w:p>
        </w:tc>
      </w:tr>
      <w:tr>
        <w:tc>
          <w:tcPr>
            <w:tcW w:type="dxa" w:w="1500"/>
            <w:tcMar>
              <w:top w:type="dxa" w:w="80"/>
              <w:left w:type="dxa" w:w="120"/>
              <w:bottom w:type="dxa" w:w="80"/>
              <w:right w:type="dxa" w:w="120"/>
            </w:tcMar>
          </w:tcPr>
          <w:p>
            <w:r>
              <w:rPr>
                <w:b/>
                <w:bCs/>
                <w:sz w:val="20"/>
                <w:szCs w:val="20"/>
              </w:rPr>
              <w:t xml:space="preserve">FR-LC-03</w:t>
            </w:r>
          </w:p>
        </w:tc>
        <w:tc>
          <w:tcPr>
            <w:tcW w:type="dxa" w:w="6540"/>
            <w:tcMar>
              <w:top w:type="dxa" w:w="80"/>
              <w:left w:type="dxa" w:w="120"/>
              <w:bottom w:type="dxa" w:w="80"/>
              <w:right w:type="dxa" w:w="120"/>
            </w:tcMar>
          </w:tcPr>
          <w:p>
            <w:r>
              <w:rPr>
                <w:b w:val="false"/>
                <w:bCs w:val="false"/>
                <w:sz w:val="20"/>
                <w:szCs w:val="20"/>
              </w:rPr>
              <w:t xml:space="preserve">Lessons shall be consumable in under 10 minutes each (bite-sized, following the Duolingo pattern).</w:t>
            </w:r>
          </w:p>
        </w:tc>
        <w:tc>
          <w:tcPr>
            <w:tcW w:type="dxa" w:w="1200"/>
            <w:tcMar>
              <w:top w:type="dxa" w:w="80"/>
              <w:left w:type="dxa" w:w="120"/>
              <w:bottom w:type="dxa" w:w="80"/>
              <w:right w:type="dxa" w:w="120"/>
            </w:tcMar>
          </w:tcPr>
          <w:p>
            <w:r>
              <w:rPr>
                <w:b w:val="false"/>
                <w:bCs w:val="false"/>
                <w:sz w:val="20"/>
                <w:szCs w:val="20"/>
              </w:rPr>
              <w:t xml:space="preserve">Should</w:t>
            </w:r>
          </w:p>
        </w:tc>
      </w:tr>
      <w:tr>
        <w:tc>
          <w:tcPr>
            <w:tcW w:type="dxa" w:w="1500"/>
            <w:tcMar>
              <w:top w:type="dxa" w:w="80"/>
              <w:left w:type="dxa" w:w="120"/>
              <w:bottom w:type="dxa" w:w="80"/>
              <w:right w:type="dxa" w:w="120"/>
            </w:tcMar>
          </w:tcPr>
          <w:p>
            <w:r>
              <w:rPr>
                <w:b/>
                <w:bCs/>
                <w:sz w:val="20"/>
                <w:szCs w:val="20"/>
              </w:rPr>
              <w:t xml:space="preserve">FR-LC-04</w:t>
            </w:r>
          </w:p>
        </w:tc>
        <w:tc>
          <w:tcPr>
            <w:tcW w:type="dxa" w:w="6540"/>
            <w:tcMar>
              <w:top w:type="dxa" w:w="80"/>
              <w:left w:type="dxa" w:w="120"/>
              <w:bottom w:type="dxa" w:w="80"/>
              <w:right w:type="dxa" w:w="120"/>
            </w:tcMar>
          </w:tcPr>
          <w:p>
            <w:r>
              <w:rPr>
                <w:b w:val="false"/>
                <w:bCs w:val="false"/>
                <w:sz w:val="20"/>
                <w:szCs w:val="20"/>
              </w:rPr>
              <w:t xml:space="preserve">Audio pronunciation of example sentences shall be available via recorded or synthesised speech.</w:t>
            </w:r>
          </w:p>
        </w:tc>
        <w:tc>
          <w:tcPr>
            <w:tcW w:type="dxa" w:w="1200"/>
            <w:tcMar>
              <w:top w:type="dxa" w:w="80"/>
              <w:left w:type="dxa" w:w="120"/>
              <w:bottom w:type="dxa" w:w="80"/>
              <w:right w:type="dxa" w:w="120"/>
            </w:tcMar>
          </w:tcPr>
          <w:p>
            <w:r>
              <w:rPr>
                <w:b w:val="false"/>
                <w:bCs w:val="false"/>
                <w:sz w:val="20"/>
                <w:szCs w:val="20"/>
              </w:rPr>
              <w:t xml:space="preserve">Could</w:t>
            </w:r>
          </w:p>
        </w:tc>
      </w:tr>
    </w:tbl>
    <w:p>
      <w:pPr>
        <w:pStyle w:val="Heading2"/>
        <w:spacing w:after="120" w:before="280"/>
      </w:pPr>
      <w:r>
        <w:rPr>
          <w:color w:val="134E5E"/>
        </w:rPr>
        <w:t xml:space="preserve">3.3 Exercises and Assessment (FR-EX)</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FR-EX-01</w:t>
            </w:r>
          </w:p>
        </w:tc>
        <w:tc>
          <w:tcPr>
            <w:tcW w:type="dxa" w:w="6540"/>
            <w:tcMar>
              <w:top w:type="dxa" w:w="80"/>
              <w:left w:type="dxa" w:w="120"/>
              <w:bottom w:type="dxa" w:w="80"/>
              <w:right w:type="dxa" w:w="120"/>
            </w:tcMar>
          </w:tcPr>
          <w:p>
            <w:r>
              <w:rPr>
                <w:b w:val="false"/>
                <w:bCs w:val="false"/>
                <w:sz w:val="20"/>
                <w:szCs w:val="20"/>
              </w:rPr>
              <w:t xml:space="preserve">The system shall support multiple-choice, gap-fill, and sentence-reordering exercises with instant automated marking.</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FR-EX-02</w:t>
            </w:r>
          </w:p>
        </w:tc>
        <w:tc>
          <w:tcPr>
            <w:tcW w:type="dxa" w:w="6540"/>
            <w:tcMar>
              <w:top w:type="dxa" w:w="80"/>
              <w:left w:type="dxa" w:w="120"/>
              <w:bottom w:type="dxa" w:w="80"/>
              <w:right w:type="dxa" w:w="120"/>
            </w:tcMar>
          </w:tcPr>
          <w:p>
            <w:r>
              <w:rPr>
                <w:b w:val="false"/>
                <w:bCs w:val="false"/>
                <w:sz w:val="20"/>
                <w:szCs w:val="20"/>
              </w:rPr>
              <w:t xml:space="preserve">Stage 5 shall provide Sinhala sentences for the learner to translate into English via free-text input, with model answers and difference highlighting shown after submission.</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FR-EX-03</w:t>
            </w:r>
          </w:p>
        </w:tc>
        <w:tc>
          <w:tcPr>
            <w:tcW w:type="dxa" w:w="6540"/>
            <w:tcMar>
              <w:top w:type="dxa" w:w="80"/>
              <w:left w:type="dxa" w:w="120"/>
              <w:bottom w:type="dxa" w:w="80"/>
              <w:right w:type="dxa" w:w="120"/>
            </w:tcMar>
          </w:tcPr>
          <w:p>
            <w:r>
              <w:rPr>
                <w:b w:val="false"/>
                <w:bCs w:val="false"/>
                <w:sz w:val="20"/>
                <w:szCs w:val="20"/>
              </w:rPr>
              <w:t xml:space="preserve">Stage 6 (guided essays) shall provide scaffolds: outlines, sentence starters, connective word banks, and paragraph frames.</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FR-EX-04</w:t>
            </w:r>
          </w:p>
        </w:tc>
        <w:tc>
          <w:tcPr>
            <w:tcW w:type="dxa" w:w="6540"/>
            <w:tcMar>
              <w:top w:type="dxa" w:w="80"/>
              <w:left w:type="dxa" w:w="120"/>
              <w:bottom w:type="dxa" w:w="80"/>
              <w:right w:type="dxa" w:w="120"/>
            </w:tcMar>
          </w:tcPr>
          <w:p>
            <w:r>
              <w:rPr>
                <w:b w:val="false"/>
                <w:bCs w:val="false"/>
                <w:sz w:val="20"/>
                <w:szCs w:val="20"/>
              </w:rPr>
              <w:t xml:space="preserve">Stage 7 (solo essays) and Stage 8 (formal letters) shall accept free writing against a prompt and display a self-assessment rubric (structure, grammar, vocabulary, task fulfilment).</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FR-EX-05</w:t>
            </w:r>
          </w:p>
        </w:tc>
        <w:tc>
          <w:tcPr>
            <w:tcW w:type="dxa" w:w="6540"/>
            <w:tcMar>
              <w:top w:type="dxa" w:w="80"/>
              <w:left w:type="dxa" w:w="120"/>
              <w:bottom w:type="dxa" w:w="80"/>
              <w:right w:type="dxa" w:w="120"/>
            </w:tcMar>
          </w:tcPr>
          <w:p>
            <w:r>
              <w:rPr>
                <w:b w:val="false"/>
                <w:bCs w:val="false"/>
                <w:sz w:val="20"/>
                <w:szCs w:val="20"/>
              </w:rPr>
              <w:t xml:space="preserve">A stage completion test shall gate progression, requiring a configurable pass mark (default 80%).</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FR-EX-06</w:t>
            </w:r>
          </w:p>
        </w:tc>
        <w:tc>
          <w:tcPr>
            <w:tcW w:type="dxa" w:w="6540"/>
            <w:tcMar>
              <w:top w:type="dxa" w:w="80"/>
              <w:left w:type="dxa" w:w="120"/>
              <w:bottom w:type="dxa" w:w="80"/>
              <w:right w:type="dxa" w:w="120"/>
            </w:tcMar>
          </w:tcPr>
          <w:p>
            <w:r>
              <w:rPr>
                <w:b w:val="false"/>
                <w:bCs w:val="false"/>
                <w:sz w:val="20"/>
                <w:szCs w:val="20"/>
              </w:rPr>
              <w:t xml:space="preserve">The system may provide AI-assisted feedback on free-text translation and writing submissions (grammar suggestions, alternative phrasings).</w:t>
            </w:r>
          </w:p>
        </w:tc>
        <w:tc>
          <w:tcPr>
            <w:tcW w:type="dxa" w:w="1200"/>
            <w:tcMar>
              <w:top w:type="dxa" w:w="80"/>
              <w:left w:type="dxa" w:w="120"/>
              <w:bottom w:type="dxa" w:w="80"/>
              <w:right w:type="dxa" w:w="120"/>
            </w:tcMar>
          </w:tcPr>
          <w:p>
            <w:r>
              <w:rPr>
                <w:b w:val="false"/>
                <w:bCs w:val="false"/>
                <w:sz w:val="20"/>
                <w:szCs w:val="20"/>
              </w:rPr>
              <w:t xml:space="preserve">Could</w:t>
            </w:r>
          </w:p>
        </w:tc>
      </w:tr>
    </w:tbl>
    <w:p>
      <w:pPr>
        <w:pStyle w:val="Heading2"/>
        <w:spacing w:after="120" w:before="280"/>
      </w:pPr>
      <w:r>
        <w:rPr>
          <w:color w:val="134E5E"/>
        </w:rPr>
        <w:t xml:space="preserve">3.4 Progress, Gamification and Motivation (FR-PG)</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FR-PG-01</w:t>
            </w:r>
          </w:p>
        </w:tc>
        <w:tc>
          <w:tcPr>
            <w:tcW w:type="dxa" w:w="6540"/>
            <w:tcMar>
              <w:top w:type="dxa" w:w="80"/>
              <w:left w:type="dxa" w:w="120"/>
              <w:bottom w:type="dxa" w:w="80"/>
              <w:right w:type="dxa" w:w="120"/>
            </w:tcMar>
          </w:tcPr>
          <w:p>
            <w:r>
              <w:rPr>
                <w:b w:val="false"/>
                <w:bCs w:val="false"/>
                <w:sz w:val="20"/>
                <w:szCs w:val="20"/>
              </w:rPr>
              <w:t xml:space="preserve">The system shall award XP for completed lessons, exercises and stage tests, and display cumulative XP.</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FR-PG-02</w:t>
            </w:r>
          </w:p>
        </w:tc>
        <w:tc>
          <w:tcPr>
            <w:tcW w:type="dxa" w:w="6540"/>
            <w:tcMar>
              <w:top w:type="dxa" w:w="80"/>
              <w:left w:type="dxa" w:w="120"/>
              <w:bottom w:type="dxa" w:w="80"/>
              <w:right w:type="dxa" w:w="120"/>
            </w:tcMar>
          </w:tcPr>
          <w:p>
            <w:r>
              <w:rPr>
                <w:b w:val="false"/>
                <w:bCs w:val="false"/>
                <w:sz w:val="20"/>
                <w:szCs w:val="20"/>
              </w:rPr>
              <w:t xml:space="preserve">The system shall track a daily streak and display it prominently (Duolingo pattern).</w:t>
            </w:r>
          </w:p>
        </w:tc>
        <w:tc>
          <w:tcPr>
            <w:tcW w:type="dxa" w:w="1200"/>
            <w:tcMar>
              <w:top w:type="dxa" w:w="80"/>
              <w:left w:type="dxa" w:w="120"/>
              <w:bottom w:type="dxa" w:w="80"/>
              <w:right w:type="dxa" w:w="120"/>
            </w:tcMar>
          </w:tcPr>
          <w:p>
            <w:r>
              <w:rPr>
                <w:b w:val="false"/>
                <w:bCs w:val="false"/>
                <w:sz w:val="20"/>
                <w:szCs w:val="20"/>
              </w:rPr>
              <w:t xml:space="preserve">Should</w:t>
            </w:r>
          </w:p>
        </w:tc>
      </w:tr>
      <w:tr>
        <w:tc>
          <w:tcPr>
            <w:tcW w:type="dxa" w:w="1500"/>
            <w:tcMar>
              <w:top w:type="dxa" w:w="80"/>
              <w:left w:type="dxa" w:w="120"/>
              <w:bottom w:type="dxa" w:w="80"/>
              <w:right w:type="dxa" w:w="120"/>
            </w:tcMar>
          </w:tcPr>
          <w:p>
            <w:r>
              <w:rPr>
                <w:b/>
                <w:bCs/>
                <w:sz w:val="20"/>
                <w:szCs w:val="20"/>
              </w:rPr>
              <w:t xml:space="preserve">FR-PG-03</w:t>
            </w:r>
          </w:p>
        </w:tc>
        <w:tc>
          <w:tcPr>
            <w:tcW w:type="dxa" w:w="6540"/>
            <w:tcMar>
              <w:top w:type="dxa" w:w="80"/>
              <w:left w:type="dxa" w:w="120"/>
              <w:bottom w:type="dxa" w:w="80"/>
              <w:right w:type="dxa" w:w="120"/>
            </w:tcMar>
          </w:tcPr>
          <w:p>
            <w:r>
              <w:rPr>
                <w:b w:val="false"/>
                <w:bCs w:val="false"/>
                <w:sz w:val="20"/>
                <w:szCs w:val="20"/>
              </w:rPr>
              <w:t xml:space="preserve">Progress (stage states, XP, streaks) shall persist across sessions: browser local persistence in the prototype, account-based storage in production.</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FR-PG-04</w:t>
            </w:r>
          </w:p>
        </w:tc>
        <w:tc>
          <w:tcPr>
            <w:tcW w:type="dxa" w:w="6540"/>
            <w:tcMar>
              <w:top w:type="dxa" w:w="80"/>
              <w:left w:type="dxa" w:w="120"/>
              <w:bottom w:type="dxa" w:w="80"/>
              <w:right w:type="dxa" w:w="120"/>
            </w:tcMar>
          </w:tcPr>
          <w:p>
            <w:r>
              <w:rPr>
                <w:b w:val="false"/>
                <w:bCs w:val="false"/>
                <w:sz w:val="20"/>
                <w:szCs w:val="20"/>
              </w:rPr>
              <w:t xml:space="preserve">The system shall display a per-stage progress percentage and an overall course completion indicator.</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FR-PG-05</w:t>
            </w:r>
          </w:p>
        </w:tc>
        <w:tc>
          <w:tcPr>
            <w:tcW w:type="dxa" w:w="6540"/>
            <w:tcMar>
              <w:top w:type="dxa" w:w="80"/>
              <w:left w:type="dxa" w:w="120"/>
              <w:bottom w:type="dxa" w:w="80"/>
              <w:right w:type="dxa" w:w="120"/>
            </w:tcMar>
          </w:tcPr>
          <w:p>
            <w:r>
              <w:rPr>
                <w:b w:val="false"/>
                <w:bCs w:val="false"/>
                <w:sz w:val="20"/>
                <w:szCs w:val="20"/>
              </w:rPr>
              <w:t xml:space="preserve">On completing Stage 8, the system shall generate a completion certificate bearing the learner's name (British Council certification pattern, informal).</w:t>
            </w:r>
          </w:p>
        </w:tc>
        <w:tc>
          <w:tcPr>
            <w:tcW w:type="dxa" w:w="1200"/>
            <w:tcMar>
              <w:top w:type="dxa" w:w="80"/>
              <w:left w:type="dxa" w:w="120"/>
              <w:bottom w:type="dxa" w:w="80"/>
              <w:right w:type="dxa" w:w="120"/>
            </w:tcMar>
          </w:tcPr>
          <w:p>
            <w:r>
              <w:rPr>
                <w:b w:val="false"/>
                <w:bCs w:val="false"/>
                <w:sz w:val="20"/>
                <w:szCs w:val="20"/>
              </w:rPr>
              <w:t xml:space="preserve">Could</w:t>
            </w:r>
          </w:p>
        </w:tc>
      </w:tr>
    </w:tbl>
    <w:p>
      <w:pPr>
        <w:pStyle w:val="Heading2"/>
        <w:spacing w:after="120" w:before="280"/>
      </w:pPr>
      <w:r>
        <w:rPr>
          <w:color w:val="134E5E"/>
        </w:rPr>
        <w:t xml:space="preserve">3.5 Accounts and Personalisation (FR-AC)</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FR-AC-01</w:t>
            </w:r>
          </w:p>
        </w:tc>
        <w:tc>
          <w:tcPr>
            <w:tcW w:type="dxa" w:w="6540"/>
            <w:tcMar>
              <w:top w:type="dxa" w:w="80"/>
              <w:left w:type="dxa" w:w="120"/>
              <w:bottom w:type="dxa" w:w="80"/>
              <w:right w:type="dxa" w:w="120"/>
            </w:tcMar>
          </w:tcPr>
          <w:p>
            <w:r>
              <w:rPr>
                <w:b w:val="false"/>
                <w:bCs w:val="false"/>
                <w:sz w:val="20"/>
                <w:szCs w:val="20"/>
              </w:rPr>
              <w:t xml:space="preserve">Learners shall be able to register and log in with email and password (production phase).</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FR-AC-02</w:t>
            </w:r>
          </w:p>
        </w:tc>
        <w:tc>
          <w:tcPr>
            <w:tcW w:type="dxa" w:w="6540"/>
            <w:tcMar>
              <w:top w:type="dxa" w:w="80"/>
              <w:left w:type="dxa" w:w="120"/>
              <w:bottom w:type="dxa" w:w="80"/>
              <w:right w:type="dxa" w:w="120"/>
            </w:tcMar>
          </w:tcPr>
          <w:p>
            <w:r>
              <w:rPr>
                <w:b w:val="false"/>
                <w:bCs w:val="false"/>
                <w:sz w:val="20"/>
                <w:szCs w:val="20"/>
              </w:rPr>
              <w:t xml:space="preserve">Guests shall be able to preview designated sample lessons in Stage 1 without an account.</w:t>
            </w:r>
          </w:p>
        </w:tc>
        <w:tc>
          <w:tcPr>
            <w:tcW w:type="dxa" w:w="1200"/>
            <w:tcMar>
              <w:top w:type="dxa" w:w="80"/>
              <w:left w:type="dxa" w:w="120"/>
              <w:bottom w:type="dxa" w:w="80"/>
              <w:right w:type="dxa" w:w="120"/>
            </w:tcMar>
          </w:tcPr>
          <w:p>
            <w:r>
              <w:rPr>
                <w:b w:val="false"/>
                <w:bCs w:val="false"/>
                <w:sz w:val="20"/>
                <w:szCs w:val="20"/>
              </w:rPr>
              <w:t xml:space="preserve">Should</w:t>
            </w:r>
          </w:p>
        </w:tc>
      </w:tr>
      <w:tr>
        <w:tc>
          <w:tcPr>
            <w:tcW w:type="dxa" w:w="1500"/>
            <w:tcMar>
              <w:top w:type="dxa" w:w="80"/>
              <w:left w:type="dxa" w:w="120"/>
              <w:bottom w:type="dxa" w:w="80"/>
              <w:right w:type="dxa" w:w="120"/>
            </w:tcMar>
          </w:tcPr>
          <w:p>
            <w:r>
              <w:rPr>
                <w:b/>
                <w:bCs/>
                <w:sz w:val="20"/>
                <w:szCs w:val="20"/>
              </w:rPr>
              <w:t xml:space="preserve">FR-AC-03</w:t>
            </w:r>
          </w:p>
        </w:tc>
        <w:tc>
          <w:tcPr>
            <w:tcW w:type="dxa" w:w="6540"/>
            <w:tcMar>
              <w:top w:type="dxa" w:w="80"/>
              <w:left w:type="dxa" w:w="120"/>
              <w:bottom w:type="dxa" w:w="80"/>
              <w:right w:type="dxa" w:w="120"/>
            </w:tcMar>
          </w:tcPr>
          <w:p>
            <w:r>
              <w:rPr>
                <w:b w:val="false"/>
                <w:bCs w:val="false"/>
                <w:sz w:val="20"/>
                <w:szCs w:val="20"/>
              </w:rPr>
              <w:t xml:space="preserve">Learners shall be able to set the interface language of explanations (Sinhala-first by default; English-only optional).</w:t>
            </w:r>
          </w:p>
        </w:tc>
        <w:tc>
          <w:tcPr>
            <w:tcW w:type="dxa" w:w="1200"/>
            <w:tcMar>
              <w:top w:type="dxa" w:w="80"/>
              <w:left w:type="dxa" w:w="120"/>
              <w:bottom w:type="dxa" w:w="80"/>
              <w:right w:type="dxa" w:w="120"/>
            </w:tcMar>
          </w:tcPr>
          <w:p>
            <w:r>
              <w:rPr>
                <w:b w:val="false"/>
                <w:bCs w:val="false"/>
                <w:sz w:val="20"/>
                <w:szCs w:val="20"/>
              </w:rPr>
              <w:t xml:space="preserve">Should</w:t>
            </w:r>
          </w:p>
        </w:tc>
      </w:tr>
    </w:tbl>
    <w:p>
      <w:pPr>
        <w:pStyle w:val="Heading2"/>
        <w:spacing w:after="120" w:before="280"/>
      </w:pPr>
      <w:r>
        <w:rPr>
          <w:color w:val="134E5E"/>
        </w:rPr>
        <w:t xml:space="preserve">3.6 Content Administration (FR-AD)</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FR-AD-01</w:t>
            </w:r>
          </w:p>
        </w:tc>
        <w:tc>
          <w:tcPr>
            <w:tcW w:type="dxa" w:w="6540"/>
            <w:tcMar>
              <w:top w:type="dxa" w:w="80"/>
              <w:left w:type="dxa" w:w="120"/>
              <w:bottom w:type="dxa" w:w="80"/>
              <w:right w:type="dxa" w:w="120"/>
            </w:tcMar>
          </w:tcPr>
          <w:p>
            <w:r>
              <w:rPr>
                <w:b w:val="false"/>
                <w:bCs w:val="false"/>
                <w:sz w:val="20"/>
                <w:szCs w:val="20"/>
              </w:rPr>
              <w:t xml:space="preserve">Admins shall be able to create, edit and archive lessons and exercises per stage without code changes (structured content format, e.g., JSON, in the prototype; CMS UI in production).</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FR-AD-02</w:t>
            </w:r>
          </w:p>
        </w:tc>
        <w:tc>
          <w:tcPr>
            <w:tcW w:type="dxa" w:w="6540"/>
            <w:tcMar>
              <w:top w:type="dxa" w:w="80"/>
              <w:left w:type="dxa" w:w="120"/>
              <w:bottom w:type="dxa" w:w="80"/>
              <w:right w:type="dxa" w:w="120"/>
            </w:tcMar>
          </w:tcPr>
          <w:p>
            <w:r>
              <w:rPr>
                <w:b w:val="false"/>
                <w:bCs w:val="false"/>
                <w:sz w:val="20"/>
                <w:szCs w:val="20"/>
              </w:rPr>
              <w:t xml:space="preserve">Admins shall be able to view aggregate learner analytics: stage completion rates, common wrong answers, drop-off points.</w:t>
            </w:r>
          </w:p>
        </w:tc>
        <w:tc>
          <w:tcPr>
            <w:tcW w:type="dxa" w:w="1200"/>
            <w:tcMar>
              <w:top w:type="dxa" w:w="80"/>
              <w:left w:type="dxa" w:w="120"/>
              <w:bottom w:type="dxa" w:w="80"/>
              <w:right w:type="dxa" w:w="120"/>
            </w:tcMar>
          </w:tcPr>
          <w:p>
            <w:r>
              <w:rPr>
                <w:b w:val="false"/>
                <w:bCs w:val="false"/>
                <w:sz w:val="20"/>
                <w:szCs w:val="20"/>
              </w:rPr>
              <w:t xml:space="preserve">Should</w:t>
            </w:r>
          </w:p>
        </w:tc>
      </w:tr>
    </w:tbl>
    <w:p>
      <w:pPr>
        <w:pStyle w:val="Heading1"/>
        <w:spacing w:after="160" w:before="360"/>
      </w:pPr>
      <w:r>
        <w:rPr>
          <w:color w:val="0D7377"/>
        </w:rPr>
        <w:t xml:space="preserve">4. Non-Functional Requirements</w:t>
      </w:r>
    </w:p>
    <w:p>
      <w:pPr>
        <w:pStyle w:val="Heading2"/>
        <w:spacing w:after="120" w:before="280"/>
      </w:pPr>
      <w:r>
        <w:rPr>
          <w:color w:val="134E5E"/>
        </w:rPr>
        <w:t xml:space="preserve">4.1 Performance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NFR-01</w:t>
            </w:r>
          </w:p>
        </w:tc>
        <w:tc>
          <w:tcPr>
            <w:tcW w:type="dxa" w:w="6540"/>
            <w:tcMar>
              <w:top w:type="dxa" w:w="80"/>
              <w:left w:type="dxa" w:w="120"/>
              <w:bottom w:type="dxa" w:w="80"/>
              <w:right w:type="dxa" w:w="120"/>
            </w:tcMar>
          </w:tcPr>
          <w:p>
            <w:r>
              <w:rPr>
                <w:b w:val="false"/>
                <w:bCs w:val="false"/>
                <w:sz w:val="20"/>
                <w:szCs w:val="20"/>
              </w:rPr>
              <w:t xml:space="preserve">Initial page load shall complete within 5 seconds on a 3G connection (~750 kbps), reflecting Sri Lankan mobile network conditions.</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NFR-02</w:t>
            </w:r>
          </w:p>
        </w:tc>
        <w:tc>
          <w:tcPr>
            <w:tcW w:type="dxa" w:w="6540"/>
            <w:tcMar>
              <w:top w:type="dxa" w:w="80"/>
              <w:left w:type="dxa" w:w="120"/>
              <w:bottom w:type="dxa" w:w="80"/>
              <w:right w:type="dxa" w:w="120"/>
            </w:tcMar>
          </w:tcPr>
          <w:p>
            <w:r>
              <w:rPr>
                <w:b w:val="false"/>
                <w:bCs w:val="false"/>
                <w:sz w:val="20"/>
                <w:szCs w:val="20"/>
              </w:rPr>
              <w:t xml:space="preserve">Exercise feedback shall render within 300 ms of submission for automated marking.</w:t>
            </w:r>
          </w:p>
        </w:tc>
        <w:tc>
          <w:tcPr>
            <w:tcW w:type="dxa" w:w="1200"/>
            <w:tcMar>
              <w:top w:type="dxa" w:w="80"/>
              <w:left w:type="dxa" w:w="120"/>
              <w:bottom w:type="dxa" w:w="80"/>
              <w:right w:type="dxa" w:w="120"/>
            </w:tcMar>
          </w:tcPr>
          <w:p>
            <w:r>
              <w:rPr>
                <w:b w:val="false"/>
                <w:bCs w:val="false"/>
                <w:sz w:val="20"/>
                <w:szCs w:val="20"/>
              </w:rPr>
              <w:t xml:space="preserve">Should</w:t>
            </w:r>
          </w:p>
        </w:tc>
      </w:tr>
    </w:tbl>
    <w:p>
      <w:pPr>
        <w:pStyle w:val="Heading2"/>
        <w:spacing w:after="120" w:before="280"/>
      </w:pPr>
      <w:r>
        <w:rPr>
          <w:color w:val="134E5E"/>
        </w:rPr>
        <w:t xml:space="preserve">4.2 Usability and Accessibility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NFR-03</w:t>
            </w:r>
          </w:p>
        </w:tc>
        <w:tc>
          <w:tcPr>
            <w:tcW w:type="dxa" w:w="6540"/>
            <w:tcMar>
              <w:top w:type="dxa" w:w="80"/>
              <w:left w:type="dxa" w:w="120"/>
              <w:bottom w:type="dxa" w:w="80"/>
              <w:right w:type="dxa" w:w="120"/>
            </w:tcMar>
          </w:tcPr>
          <w:p>
            <w:r>
              <w:rPr>
                <w:b w:val="false"/>
                <w:bCs w:val="false"/>
                <w:sz w:val="20"/>
                <w:szCs w:val="20"/>
              </w:rPr>
              <w:t xml:space="preserve">The UI shall be fully usable on a 360 px-wide mobile viewport with touch targets of at least 44 px.</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NFR-04</w:t>
            </w:r>
          </w:p>
        </w:tc>
        <w:tc>
          <w:tcPr>
            <w:tcW w:type="dxa" w:w="6540"/>
            <w:tcMar>
              <w:top w:type="dxa" w:w="80"/>
              <w:left w:type="dxa" w:w="120"/>
              <w:bottom w:type="dxa" w:w="80"/>
              <w:right w:type="dxa" w:w="120"/>
            </w:tcMar>
          </w:tcPr>
          <w:p>
            <w:r>
              <w:rPr>
                <w:b w:val="false"/>
                <w:bCs w:val="false"/>
                <w:sz w:val="20"/>
                <w:szCs w:val="20"/>
              </w:rPr>
              <w:t xml:space="preserve">Sinhala text shall render correctly with proper conjunct/ligature shaping on all supported browsers.</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NFR-05</w:t>
            </w:r>
          </w:p>
        </w:tc>
        <w:tc>
          <w:tcPr>
            <w:tcW w:type="dxa" w:w="6540"/>
            <w:tcMar>
              <w:top w:type="dxa" w:w="80"/>
              <w:left w:type="dxa" w:w="120"/>
              <w:bottom w:type="dxa" w:w="80"/>
              <w:right w:type="dxa" w:w="120"/>
            </w:tcMar>
          </w:tcPr>
          <w:p>
            <w:r>
              <w:rPr>
                <w:b w:val="false"/>
                <w:bCs w:val="false"/>
                <w:sz w:val="20"/>
                <w:szCs w:val="20"/>
              </w:rPr>
              <w:t xml:space="preserve">The interface shall meet WCAG 2.1 AA colour-contrast requirements within the saffron/gold/teal palette.</w:t>
            </w:r>
          </w:p>
        </w:tc>
        <w:tc>
          <w:tcPr>
            <w:tcW w:type="dxa" w:w="1200"/>
            <w:tcMar>
              <w:top w:type="dxa" w:w="80"/>
              <w:left w:type="dxa" w:w="120"/>
              <w:bottom w:type="dxa" w:w="80"/>
              <w:right w:type="dxa" w:w="120"/>
            </w:tcMar>
          </w:tcPr>
          <w:p>
            <w:r>
              <w:rPr>
                <w:b w:val="false"/>
                <w:bCs w:val="false"/>
                <w:sz w:val="20"/>
                <w:szCs w:val="20"/>
              </w:rPr>
              <w:t xml:space="preserve">Should</w:t>
            </w:r>
          </w:p>
        </w:tc>
      </w:tr>
      <w:tr>
        <w:tc>
          <w:tcPr>
            <w:tcW w:type="dxa" w:w="1500"/>
            <w:tcMar>
              <w:top w:type="dxa" w:w="80"/>
              <w:left w:type="dxa" w:w="120"/>
              <w:bottom w:type="dxa" w:w="80"/>
              <w:right w:type="dxa" w:w="120"/>
            </w:tcMar>
          </w:tcPr>
          <w:p>
            <w:r>
              <w:rPr>
                <w:b/>
                <w:bCs/>
                <w:sz w:val="20"/>
                <w:szCs w:val="20"/>
              </w:rPr>
              <w:t xml:space="preserve">NFR-06</w:t>
            </w:r>
          </w:p>
        </w:tc>
        <w:tc>
          <w:tcPr>
            <w:tcW w:type="dxa" w:w="6540"/>
            <w:tcMar>
              <w:top w:type="dxa" w:w="80"/>
              <w:left w:type="dxa" w:w="120"/>
              <w:bottom w:type="dxa" w:w="80"/>
              <w:right w:type="dxa" w:w="120"/>
            </w:tcMar>
          </w:tcPr>
          <w:p>
            <w:r>
              <w:rPr>
                <w:b w:val="false"/>
                <w:bCs w:val="false"/>
                <w:sz w:val="20"/>
                <w:szCs w:val="20"/>
              </w:rPr>
              <w:t xml:space="preserve">A first-time learner shall be able to start Lesson 1 within 2 minutes of arrival without instructions.</w:t>
            </w:r>
          </w:p>
        </w:tc>
        <w:tc>
          <w:tcPr>
            <w:tcW w:type="dxa" w:w="1200"/>
            <w:tcMar>
              <w:top w:type="dxa" w:w="80"/>
              <w:left w:type="dxa" w:w="120"/>
              <w:bottom w:type="dxa" w:w="80"/>
              <w:right w:type="dxa" w:w="120"/>
            </w:tcMar>
          </w:tcPr>
          <w:p>
            <w:r>
              <w:rPr>
                <w:b w:val="false"/>
                <w:bCs w:val="false"/>
                <w:sz w:val="20"/>
                <w:szCs w:val="20"/>
              </w:rPr>
              <w:t xml:space="preserve">Should</w:t>
            </w:r>
          </w:p>
        </w:tc>
      </w:tr>
    </w:tbl>
    <w:p>
      <w:pPr>
        <w:pStyle w:val="Heading2"/>
        <w:spacing w:after="120" w:before="280"/>
      </w:pPr>
      <w:r>
        <w:rPr>
          <w:color w:val="134E5E"/>
        </w:rPr>
        <w:t xml:space="preserve">4.3 Reliability and Data</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NFR-07</w:t>
            </w:r>
          </w:p>
        </w:tc>
        <w:tc>
          <w:tcPr>
            <w:tcW w:type="dxa" w:w="6540"/>
            <w:tcMar>
              <w:top w:type="dxa" w:w="80"/>
              <w:left w:type="dxa" w:w="120"/>
              <w:bottom w:type="dxa" w:w="80"/>
              <w:right w:type="dxa" w:w="120"/>
            </w:tcMar>
          </w:tcPr>
          <w:p>
            <w:r>
              <w:rPr>
                <w:b w:val="false"/>
                <w:bCs w:val="false"/>
                <w:sz w:val="20"/>
                <w:szCs w:val="20"/>
              </w:rPr>
              <w:t xml:space="preserve">Learner progress shall not be lost on page refresh or browser restart.</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NFR-08</w:t>
            </w:r>
          </w:p>
        </w:tc>
        <w:tc>
          <w:tcPr>
            <w:tcW w:type="dxa" w:w="6540"/>
            <w:tcMar>
              <w:top w:type="dxa" w:w="80"/>
              <w:left w:type="dxa" w:w="120"/>
              <w:bottom w:type="dxa" w:w="80"/>
              <w:right w:type="dxa" w:w="120"/>
            </w:tcMar>
          </w:tcPr>
          <w:p>
            <w:r>
              <w:rPr>
                <w:b w:val="false"/>
                <w:bCs w:val="false"/>
                <w:sz w:val="20"/>
                <w:szCs w:val="20"/>
              </w:rPr>
              <w:t xml:space="preserve">Production service availability target: 99% monthly uptime.</w:t>
            </w:r>
          </w:p>
        </w:tc>
        <w:tc>
          <w:tcPr>
            <w:tcW w:type="dxa" w:w="1200"/>
            <w:tcMar>
              <w:top w:type="dxa" w:w="80"/>
              <w:left w:type="dxa" w:w="120"/>
              <w:bottom w:type="dxa" w:w="80"/>
              <w:right w:type="dxa" w:w="120"/>
            </w:tcMar>
          </w:tcPr>
          <w:p>
            <w:r>
              <w:rPr>
                <w:b w:val="false"/>
                <w:bCs w:val="false"/>
                <w:sz w:val="20"/>
                <w:szCs w:val="20"/>
              </w:rPr>
              <w:t xml:space="preserve">Should</w:t>
            </w:r>
          </w:p>
        </w:tc>
      </w:tr>
    </w:tbl>
    <w:p>
      <w:pPr>
        <w:pStyle w:val="Heading2"/>
        <w:spacing w:after="120" w:before="280"/>
      </w:pPr>
      <w:r>
        <w:rPr>
          <w:color w:val="134E5E"/>
        </w:rPr>
        <w:t xml:space="preserve">4.4 Security and Privacy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NFR-09</w:t>
            </w:r>
          </w:p>
        </w:tc>
        <w:tc>
          <w:tcPr>
            <w:tcW w:type="dxa" w:w="6540"/>
            <w:tcMar>
              <w:top w:type="dxa" w:w="80"/>
              <w:left w:type="dxa" w:w="120"/>
              <w:bottom w:type="dxa" w:w="80"/>
              <w:right w:type="dxa" w:w="120"/>
            </w:tcMar>
          </w:tcPr>
          <w:p>
            <w:r>
              <w:rPr>
                <w:b w:val="false"/>
                <w:bCs w:val="false"/>
                <w:sz w:val="20"/>
                <w:szCs w:val="20"/>
              </w:rPr>
              <w:t xml:space="preserve">Passwords shall be stored using a modern adaptive hash (e.g., bcrypt/argon2); all traffic shall use HTTPS (production).</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NFR-10</w:t>
            </w:r>
          </w:p>
        </w:tc>
        <w:tc>
          <w:tcPr>
            <w:tcW w:type="dxa" w:w="6540"/>
            <w:tcMar>
              <w:top w:type="dxa" w:w="80"/>
              <w:left w:type="dxa" w:w="120"/>
              <w:bottom w:type="dxa" w:w="80"/>
              <w:right w:type="dxa" w:w="120"/>
            </w:tcMar>
          </w:tcPr>
          <w:p>
            <w:r>
              <w:rPr>
                <w:b w:val="false"/>
                <w:bCs w:val="false"/>
                <w:sz w:val="20"/>
                <w:szCs w:val="20"/>
              </w:rPr>
              <w:t xml:space="preserve">The platform shall collect only the minimum personal data needed (name, email, progress) and state this in a plain-language privacy notice in Sinhala and English.</w:t>
            </w:r>
          </w:p>
        </w:tc>
        <w:tc>
          <w:tcPr>
            <w:tcW w:type="dxa" w:w="1200"/>
            <w:tcMar>
              <w:top w:type="dxa" w:w="80"/>
              <w:left w:type="dxa" w:w="120"/>
              <w:bottom w:type="dxa" w:w="80"/>
              <w:right w:type="dxa" w:w="120"/>
            </w:tcMar>
          </w:tcPr>
          <w:p>
            <w:r>
              <w:rPr>
                <w:b w:val="false"/>
                <w:bCs w:val="false"/>
                <w:sz w:val="20"/>
                <w:szCs w:val="20"/>
              </w:rPr>
              <w:t xml:space="preserve">Must</w:t>
            </w:r>
          </w:p>
        </w:tc>
      </w:tr>
    </w:tbl>
    <w:p>
      <w:pPr>
        <w:pStyle w:val="Heading2"/>
        <w:spacing w:after="120" w:before="280"/>
      </w:pPr>
      <w:r>
        <w:rPr>
          <w:color w:val="134E5E"/>
        </w:rPr>
        <w:t xml:space="preserve">4.5 Maintainability and Portability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500"/>
        <w:gridCol w:w="6540"/>
        <w:gridCol w:w="1200"/>
      </w:tblGrid>
      <w:tr>
        <w:tc>
          <w:tcPr>
            <w:tcW w:type="dxa" w:w="1500"/>
            <w:shd w:fill="E8F4F4" w:val="clear"/>
            <w:tcMar>
              <w:top w:type="dxa" w:w="80"/>
              <w:left w:type="dxa" w:w="120"/>
              <w:bottom w:type="dxa" w:w="80"/>
              <w:right w:type="dxa" w:w="120"/>
            </w:tcMar>
          </w:tcPr>
          <w:p>
            <w:r>
              <w:rPr>
                <w:b/>
                <w:bCs/>
                <w:sz w:val="20"/>
                <w:szCs w:val="20"/>
              </w:rPr>
              <w:t xml:space="preserve">Req. ID</w:t>
            </w:r>
          </w:p>
        </w:tc>
        <w:tc>
          <w:tcPr>
            <w:tcW w:type="dxa" w:w="6540"/>
            <w:shd w:fill="E8F4F4" w:val="clear"/>
            <w:tcMar>
              <w:top w:type="dxa" w:w="80"/>
              <w:left w:type="dxa" w:w="120"/>
              <w:bottom w:type="dxa" w:w="80"/>
              <w:right w:type="dxa" w:w="120"/>
            </w:tcMar>
          </w:tcPr>
          <w:p>
            <w:r>
              <w:rPr>
                <w:b/>
                <w:bCs/>
                <w:sz w:val="20"/>
                <w:szCs w:val="20"/>
              </w:rPr>
              <w:t xml:space="preserve">Requirement Description</w:t>
            </w:r>
          </w:p>
        </w:tc>
        <w:tc>
          <w:tcPr>
            <w:tcW w:type="dxa" w:w="1200"/>
            <w:shd w:fill="E8F4F4" w:val="clear"/>
            <w:tcMar>
              <w:top w:type="dxa" w:w="80"/>
              <w:left w:type="dxa" w:w="120"/>
              <w:bottom w:type="dxa" w:w="80"/>
              <w:right w:type="dxa" w:w="120"/>
            </w:tcMar>
          </w:tcPr>
          <w:p>
            <w:r>
              <w:rPr>
                <w:b/>
                <w:bCs/>
                <w:sz w:val="20"/>
                <w:szCs w:val="20"/>
              </w:rPr>
              <w:t xml:space="preserve">Priority</w:t>
            </w:r>
          </w:p>
        </w:tc>
      </w:tr>
      <w:tr>
        <w:tc>
          <w:tcPr>
            <w:tcW w:type="dxa" w:w="1500"/>
            <w:tcMar>
              <w:top w:type="dxa" w:w="80"/>
              <w:left w:type="dxa" w:w="120"/>
              <w:bottom w:type="dxa" w:w="80"/>
              <w:right w:type="dxa" w:w="120"/>
            </w:tcMar>
          </w:tcPr>
          <w:p>
            <w:r>
              <w:rPr>
                <w:b/>
                <w:bCs/>
                <w:sz w:val="20"/>
                <w:szCs w:val="20"/>
              </w:rPr>
              <w:t xml:space="preserve">NFR-11</w:t>
            </w:r>
          </w:p>
        </w:tc>
        <w:tc>
          <w:tcPr>
            <w:tcW w:type="dxa" w:w="6540"/>
            <w:tcMar>
              <w:top w:type="dxa" w:w="80"/>
              <w:left w:type="dxa" w:w="120"/>
              <w:bottom w:type="dxa" w:w="80"/>
              <w:right w:type="dxa" w:w="120"/>
            </w:tcMar>
          </w:tcPr>
          <w:p>
            <w:r>
              <w:rPr>
                <w:b w:val="false"/>
                <w:bCs w:val="false"/>
                <w:sz w:val="20"/>
                <w:szCs w:val="20"/>
              </w:rPr>
              <w:t xml:space="preserve">Lesson content shall be separated from application code so curriculum updates require no redeployment of logic.</w:t>
            </w:r>
          </w:p>
        </w:tc>
        <w:tc>
          <w:tcPr>
            <w:tcW w:type="dxa" w:w="1200"/>
            <w:tcMar>
              <w:top w:type="dxa" w:w="80"/>
              <w:left w:type="dxa" w:w="120"/>
              <w:bottom w:type="dxa" w:w="80"/>
              <w:right w:type="dxa" w:w="120"/>
            </w:tcMar>
          </w:tcPr>
          <w:p>
            <w:r>
              <w:rPr>
                <w:b w:val="false"/>
                <w:bCs w:val="false"/>
                <w:sz w:val="20"/>
                <w:szCs w:val="20"/>
              </w:rPr>
              <w:t xml:space="preserve">Must</w:t>
            </w:r>
          </w:p>
        </w:tc>
      </w:tr>
      <w:tr>
        <w:tc>
          <w:tcPr>
            <w:tcW w:type="dxa" w:w="1500"/>
            <w:tcMar>
              <w:top w:type="dxa" w:w="80"/>
              <w:left w:type="dxa" w:w="120"/>
              <w:bottom w:type="dxa" w:w="80"/>
              <w:right w:type="dxa" w:w="120"/>
            </w:tcMar>
          </w:tcPr>
          <w:p>
            <w:r>
              <w:rPr>
                <w:b/>
                <w:bCs/>
                <w:sz w:val="20"/>
                <w:szCs w:val="20"/>
              </w:rPr>
              <w:t xml:space="preserve">NFR-12</w:t>
            </w:r>
          </w:p>
        </w:tc>
        <w:tc>
          <w:tcPr>
            <w:tcW w:type="dxa" w:w="6540"/>
            <w:tcMar>
              <w:top w:type="dxa" w:w="80"/>
              <w:left w:type="dxa" w:w="120"/>
              <w:bottom w:type="dxa" w:w="80"/>
              <w:right w:type="dxa" w:w="120"/>
            </w:tcMar>
          </w:tcPr>
          <w:p>
            <w:r>
              <w:rPr>
                <w:b w:val="false"/>
                <w:bCs w:val="false"/>
                <w:sz w:val="20"/>
                <w:szCs w:val="20"/>
              </w:rPr>
              <w:t xml:space="preserve">The prototype shall run from a single HTML file with CDN dependencies only; the production codebase shall support a migration path to a bundled React application.</w:t>
            </w:r>
          </w:p>
        </w:tc>
        <w:tc>
          <w:tcPr>
            <w:tcW w:type="dxa" w:w="1200"/>
            <w:tcMar>
              <w:top w:type="dxa" w:w="80"/>
              <w:left w:type="dxa" w:w="120"/>
              <w:bottom w:type="dxa" w:w="80"/>
              <w:right w:type="dxa" w:w="120"/>
            </w:tcMar>
          </w:tcPr>
          <w:p>
            <w:r>
              <w:rPr>
                <w:b w:val="false"/>
                <w:bCs w:val="false"/>
                <w:sz w:val="20"/>
                <w:szCs w:val="20"/>
              </w:rPr>
              <w:t xml:space="preserve">Must</w:t>
            </w:r>
          </w:p>
        </w:tc>
      </w:tr>
    </w:tbl>
    <w:p>
      <w:pPr>
        <w:pStyle w:val="Heading1"/>
        <w:spacing w:after="160" w:before="360"/>
      </w:pPr>
      <w:r>
        <w:rPr>
          <w:color w:val="0D7377"/>
        </w:rPr>
        <w:t xml:space="preserve">5. External Interface Requirements</w:t>
      </w:r>
    </w:p>
    <w:p>
      <w:pPr>
        <w:pStyle w:val="Heading2"/>
        <w:spacing w:after="120" w:before="280"/>
      </w:pPr>
      <w:r>
        <w:rPr>
          <w:color w:val="134E5E"/>
        </w:rPr>
        <w:t xml:space="preserve">5.1 User Interface</w:t>
      </w:r>
    </w:p>
    <w:p>
      <w:pPr>
        <w:pStyle w:val="ListParagraph"/>
        <w:numPr>
          <w:ilvl w:val="0"/>
          <w:numId w:val="2"/>
        </w:numPr>
        <w:spacing w:after="80" w:line="280"/>
      </w:pPr>
      <w:r>
        <w:t xml:space="preserve">Roadmap screen: vertical stage path with expandable cards, XP header, streak indicator (established in prototype).</w:t>
      </w:r>
    </w:p>
    <w:p>
      <w:pPr>
        <w:pStyle w:val="ListParagraph"/>
        <w:numPr>
          <w:ilvl w:val="0"/>
          <w:numId w:val="2"/>
        </w:numPr>
        <w:spacing w:after="80" w:line="280"/>
      </w:pPr>
      <w:r>
        <w:t xml:space="preserve">Lesson screen: explanation pane, example pane, 'Start practice' action.</w:t>
      </w:r>
    </w:p>
    <w:p>
      <w:pPr>
        <w:pStyle w:val="ListParagraph"/>
        <w:numPr>
          <w:ilvl w:val="0"/>
          <w:numId w:val="2"/>
        </w:numPr>
        <w:spacing w:after="80" w:line="280"/>
      </w:pPr>
      <w:r>
        <w:t xml:space="preserve">Exercise screen: one question at a time, progress bar, instant feedback banner.</w:t>
      </w:r>
    </w:p>
    <w:p>
      <w:pPr>
        <w:pStyle w:val="ListParagraph"/>
        <w:numPr>
          <w:ilvl w:val="0"/>
          <w:numId w:val="2"/>
        </w:numPr>
        <w:spacing w:after="80" w:line="280"/>
      </w:pPr>
      <w:r>
        <w:t xml:space="preserve">Writing screen (Stages 6–8): prompt, scaffolding sidebar (Stage 6 only), text editor, rubric checklist.</w:t>
      </w:r>
    </w:p>
    <w:p>
      <w:pPr>
        <w:pStyle w:val="Heading2"/>
        <w:spacing w:after="120" w:before="280"/>
      </w:pPr>
      <w:r>
        <w:rPr>
          <w:color w:val="134E5E"/>
        </w:rPr>
        <w:t xml:space="preserve">5.2 Software Interfaces</w:t>
      </w:r>
    </w:p>
    <w:p>
      <w:pPr>
        <w:pStyle w:val="ListParagraph"/>
        <w:numPr>
          <w:ilvl w:val="0"/>
          <w:numId w:val="2"/>
        </w:numPr>
        <w:spacing w:after="80" w:line="280"/>
      </w:pPr>
      <w:r>
        <w:t xml:space="preserve">CDN: cdnjs.cloudflare.com serving React, ReactDOM and Babel UMD builds (prototype).</w:t>
      </w:r>
    </w:p>
    <w:p>
      <w:pPr>
        <w:pStyle w:val="ListParagraph"/>
        <w:numPr>
          <w:ilvl w:val="0"/>
          <w:numId w:val="2"/>
        </w:numPr>
        <w:spacing w:after="80" w:line="280"/>
      </w:pPr>
      <w:r>
        <w:t xml:space="preserve">Optional AI feedback service: HTTPS JSON API for writing/translation feedback (Could-have, Stage 5–8).</w:t>
      </w:r>
    </w:p>
    <w:p>
      <w:pPr>
        <w:pStyle w:val="ListParagraph"/>
        <w:numPr>
          <w:ilvl w:val="0"/>
          <w:numId w:val="2"/>
        </w:numPr>
        <w:spacing w:after="80" w:line="280"/>
      </w:pPr>
      <w:r>
        <w:t xml:space="preserve">Browser storage: localStorage/IndexedDB for prototype progress persistence.</w:t>
      </w:r>
    </w:p>
    <w:p>
      <w:pPr>
        <w:pStyle w:val="Heading2"/>
        <w:spacing w:after="120" w:before="280"/>
      </w:pPr>
      <w:r>
        <w:rPr>
          <w:color w:val="134E5E"/>
        </w:rPr>
        <w:t xml:space="preserve">5.3 Communications</w:t>
      </w:r>
    </w:p>
    <w:p>
      <w:pPr>
        <w:pStyle w:val="ListParagraph"/>
        <w:numPr>
          <w:ilvl w:val="0"/>
          <w:numId w:val="2"/>
        </w:numPr>
        <w:spacing w:after="80" w:line="280"/>
      </w:pPr>
      <w:r>
        <w:t xml:space="preserve">All network communication over HTTPS. No third-party trackers or advertising SDKs.</w:t>
      </w:r>
    </w:p>
    <w:p>
      <w:pPr>
        <w:pStyle w:val="Heading1"/>
        <w:spacing w:after="160" w:before="360"/>
      </w:pPr>
      <w:r>
        <w:rPr>
          <w:color w:val="0D7377"/>
        </w:rPr>
        <w:t xml:space="preserve">6. Constraints, Assumptions and Future Work</w:t>
      </w:r>
    </w:p>
    <w:p>
      <w:pPr>
        <w:pStyle w:val="Heading2"/>
        <w:spacing w:after="120" w:before="280"/>
      </w:pPr>
      <w:r>
        <w:rPr>
          <w:color w:val="134E5E"/>
        </w:rPr>
        <w:t xml:space="preserve">6.1 Prioritisation Scheme</w:t>
      </w:r>
    </w:p>
    <w:p>
      <w:pPr>
        <w:spacing w:after="140" w:line="300"/>
        <w:jc w:val="both"/>
      </w:pPr>
      <w:r>
        <w:t xml:space="preserve">Requirements are prioritised using MoSCoW: Must (V1 mandatory), Should (V1 target, negotiable), Could (post-V1 candidate).</w:t>
      </w:r>
    </w:p>
    <w:p>
      <w:pPr>
        <w:pStyle w:val="Heading2"/>
        <w:spacing w:after="120" w:before="280"/>
      </w:pPr>
      <w:r>
        <w:rPr>
          <w:color w:val="134E5E"/>
        </w:rPr>
        <w:t xml:space="preserve">6.2 Future Enhancements (Out of Scope for V1)</w:t>
      </w:r>
    </w:p>
    <w:p>
      <w:pPr>
        <w:pStyle w:val="ListParagraph"/>
        <w:numPr>
          <w:ilvl w:val="0"/>
          <w:numId w:val="2"/>
        </w:numPr>
        <w:spacing w:after="80" w:line="280"/>
      </w:pPr>
      <w:r>
        <w:t xml:space="preserve">Tamil-medium instruction track, and Hindi/other L1 tracks for the Indian market.</w:t>
      </w:r>
    </w:p>
    <w:p>
      <w:pPr>
        <w:pStyle w:val="ListParagraph"/>
        <w:numPr>
          <w:ilvl w:val="0"/>
          <w:numId w:val="2"/>
        </w:numPr>
        <w:spacing w:after="80" w:line="280"/>
      </w:pPr>
      <w:r>
        <w:t xml:space="preserve">Native mobile apps with offline lesson packs for low-connectivity areas.</w:t>
      </w:r>
    </w:p>
    <w:p>
      <w:pPr>
        <w:pStyle w:val="ListParagraph"/>
        <w:numPr>
          <w:ilvl w:val="0"/>
          <w:numId w:val="2"/>
        </w:numPr>
        <w:spacing w:after="80" w:line="280"/>
      </w:pPr>
      <w:r>
        <w:t xml:space="preserve">Speaking practice with pronunciation scoring (ELSA/Talkpal pattern).</w:t>
      </w:r>
    </w:p>
    <w:p>
      <w:pPr>
        <w:pStyle w:val="ListParagraph"/>
        <w:numPr>
          <w:ilvl w:val="0"/>
          <w:numId w:val="2"/>
        </w:numPr>
        <w:spacing w:after="80" w:line="280"/>
      </w:pPr>
      <w:r>
        <w:t xml:space="preserve">Peer or tutor review of essays and letters (italki/Preply pattern).</w:t>
      </w:r>
    </w:p>
    <w:p>
      <w:pPr>
        <w:pStyle w:val="ListParagraph"/>
        <w:numPr>
          <w:ilvl w:val="0"/>
          <w:numId w:val="2"/>
        </w:numPr>
        <w:spacing w:after="80" w:line="280"/>
      </w:pPr>
      <w:r>
        <w:t xml:space="preserve">Formal certification aligned to CEFR levels.</w:t>
      </w:r>
    </w:p>
    <w:p>
      <w:pPr>
        <w:pStyle w:val="Heading2"/>
        <w:spacing w:after="120" w:before="280"/>
      </w:pPr>
      <w:r>
        <w:rPr>
          <w:color w:val="134E5E"/>
        </w:rPr>
        <w:t xml:space="preserve">6.3 Acceptance Criteria for Version 1.0</w:t>
      </w:r>
    </w:p>
    <w:p>
      <w:pPr>
        <w:pStyle w:val="ListParagraph"/>
        <w:numPr>
          <w:ilvl w:val="0"/>
          <w:numId w:val="2"/>
        </w:numPr>
        <w:spacing w:after="80" w:line="280"/>
      </w:pPr>
      <w:r>
        <w:t xml:space="preserve">A new learner can complete Stage 1 end-to-end (lessons, exercises, stage test) on a mobile browser.</w:t>
      </w:r>
    </w:p>
    <w:p>
      <w:pPr>
        <w:pStyle w:val="ListParagraph"/>
        <w:numPr>
          <w:ilvl w:val="0"/>
          <w:numId w:val="2"/>
        </w:numPr>
        <w:spacing w:after="80" w:line="280"/>
      </w:pPr>
      <w:r>
        <w:t xml:space="preserve">All eight stages are present on the roadmap with correct sequential locking.</w:t>
      </w:r>
    </w:p>
    <w:p>
      <w:pPr>
        <w:pStyle w:val="ListParagraph"/>
        <w:numPr>
          <w:ilvl w:val="0"/>
          <w:numId w:val="2"/>
        </w:numPr>
        <w:spacing w:after="80" w:line="280"/>
      </w:pPr>
      <w:r>
        <w:t xml:space="preserve">Progress and XP survive a browser restart.</w:t>
      </w:r>
    </w:p>
    <w:p>
      <w:pPr>
        <w:pStyle w:val="ListParagraph"/>
        <w:numPr>
          <w:ilvl w:val="0"/>
          <w:numId w:val="2"/>
        </w:numPr>
        <w:spacing w:after="80" w:line="280"/>
      </w:pPr>
      <w:r>
        <w:t xml:space="preserve">All Must requirements in Sections 3–4 pass testing.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SinhalaBridge SRS v1.0 — 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2026-07-05T21:37:34.826Z</dcterms:created>
  <dcterms:modified xsi:type="dcterms:W3CDTF">2026-07-05T21:37:34.826Z</dcterms:modified>
</cp:coreProperties>
</file>

<file path=docProps/custom.xml><?xml version="1.0" encoding="utf-8"?>
<Properties xmlns="http://schemas.openxmlformats.org/officeDocument/2006/custom-properties" xmlns:vt="http://schemas.openxmlformats.org/officeDocument/2006/docPropsVTypes"/>
</file>