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故障预测分析报告</w:t>
      </w:r>
    </w:p>
    <w:p/>
    <w:p>
      <w:pPr>
        <w:pStyle w:val="Heading1"/>
      </w:pPr>
      <w:r>
        <w:t>一、Apriori 数据挖掘板块</w:t>
      </w:r>
    </w:p>
    <w:p>
      <w:r>
        <w:t>本部分对不同离散化方法在Apriori算法中的性能进行了全面评估，包括生成规则的数量、执行时间以及综合性能对比。</w:t>
      </w:r>
    </w:p>
    <w:p>
      <w:pPr>
        <w:pStyle w:val="Heading3"/>
      </w:pPr>
      <w:r>
        <w:t>故障预测规则提升度</w:t>
      </w:r>
    </w:p>
    <w:p>
      <w:r>
        <w:drawing>
          <wp:inline xmlns:a="http://schemas.openxmlformats.org/drawingml/2006/main" xmlns:pic="http://schemas.openxmlformats.org/drawingml/2006/picture">
            <wp:extent cx="5486400" cy="3641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故障预测规则提升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各离散化方法生成规则数量对比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离散化方法规则数量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各离散化方法执行时间对比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离散化方法执行时间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离散化方法性能综合对比 (执行时间 vs 规则数量)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离散化方法性能综合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二、贝叶斯网络板块</w:t>
      </w:r>
    </w:p>
    <w:p>
      <w:r>
        <w:t>本部分展示了基于贝叶斯网络模型的设备状态预测结果，包括网络结构、模型性能评估和详细分类报告。</w:t>
      </w:r>
    </w:p>
    <w:p>
      <w:pPr>
        <w:pStyle w:val="Heading3"/>
      </w:pPr>
      <w:r>
        <w:t>贝叶斯网络结构图</w:t>
      </w:r>
    </w:p>
    <w:p>
      <w:r>
        <w:drawing>
          <wp:inline xmlns:a="http://schemas.openxmlformats.org/drawingml/2006/main" xmlns:pic="http://schemas.openxmlformats.org/drawingml/2006/picture">
            <wp:extent cx="5486400" cy="4108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8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混淆矩阵</w:t>
      </w:r>
    </w:p>
    <w:p>
      <w:r>
        <w:drawing>
          <wp:inline xmlns:a="http://schemas.openxmlformats.org/drawingml/2006/main" xmlns:pic="http://schemas.openxmlformats.org/drawingml/2006/picture">
            <wp:extent cx="5486400" cy="4635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5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模型性能评估报告</w:t>
      </w:r>
    </w:p>
    <w:p>
      <w:r>
        <w:t>模型的整体准确率为 **0.8700**。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精确率 (Precision)</w:t>
            </w:r>
          </w:p>
        </w:tc>
        <w:tc>
          <w:tcPr>
            <w:tcW w:type="dxa" w:w="1728"/>
          </w:tcPr>
          <w:p>
            <w:r>
              <w:t>召回率 (Recall)</w:t>
            </w:r>
          </w:p>
        </w:tc>
        <w:tc>
          <w:tcPr>
            <w:tcW w:type="dxa" w:w="1728"/>
          </w:tcPr>
          <w:p>
            <w:r>
              <w:t>F1分数 (F1-Score)</w:t>
            </w:r>
          </w:p>
        </w:tc>
        <w:tc>
          <w:tcPr>
            <w:tcW w:type="dxa" w:w="1728"/>
          </w:tcPr>
          <w:p>
            <w:r>
              <w:t>支持样本数 (Support)</w:t>
            </w:r>
          </w:p>
        </w:tc>
      </w:tr>
      <w:tr>
        <w:tc>
          <w:tcPr>
            <w:tcW w:type="dxa" w:w="1728"/>
          </w:tcPr>
          <w:p>
            <w:r>
              <w:t>压力调节故障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干燥器故障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</w:tbl>
    <w:p/>
    <w:p>
      <w:r>
        <w:t>**结论:**</w:t>
      </w:r>
    </w:p>
    <w:p>
      <w:r>
        <w:t>模型在“正常运行”状态上表现出色，精确率达到100%，但在少数类（如“散热系统故障”）上精确率较低，存在一定的误报风险。总体而言，模型具有较高的召回率，能够有效识别出绝大多数的故障状态。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