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14.3.1 TEAEs by SOC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0"/>
        <w:gridCol w:w="5435"/>
        <w:gridCol w:w="1254"/>
        <w:gridCol w:w="2794"/>
        <w:gridCol w:w="2746"/>
      </w:tblGrid>
      <w:tr>
        <w:trPr>
          <w:trHeight w:val="617" w:hRule="auto"/>
          <w:tblHeader/>
        </w:trPr>
        <w:tc>
          <w:tcPr>
            <w:gridSpan w:val="5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14.3.1 -- Treatment-Emergent Adverse Events by SOC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System Organ Class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Preferred Term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</w:tr>
      <w:tr>
        <w:trPr>
          <w:trHeight w:val="617" w:hRule="auto"/>
        </w:trPr>
        <w:tc>
          <w:tcPr>
            <w:vMerge w:val="restart"/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DISORDERS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FIBRILLATION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FLUTTER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HYPERTROPHY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ATRIOVENTRICULAR BLOCK FIRST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ATRIOVENTRICULAR BLOCK SECOND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BRADYCARDIA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BUNDLE BRANCH BLOCK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BUNDLE BRANCH BLOCK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FAILURE CONGESTIVE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MYOCARDIAL INFARCTION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PALPITATIONS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SINUS ARRHYTHMIA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SINUS BRADYCARDIA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(7.3%)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SUPRAVENTRICULAR EXTRASYSTOLES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 = subjects with at least one event; TEAE = treatment-emergent adverse event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2026-02-20T00:04:34Z</dcterms:modified>
  <cp:category/>
</cp:coreProperties>
</file>