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14.1.1 Demographics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080"/>
        <w:gridCol w:w="2024"/>
        <w:gridCol w:w="1829"/>
      </w:tblGrid>
      <w:tr>
        <w:trPr>
          <w:trHeight w:val="617" w:hRule="auto"/>
          <w:tblHeader/>
        </w:trPr>
        <w:tc>
          <w:tcPr>
            <w:gridSpan w:val="4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14.1.1 -- Subject Demographics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Female, n (%)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75.2 (8.59)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(61.6%)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73.8 (7.94)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(48.6%)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76.0 (8.11)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(57.3%)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 = standard deviation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Table 14.3.1 Treatment-Emergent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0"/>
        <w:gridCol w:w="5435"/>
        <w:gridCol w:w="1254"/>
        <w:gridCol w:w="2794"/>
        <w:gridCol w:w="2746"/>
      </w:tblGrid>
      <w:tr>
        <w:trPr>
          <w:trHeight w:val="617" w:hRule="auto"/>
          <w:tblHeader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14.3.1 -- Treatment-Emergent Adverse Events by SOC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System Organ Class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Preferred Term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</w:tr>
      <w:tr>
        <w:trPr>
          <w:trHeight w:val="617" w:hRule="auto"/>
        </w:trPr>
        <w:tc>
          <w:tcPr>
            <w:vMerge w:val="restart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DISORDERS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FIBRILLATION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FLUTTER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HYPERTROPHY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FIRST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SECOND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FAILURE CONGESTIVE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MYOCARDIAL INFARCTION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ARRHYTHMIA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(7.3%)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SUPRAVENTRICULAR EXTRASYSTOLES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 = subjects with at least one event; TEAE = treatment-emergent adverse event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Table 14.4.1 ALT Shift 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61"/>
        <w:gridCol w:w="1352"/>
        <w:gridCol w:w="1080"/>
        <w:gridCol w:w="1376"/>
        <w:gridCol w:w="1080"/>
      </w:tblGrid>
      <w:tr>
        <w:trPr>
          <w:trHeight w:val="617" w:hRule="auto"/>
          <w:tblHeader/>
        </w:trPr>
        <w:tc>
          <w:tcPr>
            <w:gridSpan w:val="5"/>
            <w:tcBorders>
              <w:bottom w:val="none" w:sz="0" w:space="0" w:color="666666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14.4.1 -- ALT Shift Table: Baseline vs Post-Baseline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Post-Baseline Reference Range</w:t>
            </w:r>
          </w:p>
        </w:tc>
      </w:tr>
      <w:tr>
        <w:trPr>
          <w:trHeight w:val="574" w:hRule="auto"/>
          <w:tblHeader/>
        </w:trPr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Baseline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single" w:sz="16" w:space="0" w:color="000000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786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4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<w:tc>
          <w:tcPr>
            <w:vMerge w:val="restart"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<w:tc>
          <w:tcPr>
            <w:vMerge/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BNRIND = Baseline Reference Range Indicator; ANRIND = Post-Baseline Reference Range Indicator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2026-02-20T00:04:39Z</dcterms:modified>
  <cp:category/>
</cp:coreProperties>
</file>