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14.1.1 Demographics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1"/>
        <w:gridCol w:w="1080"/>
        <w:gridCol w:w="2024"/>
        <w:gridCol w:w="1829"/>
      </w:tblGrid>
      <w:tr>
        <w:trPr>
          <w:trHeight w:val="617" w:hRule="auto"/>
          <w:tblHeader/>
        </w:trPr>
        <w:tc>
          <w:tcPr>
            <w:gridSpan w:val="4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14.1.1 -- Subject Demographics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Female, n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75.2 (8.59)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(61.6%)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73.8 (7.94)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(48.6%)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76.0 (8.11)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(57.3%)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= standard deviation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2026-02-26T15:57:11Z</dcterms:modified>
  <cp:category/>
</cp:coreProperties>
</file>