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14.3.1 TEAEs by SOC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0"/>
        <w:gridCol w:w="5435"/>
        <w:gridCol w:w="1254"/>
        <w:gridCol w:w="2794"/>
        <w:gridCol w:w="2746"/>
      </w:tblGrid>
      <w:tr>
        <w:trPr>
          <w:trHeight w:val="617" w:hRule="auto"/>
          <w:tblHeader/>
        </w:trPr>
        <w:tc>
          <w:tcPr>
            <w:gridSpan w:val="5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Table 14.3.1 -- Treatment-Emergent Adverse Events by SOC (Safety Population)</w:t>
            </w:r>
          </w:p>
        </w:tc>
      </w:tr>
      <w:tr>
        <w:trPr>
          <w:trHeight w:val="617" w:hRule="auto"/>
          <w:tblHeader/>
        </w:trPr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System Organ Class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Preferred Term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Placebo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Xanomeline High Dose</w:t>
            </w:r>
          </w:p>
        </w:tc>
        <w:tc>
          <w:tcPr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Xanomeline Low Dose</w:t>
            </w:r>
          </w:p>
        </w:tc>
      </w:tr>
      <w:tr>
        <w:trPr>
          <w:trHeight w:val="617" w:hRule="auto"/>
        </w:trPr>
        <w:tc>
          <w:tcPr>
            <w:vMerge w:val="restart"/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DISORDERS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FIBRILLATION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(2.8%)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FLUTTER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ATRIAL HYPERTROPHY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ATRIOVENTRICULAR BLOCK FIRST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ATRIOVENTRICULAR BLOCK SECOND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BRADYCARDIA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BUNDLE BRANCH BLOCK LEFT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BUNDLE BRANCH BLOCK RIGHT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FAILURE CONGESTIVE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MYOCARDIAL INFARCTION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PALPITATIONS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(2.1%)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SINUS ARRHYTHMIA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SINUS BRADYCARDIA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(7.3%)</w:t>
            </w:r>
          </w:p>
        </w:tc>
      </w:tr>
      <w:tr>
        <w:trPr>
          <w:trHeight w:val="617" w:hRule="auto"/>
        </w:trPr>
        <w:tc>
          <w:tcPr>
            <w:vMerge/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SUPRAVENTRICULAR EXTRASYSTOLES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(1.4%)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(1.0%)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 = subjects with at least one event; TEAE = treatment-emergent adverse event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2026-02-26T15:57:14Z</dcterms:modified>
  <cp:category/>
</cp:coreProperties>
</file>