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14.1.1 Demographics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080"/>
        <w:gridCol w:w="2024"/>
        <w:gridCol w:w="1829"/>
      </w:tblGrid>
      <w:tr>
        <w:trPr>
          <w:trHeight w:val="617" w:hRule="auto"/>
          <w:tblHeader/>
        </w:trPr>
        <w:tc>
          <w:tcPr>
            <w:gridSpan w:val="4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14.1.1 -- Subject Demographics (Safety Population)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Female, n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 (8.59)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(61.6%)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 (7.94)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(48.6%)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 (8.11)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(57.3%)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= standard deviation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Table 14.3.1 Treatment-Emergent Adverse Events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70"/>
        <w:gridCol w:w="5435"/>
        <w:gridCol w:w="1254"/>
        <w:gridCol w:w="2794"/>
        <w:gridCol w:w="2746"/>
      </w:tblGrid>
      <w:tr>
        <w:trPr>
          <w:trHeight w:val="617" w:hRule="auto"/>
          <w:tblHeader/>
        </w:trPr>
        <w:tc>
          <w:tcPr>
            <w:gridSpan w:val="5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14.3.1 -- Treatment-Emergent Adverse Events by SOC (Safety Population)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System Organ Class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Preferred Term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FIBRILLATION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FLUTTER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FIRST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(7.3%)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SUPRAVENTRICULAR EXTRASYSTOLES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 = subjects with at least one event; TEAE = treatment-emergent adverse event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Table 14.4.1 ALT Shift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352"/>
        <w:gridCol w:w="1080"/>
        <w:gridCol w:w="1376"/>
        <w:gridCol w:w="1080"/>
      </w:tblGrid>
      <w:tr>
        <w:trPr>
          <w:trHeight w:val="617" w:hRule="auto"/>
          <w:tblHeader/>
        </w:trPr>
        <w:tc>
          <w:tcPr>
            <w:gridSpan w:val="5"/>
            <w:tcBorders>
              <w:bottom w:val="none" w:sz="0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14.4.1 -- ALT Shift Table: Baseline vs Post-Baseline (Safety Population)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Post-Baseline Reference Range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  <w:tr>
        <w:trPr>
          <w:trHeight w:val="574" w:hRule="auto"/>
        </w:trPr>
        <w:tc>
          <w:tcPr>
            <w:vMerge w:val="restart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BNRIND = Baseline Reference Range Indicator; ANRIND = Post-Baseline Reference Range Indicator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2026-02-26T15:57:18Z</dcterms:modified>
  <cp:category/>
</cp:coreProperties>
</file>