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14.1.1 Demographics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080"/>
        <w:gridCol w:w="2024"/>
        <w:gridCol w:w="1829"/>
      </w:tblGrid>
      <w:tr>
        <w:trPr>
          <w:trHeight w:val="617" w:hRule="auto"/>
          <w:tblHeader/>
        </w:trPr>
        <w:tc>
          <w:tcPr>
            <w:gridSpan w:val="4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14.1.1 -- Subject Demographics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Female, n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75.2 (8.59)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(61.6%)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73.8 (7.94)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(48.6%)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76.0 (8.11)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(57.3%)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= standard deviation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2026-02-19T18:48:39Z</dcterms:modified>
  <cp:category/>
</cp:coreProperties>
</file>