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14.3.1 TEAEs by SOC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70"/>
        <w:gridCol w:w="5435"/>
        <w:gridCol w:w="1254"/>
        <w:gridCol w:w="2794"/>
        <w:gridCol w:w="2746"/>
      </w:tblGrid>
      <w:tr>
        <w:trPr>
          <w:trHeight w:val="617" w:hRule="auto"/>
          <w:tblHeader/>
        </w:trPr>
        <w:tc>
          <w:tcPr>
            <w:gridSpan w:val="5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14.3.1 -- Treatment-Emergent Adverse Events by SOC (Safety Population)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System Organ Class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Preferred Term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DISORDERS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ATRIAL FIBRILLATION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ATRIAL FLUTTER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ATRIAL HYPERTROPHY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ATRIOVENTRICULAR BLOCK FIRST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ATRIOVENTRICULAR BLOCK SECOND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BUNDLE BRANCH BLOCK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BUNDLE BRANCH BLOCK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FAILURE CONGESTIVE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MYOCARDIAL INFARCTION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PALPITATIONS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SINUS ARRHYTHMIA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SINUS 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(7.3%)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SUPRAVENTRICULAR EXTRASYSTOLES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 = subjects with at least one event; TEAE = treatment-emergent adverse event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2026-02-19T18:48:42Z</dcterms:modified>
  <cp:category/>
</cp:coreProperties>
</file>