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14.4.1 ALT Shift 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1352"/>
        <w:gridCol w:w="1080"/>
        <w:gridCol w:w="1376"/>
        <w:gridCol w:w="1080"/>
      </w:tblGrid>
      <w:tr>
        <w:trPr>
          <w:trHeight w:val="617" w:hRule="auto"/>
          <w:tblHeader/>
        </w:trPr>
        <w:tc>
          <w:tcPr>
            <w:gridSpan w:val="5"/>
            <w:tcBorders>
              <w:bottom w:val="none" w:sz="0" w:space="0" w:color="666666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Table 14.4.1 -- ALT Shift Table: Baseline vs Post-Baseline (Safety Population)</w:t>
            </w:r>
          </w:p>
        </w:tc>
      </w:tr>
      <w:tr>
        <w:trPr>
          <w:trHeight w:val="617" w:hRule="auto"/>
          <w:tblHeader/>
        </w:trPr>
        <w:tc>
          <w:tcPr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Post-Baseline Reference Range</w:t>
            </w:r>
          </w:p>
        </w:tc>
      </w:tr>
      <w:tr>
        <w:trPr>
          <w:trHeight w:val="574" w:hRule="auto"/>
          <w:tblHeader/>
        </w:trPr>
        <w:tc>
          <w:tcPr>
            <w:tcBorders>
              <w:bottom w:val="single" w:sz="16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Baseline</w:t>
            </w:r>
          </w:p>
        </w:tc>
        <w:tc>
          <w:tcPr>
            <w:tcBorders>
              <w:bottom w:val="single" w:sz="16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single" w:sz="16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NORMAL</w:t>
            </w:r>
          </w:p>
        </w:tc>
        <w:tc>
          <w:tcPr>
            <w:tcBorders>
              <w:bottom w:val="single" w:sz="16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</w:tr>
      <w:tr>
        <w:trPr>
          <w:trHeight w:val="574" w:hRule="auto"/>
        </w:trPr>
        <w:tc>
          <w:tcPr>
            <w:vMerge w:val="restart"/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786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57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4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Xanomeline High 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574" w:hRule="auto"/>
        </w:trPr>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Xanomeline Low 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4" w:hRule="auto"/>
        </w:trPr>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BNRIND = Baseline Reference Range Indicator; ANRIND = Post-Baseline Reference Range Indicator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2026-02-19T18:48:44Z</dcterms:modified>
  <cp:category/>
</cp:coreProperties>
</file>