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14.1.1 Demographics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080"/>
        <w:gridCol w:w="2024"/>
        <w:gridCol w:w="1829"/>
      </w:tblGrid>
      <w:tr>
        <w:trPr>
          <w:trHeight w:val="617" w:hRule="auto"/>
          <w:tblHeader/>
        </w:trPr>
        <w:tc>
          <w:tcPr>
            <w:gridSpan w:val="4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14.1.1 -- Subject Demographics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Female, n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75.2 (8.59)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(61.6%)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73.8 (7.94)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(48.6%)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 (8.11)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(57.3%)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= standard deviation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Table 14.3.1 Treatment-Emergent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0"/>
        <w:gridCol w:w="5435"/>
        <w:gridCol w:w="1254"/>
        <w:gridCol w:w="2794"/>
        <w:gridCol w:w="2746"/>
      </w:tblGrid>
      <w:tr>
        <w:trPr>
          <w:trHeight w:val="617" w:hRule="auto"/>
          <w:tblHeader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14.3.1 -- Treatment-Emergent Adverse Events by SOC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System Organ Class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Preferred Term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</w:tr>
      <w:tr>
        <w:trPr>
          <w:trHeight w:val="617" w:hRule="auto"/>
        </w:trPr>
        <w:tc>
          <w:tcPr>
            <w:vMerge w:val="restart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DISORDERS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FIBRILLATION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FLUTTER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HYPERTROPHY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FIRST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SECOND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FAILURE CONGESTIVE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MYOCARDIAL INFARCTION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ARRHYTHMIA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(7.3%)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SUPRAVENTRICULAR EXTRASYSTOLES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 = subjects with at least one event; TEAE = treatment-emergent adverse event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Table 14.4.1 ALT Shift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352"/>
        <w:gridCol w:w="1080"/>
        <w:gridCol w:w="1376"/>
        <w:gridCol w:w="1080"/>
      </w:tblGrid>
      <w:tr>
        <w:trPr>
          <w:trHeight w:val="617" w:hRule="auto"/>
          <w:tblHeader/>
        </w:trPr>
        <w:tc>
          <w:tcPr>
            <w:gridSpan w:val="5"/>
            <w:tcBorders>
              <w:bottom w:val="none" w:sz="0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14.4.1 -- ALT Shift Table: Baseline vs Post-Baseline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Post-Baseline Reference Range</w:t>
            </w:r>
          </w:p>
        </w:tc>
      </w:tr>
      <w:tr>
        <w:trPr>
          <w:trHeight w:val="574" w:hRule="auto"/>
          <w:tblHeader/>
        </w:trPr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BNRIND = Baseline Reference Range Indicator; ANRIND = Post-Baseline Reference Range Indicator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2026-02-19T18:48:47Z</dcterms:modified>
  <cp:category/>
</cp:coreProperties>
</file>