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E5050" w14:textId="38A10084" w:rsidR="007F5723" w:rsidRDefault="00AC7E38">
      <w:pPr>
        <w:contextualSpacing w:val="0"/>
        <w:rPr>
          <w:b/>
          <w:sz w:val="28"/>
        </w:rPr>
      </w:pPr>
      <w:r w:rsidRPr="009D4DFD">
        <w:rPr>
          <w:b/>
          <w:sz w:val="28"/>
        </w:rPr>
        <w:t>Data Analysis and Visualization - Boot Camp</w:t>
      </w:r>
    </w:p>
    <w:p w14:paraId="139D9522" w14:textId="3E8E80E1" w:rsidR="009D4DFD" w:rsidRPr="009D4DFD" w:rsidRDefault="009D4DFD">
      <w:pPr>
        <w:contextualSpacing w:val="0"/>
        <w:rPr>
          <w:b/>
          <w:sz w:val="28"/>
        </w:rPr>
      </w:pPr>
      <w:r>
        <w:rPr>
          <w:b/>
          <w:sz w:val="28"/>
        </w:rPr>
        <w:t>Group Project</w:t>
      </w:r>
    </w:p>
    <w:p w14:paraId="0B6CF303" w14:textId="77777777" w:rsidR="009D4DFD" w:rsidRDefault="009D4DFD">
      <w:pPr>
        <w:contextualSpacing w:val="0"/>
        <w:rPr>
          <w:b/>
        </w:rPr>
      </w:pPr>
    </w:p>
    <w:p w14:paraId="11E1033A" w14:textId="50C99B6D" w:rsidR="009D4DFD" w:rsidRPr="00AC7E38" w:rsidRDefault="009D4DFD">
      <w:pPr>
        <w:contextualSpacing w:val="0"/>
        <w:rPr>
          <w:b/>
        </w:rPr>
      </w:pPr>
      <w:r>
        <w:rPr>
          <w:b/>
        </w:rPr>
        <w:t>TEAM-THIS</w:t>
      </w:r>
    </w:p>
    <w:p w14:paraId="631BC8A1" w14:textId="5E33CF49" w:rsidR="007F5723" w:rsidRDefault="009D4DFD">
      <w:pPr>
        <w:contextualSpacing w:val="0"/>
      </w:pPr>
      <w:r>
        <w:t xml:space="preserve">Tom Harmon, Ruth </w:t>
      </w:r>
      <w:proofErr w:type="spellStart"/>
      <w:r>
        <w:t>Ineh</w:t>
      </w:r>
      <w:proofErr w:type="spellEnd"/>
      <w:r>
        <w:t xml:space="preserve">, Zohaib </w:t>
      </w:r>
      <w:r w:rsidR="00353CA5">
        <w:t>Sy</w:t>
      </w:r>
      <w:r>
        <w:t xml:space="preserve">ed, and Michael </w:t>
      </w:r>
      <w:proofErr w:type="spellStart"/>
      <w:r>
        <w:t>LeFrancois</w:t>
      </w:r>
      <w:proofErr w:type="spellEnd"/>
    </w:p>
    <w:p w14:paraId="3525F5A7" w14:textId="0C4DE375" w:rsidR="002425E8" w:rsidRDefault="002425E8">
      <w:pPr>
        <w:contextualSpacing w:val="0"/>
      </w:pPr>
    </w:p>
    <w:p w14:paraId="226A0B0E" w14:textId="5405410D" w:rsidR="00B20381" w:rsidRDefault="000F4ECF" w:rsidP="00B20381">
      <w:pPr>
        <w:contextualSpacing w:val="0"/>
      </w:pPr>
      <w:r>
        <w:rPr>
          <w:b/>
        </w:rPr>
        <w:t>Background</w:t>
      </w:r>
    </w:p>
    <w:p w14:paraId="0EFE4370" w14:textId="319B5AA4" w:rsidR="00B20381" w:rsidRDefault="00B20381" w:rsidP="00B20381">
      <w:r>
        <w:t xml:space="preserve">Cholera is transmitted through impacted waters, or contaminated food causing infection of the small intestine by some strains of the bacterium Vibrio Cholerae and can result in dehydration (Wikipedia contributors “Cholera”). Cholera is especially endemic in areas lacking adequate clean water infrastructure. </w:t>
      </w:r>
    </w:p>
    <w:p w14:paraId="510B2FC1" w14:textId="77777777" w:rsidR="00B20381" w:rsidRDefault="00B20381" w:rsidP="00825FF3"/>
    <w:p w14:paraId="3F5B885D" w14:textId="28594BC9" w:rsidR="007202E0" w:rsidRDefault="00825FF3" w:rsidP="00825FF3">
      <w:r>
        <w:t>Th</w:t>
      </w:r>
      <w:r w:rsidR="0071745C">
        <w:t xml:space="preserve">is project </w:t>
      </w:r>
      <w:r>
        <w:t>compares Cholera cases to water resource</w:t>
      </w:r>
      <w:r w:rsidR="00BA6E59">
        <w:t xml:space="preserve"> </w:t>
      </w:r>
      <w:r>
        <w:t>indicators</w:t>
      </w:r>
      <w:r w:rsidR="00BA6E59">
        <w:t xml:space="preserve"> </w:t>
      </w:r>
      <w:r>
        <w:t xml:space="preserve">with data available from the </w:t>
      </w:r>
      <w:hyperlink r:id="rId5" w:history="1">
        <w:r>
          <w:rPr>
            <w:rStyle w:val="Hyperlink"/>
          </w:rPr>
          <w:t>Food and Agricultural Organization of the United Nations</w:t>
        </w:r>
      </w:hyperlink>
      <w:r>
        <w:t xml:space="preserve"> (FAO) and the </w:t>
      </w:r>
      <w:hyperlink r:id="rId6" w:history="1">
        <w:r>
          <w:rPr>
            <w:rStyle w:val="Hyperlink"/>
          </w:rPr>
          <w:t>World Health Organization</w:t>
        </w:r>
      </w:hyperlink>
      <w:r>
        <w:t xml:space="preserve"> (WHO). </w:t>
      </w:r>
      <w:r w:rsidR="00077C68">
        <w:t xml:space="preserve">For this analysis two groups of </w:t>
      </w:r>
      <w:r w:rsidR="00B20381">
        <w:t xml:space="preserve">cholera-endemic </w:t>
      </w:r>
      <w:r w:rsidR="00077C68">
        <w:t xml:space="preserve">border countries are investigated: Niger and Nigeria in </w:t>
      </w:r>
      <w:r w:rsidR="00AD05B1">
        <w:t xml:space="preserve">West </w:t>
      </w:r>
      <w:r w:rsidR="00077C68">
        <w:t xml:space="preserve">Africa and Myanmar and Thailand in </w:t>
      </w:r>
      <w:r w:rsidR="00AD05B1">
        <w:t xml:space="preserve">Southeast </w:t>
      </w:r>
      <w:r w:rsidR="00077C68">
        <w:t>Asia.</w:t>
      </w:r>
      <w:r w:rsidR="005D5852">
        <w:t xml:space="preserve"> </w:t>
      </w:r>
      <w:r w:rsidR="005B5ED0">
        <w:t>Comparisons</w:t>
      </w:r>
      <w:r w:rsidR="005D5852">
        <w:t xml:space="preserve"> also consider standards of living </w:t>
      </w:r>
      <w:r w:rsidR="005B5ED0">
        <w:t>indicated via the Gross Domestic Product</w:t>
      </w:r>
      <w:r w:rsidR="000B680A">
        <w:t xml:space="preserve"> (GDP)</w:t>
      </w:r>
      <w:r w:rsidR="005B5ED0">
        <w:t>.</w:t>
      </w:r>
      <w:r w:rsidR="00077C68">
        <w:t xml:space="preserve"> </w:t>
      </w:r>
      <w:r w:rsidR="005D5852">
        <w:t xml:space="preserve">Finally, </w:t>
      </w:r>
      <w:r w:rsidR="00077C68">
        <w:t xml:space="preserve">beyond </w:t>
      </w:r>
      <w:r w:rsidR="007202E0">
        <w:t>the 4</w:t>
      </w:r>
      <w:r w:rsidR="005D5852">
        <w:t xml:space="preserve"> </w:t>
      </w:r>
      <w:r w:rsidR="007202E0">
        <w:t>target countries examined</w:t>
      </w:r>
      <w:r w:rsidR="00077C68">
        <w:t xml:space="preserve">, </w:t>
      </w:r>
      <w:r w:rsidR="005D5852">
        <w:t xml:space="preserve">a 2016 dataset of </w:t>
      </w:r>
      <w:r w:rsidR="00077C68">
        <w:t>all countries</w:t>
      </w:r>
      <w:r w:rsidR="005D5852">
        <w:t xml:space="preserve"> was also used</w:t>
      </w:r>
      <w:r w:rsidR="007202E0">
        <w:t xml:space="preserve"> to understand possible correlations between water resource indicators and Cholera incidence rate.</w:t>
      </w:r>
    </w:p>
    <w:p w14:paraId="369DB7DF" w14:textId="77777777" w:rsidR="00C926F7" w:rsidRDefault="00C926F7" w:rsidP="00825FF3"/>
    <w:p w14:paraId="63F6F393" w14:textId="056A328A" w:rsidR="00825FF3" w:rsidRPr="007D698C" w:rsidRDefault="007D698C" w:rsidP="00825FF3">
      <w:pPr>
        <w:rPr>
          <w:b/>
          <w:sz w:val="24"/>
          <w:szCs w:val="24"/>
        </w:rPr>
      </w:pPr>
      <w:r>
        <w:rPr>
          <w:b/>
          <w:sz w:val="24"/>
          <w:szCs w:val="24"/>
        </w:rPr>
        <w:t>Research Questions</w:t>
      </w:r>
    </w:p>
    <w:p w14:paraId="13EB3223" w14:textId="6C9F5A65" w:rsidR="00825FF3" w:rsidRDefault="00825FF3" w:rsidP="00825FF3">
      <w:r>
        <w:t xml:space="preserve">To understand a potential connection </w:t>
      </w:r>
      <w:r w:rsidR="00137C4A">
        <w:t>between</w:t>
      </w:r>
      <w:r>
        <w:t xml:space="preserve"> Cholera outbreaks and water resource</w:t>
      </w:r>
      <w:r w:rsidR="000355FF">
        <w:t xml:space="preserve"> indicators</w:t>
      </w:r>
      <w:r>
        <w:t xml:space="preserve"> the following questions </w:t>
      </w:r>
      <w:r w:rsidR="007202E0">
        <w:t>were</w:t>
      </w:r>
      <w:r>
        <w:t xml:space="preserve"> investigated:</w:t>
      </w:r>
    </w:p>
    <w:p w14:paraId="30AD1780" w14:textId="017B32DC" w:rsidR="007E64C8" w:rsidRDefault="007E64C8" w:rsidP="00BA6E59">
      <w:pPr>
        <w:pStyle w:val="ListParagraph"/>
        <w:numPr>
          <w:ilvl w:val="0"/>
          <w:numId w:val="4"/>
        </w:numPr>
        <w:ind w:left="360"/>
      </w:pPr>
      <w:r>
        <w:t xml:space="preserve">Is there a correlation between Cholera </w:t>
      </w:r>
      <w:r w:rsidR="00E5618C">
        <w:t xml:space="preserve">rates between </w:t>
      </w:r>
      <w:r>
        <w:t>bordering countries?</w:t>
      </w:r>
    </w:p>
    <w:p w14:paraId="40EF1320" w14:textId="331208D3" w:rsidR="00825FF3" w:rsidRDefault="00825FF3" w:rsidP="00BA6E59">
      <w:pPr>
        <w:pStyle w:val="ListParagraph"/>
        <w:numPr>
          <w:ilvl w:val="0"/>
          <w:numId w:val="4"/>
        </w:numPr>
        <w:ind w:left="360"/>
      </w:pPr>
      <w:r>
        <w:t xml:space="preserve">Is there a correlation between </w:t>
      </w:r>
      <w:r w:rsidR="00471D16">
        <w:t xml:space="preserve">water resource indicators and </w:t>
      </w:r>
      <w:r>
        <w:t>Cholera</w:t>
      </w:r>
      <w:r w:rsidR="00471D16">
        <w:t xml:space="preserve"> rates</w:t>
      </w:r>
      <w:r>
        <w:t>?</w:t>
      </w:r>
    </w:p>
    <w:p w14:paraId="50FD88E7" w14:textId="77777777" w:rsidR="007058D9" w:rsidRDefault="007058D9" w:rsidP="007058D9">
      <w:pPr>
        <w:pStyle w:val="ListParagraph"/>
        <w:contextualSpacing w:val="0"/>
        <w:rPr>
          <w:b/>
        </w:rPr>
      </w:pPr>
    </w:p>
    <w:p w14:paraId="60DBE56E" w14:textId="77777777" w:rsidR="000F4ECF" w:rsidRPr="004F4E3C" w:rsidRDefault="000F4ECF" w:rsidP="000F4ECF">
      <w:pPr>
        <w:rPr>
          <w:b/>
          <w:sz w:val="24"/>
          <w:szCs w:val="24"/>
        </w:rPr>
      </w:pPr>
      <w:r>
        <w:rPr>
          <w:b/>
          <w:sz w:val="24"/>
          <w:szCs w:val="24"/>
        </w:rPr>
        <w:t>Analysis</w:t>
      </w:r>
    </w:p>
    <w:p w14:paraId="353F6B33" w14:textId="0DC7258C" w:rsidR="009D19CF" w:rsidRDefault="007202E0" w:rsidP="000F4ECF">
      <w:r>
        <w:t>A</w:t>
      </w:r>
      <w:r w:rsidR="007D698C">
        <w:t xml:space="preserve"> small sampling of</w:t>
      </w:r>
      <w:r w:rsidR="007E64C8">
        <w:t xml:space="preserve"> </w:t>
      </w:r>
      <w:r w:rsidR="00BD29BD">
        <w:t xml:space="preserve">Cholera data </w:t>
      </w:r>
      <w:r>
        <w:t xml:space="preserve">in the four target countries </w:t>
      </w:r>
      <w:r w:rsidR="00BD29BD">
        <w:t xml:space="preserve">over 1990 to 2015 </w:t>
      </w:r>
      <w:r>
        <w:t>provided the basis for an analysis of Cholera outbreaks</w:t>
      </w:r>
      <w:r w:rsidR="00BD29BD">
        <w:t>.</w:t>
      </w:r>
      <w:r w:rsidR="007E64C8">
        <w:t xml:space="preserve"> </w:t>
      </w:r>
      <w:r w:rsidR="00824A70">
        <w:t xml:space="preserve">Population and GPD data are summarized in </w:t>
      </w:r>
      <w:r w:rsidR="0093566B">
        <w:br/>
      </w:r>
      <w:r w:rsidR="00824A70">
        <w:rPr>
          <w:b/>
        </w:rPr>
        <w:t xml:space="preserve">Table </w:t>
      </w:r>
      <w:r w:rsidR="00824A70" w:rsidRPr="0093566B">
        <w:t>1</w:t>
      </w:r>
      <w:r w:rsidR="00824A70">
        <w:t xml:space="preserve">; notably, in each pairing one country (Nigeria and Thailand, respectively) has a much higher population and Gross Domestic Product (GDP). </w:t>
      </w:r>
      <w:r w:rsidR="007E64C8" w:rsidRPr="00F00223">
        <w:t>Cholera</w:t>
      </w:r>
      <w:r w:rsidR="007E64C8">
        <w:t xml:space="preserve"> incidence</w:t>
      </w:r>
      <w:r w:rsidR="00137C4A">
        <w:t>s</w:t>
      </w:r>
      <w:r w:rsidR="007E64C8">
        <w:t xml:space="preserve"> over</w:t>
      </w:r>
      <w:r>
        <w:t xml:space="preserve"> </w:t>
      </w:r>
      <w:r w:rsidR="007E64C8">
        <w:t>time between bordering countries are shown in</w:t>
      </w:r>
      <w:r w:rsidR="00BD29BD">
        <w:t xml:space="preserve"> </w:t>
      </w:r>
      <w:r w:rsidR="00BD29BD" w:rsidRPr="00BD29BD">
        <w:rPr>
          <w:b/>
        </w:rPr>
        <w:t>Figure</w:t>
      </w:r>
      <w:r w:rsidR="00BC5D4A">
        <w:rPr>
          <w:b/>
        </w:rPr>
        <w:t>s</w:t>
      </w:r>
      <w:r w:rsidR="00BD29BD" w:rsidRPr="00BD29BD">
        <w:rPr>
          <w:b/>
        </w:rPr>
        <w:t xml:space="preserve"> 1</w:t>
      </w:r>
      <w:r w:rsidR="00BC5D4A">
        <w:rPr>
          <w:b/>
        </w:rPr>
        <w:t xml:space="preserve"> </w:t>
      </w:r>
      <w:r w:rsidR="00BC5D4A" w:rsidRPr="00BC5D4A">
        <w:t>and</w:t>
      </w:r>
      <w:r w:rsidR="00BC5D4A">
        <w:rPr>
          <w:b/>
        </w:rPr>
        <w:t xml:space="preserve"> 2</w:t>
      </w:r>
      <w:r w:rsidR="00044C36">
        <w:t xml:space="preserve">. </w:t>
      </w:r>
      <w:r>
        <w:t>Incidence</w:t>
      </w:r>
      <w:r w:rsidR="00137C4A">
        <w:t>s</w:t>
      </w:r>
      <w:r>
        <w:t xml:space="preserve"> in the West A</w:t>
      </w:r>
      <w:r w:rsidR="009D19CF">
        <w:t xml:space="preserve">frican countries </w:t>
      </w:r>
      <w:r>
        <w:t>tended to rise in tandem, with higher cases in</w:t>
      </w:r>
      <w:r w:rsidR="006E2162">
        <w:t xml:space="preserve"> Nigeria </w:t>
      </w:r>
      <w:r w:rsidR="00C926F7">
        <w:t xml:space="preserve">for </w:t>
      </w:r>
      <w:r w:rsidR="00517912">
        <w:t>all but one year</w:t>
      </w:r>
      <w:r>
        <w:t xml:space="preserve">, and an especially high outlier data point correlating with a regional outbreak in </w:t>
      </w:r>
      <w:r w:rsidR="009D19CF">
        <w:t xml:space="preserve">2014. </w:t>
      </w:r>
      <w:r w:rsidR="00824A70">
        <w:t xml:space="preserve">Southeast </w:t>
      </w:r>
      <w:r w:rsidR="00B0316E">
        <w:t>Asian</w:t>
      </w:r>
      <w:r w:rsidR="00F96153">
        <w:t xml:space="preserve"> countries </w:t>
      </w:r>
      <w:r w:rsidR="00F615F4">
        <w:t>also seem to track together</w:t>
      </w:r>
      <w:r w:rsidR="00137C4A">
        <w:t xml:space="preserve"> </w:t>
      </w:r>
      <w:r w:rsidR="002251C2">
        <w:t>for periods of time</w:t>
      </w:r>
      <w:r w:rsidR="00A67E2B">
        <w:t xml:space="preserve"> </w:t>
      </w:r>
      <w:proofErr w:type="gramStart"/>
      <w:r w:rsidR="00A67E2B">
        <w:t>and also</w:t>
      </w:r>
      <w:proofErr w:type="gramEnd"/>
      <w:r w:rsidR="00A67E2B">
        <w:t xml:space="preserve"> </w:t>
      </w:r>
      <w:r w:rsidR="00824A70">
        <w:t>express</w:t>
      </w:r>
      <w:r w:rsidR="002251C2">
        <w:t xml:space="preserve"> similar peaks</w:t>
      </w:r>
      <w:r w:rsidR="00824A70">
        <w:t xml:space="preserve"> in number of cases,</w:t>
      </w:r>
      <w:r w:rsidR="002251C2">
        <w:t xml:space="preserve"> but in </w:t>
      </w:r>
      <w:r w:rsidR="00824A70">
        <w:t>different years</w:t>
      </w:r>
      <w:r w:rsidR="002251C2">
        <w:t xml:space="preserve">. </w:t>
      </w:r>
    </w:p>
    <w:p w14:paraId="53A1467E" w14:textId="5D488CE4" w:rsidR="009D19CF" w:rsidRDefault="009D19CF"/>
    <w:p w14:paraId="0B5BD24F" w14:textId="2258724F" w:rsidR="00824A70" w:rsidRPr="00C926F7" w:rsidRDefault="00824A70">
      <w:pPr>
        <w:rPr>
          <w:b/>
        </w:rPr>
      </w:pPr>
      <w:r w:rsidRPr="00C926F7">
        <w:rPr>
          <w:b/>
        </w:rPr>
        <w:t xml:space="preserve">Table 1. Country </w:t>
      </w:r>
      <w:r w:rsidR="00C926F7">
        <w:rPr>
          <w:b/>
        </w:rPr>
        <w:t>P</w:t>
      </w:r>
      <w:r w:rsidRPr="00C926F7">
        <w:rPr>
          <w:b/>
        </w:rPr>
        <w:t>rofiles</w:t>
      </w:r>
    </w:p>
    <w:tbl>
      <w:tblPr>
        <w:tblStyle w:val="TableGrid"/>
        <w:tblW w:w="0" w:type="auto"/>
        <w:tblLook w:val="04A0" w:firstRow="1" w:lastRow="0" w:firstColumn="1" w:lastColumn="0" w:noHBand="0" w:noVBand="1"/>
      </w:tblPr>
      <w:tblGrid>
        <w:gridCol w:w="3116"/>
        <w:gridCol w:w="3124"/>
        <w:gridCol w:w="3110"/>
      </w:tblGrid>
      <w:tr w:rsidR="007202E0" w14:paraId="7D61355E" w14:textId="77777777" w:rsidTr="007202E0">
        <w:tc>
          <w:tcPr>
            <w:tcW w:w="3192" w:type="dxa"/>
          </w:tcPr>
          <w:p w14:paraId="50459F52" w14:textId="054ECE29" w:rsidR="007202E0" w:rsidRPr="00C926F7" w:rsidRDefault="007202E0" w:rsidP="0061190E">
            <w:pPr>
              <w:jc w:val="center"/>
              <w:rPr>
                <w:b/>
              </w:rPr>
            </w:pPr>
            <w:r w:rsidRPr="00C926F7">
              <w:rPr>
                <w:b/>
              </w:rPr>
              <w:t>Country</w:t>
            </w:r>
          </w:p>
        </w:tc>
        <w:tc>
          <w:tcPr>
            <w:tcW w:w="3192" w:type="dxa"/>
          </w:tcPr>
          <w:p w14:paraId="19FDF52B" w14:textId="36DC23C4" w:rsidR="007202E0" w:rsidRPr="00C926F7" w:rsidRDefault="007202E0" w:rsidP="0061190E">
            <w:pPr>
              <w:jc w:val="center"/>
              <w:rPr>
                <w:b/>
              </w:rPr>
            </w:pPr>
            <w:r w:rsidRPr="00C926F7">
              <w:rPr>
                <w:b/>
              </w:rPr>
              <w:t>Population</w:t>
            </w:r>
            <w:r w:rsidR="00C926F7">
              <w:rPr>
                <w:b/>
              </w:rPr>
              <w:t xml:space="preserve"> (Million)</w:t>
            </w:r>
          </w:p>
        </w:tc>
        <w:tc>
          <w:tcPr>
            <w:tcW w:w="3192" w:type="dxa"/>
          </w:tcPr>
          <w:p w14:paraId="3EB33E13" w14:textId="12F44C69" w:rsidR="007202E0" w:rsidRPr="00C926F7" w:rsidRDefault="007202E0" w:rsidP="0061190E">
            <w:pPr>
              <w:tabs>
                <w:tab w:val="center" w:pos="1488"/>
              </w:tabs>
              <w:jc w:val="center"/>
              <w:rPr>
                <w:b/>
              </w:rPr>
            </w:pPr>
            <w:r w:rsidRPr="00C926F7">
              <w:rPr>
                <w:b/>
              </w:rPr>
              <w:t>GDP</w:t>
            </w:r>
            <w:r w:rsidR="00CA00EB" w:rsidRPr="00C926F7">
              <w:rPr>
                <w:b/>
              </w:rPr>
              <w:t xml:space="preserve"> (</w:t>
            </w:r>
            <w:r w:rsidR="00C926F7">
              <w:rPr>
                <w:b/>
              </w:rPr>
              <w:t xml:space="preserve">Million </w:t>
            </w:r>
            <w:r w:rsidR="00CA00EB" w:rsidRPr="00C926F7">
              <w:rPr>
                <w:b/>
              </w:rPr>
              <w:t>US</w:t>
            </w:r>
            <w:r w:rsidR="00C926F7">
              <w:rPr>
                <w:b/>
              </w:rPr>
              <w:t>D</w:t>
            </w:r>
            <w:r w:rsidR="00CA00EB" w:rsidRPr="00C926F7">
              <w:rPr>
                <w:b/>
              </w:rPr>
              <w:t>, 2016)</w:t>
            </w:r>
          </w:p>
        </w:tc>
      </w:tr>
      <w:tr w:rsidR="007202E0" w14:paraId="2548A21A" w14:textId="77777777" w:rsidTr="007202E0">
        <w:tc>
          <w:tcPr>
            <w:tcW w:w="3192" w:type="dxa"/>
          </w:tcPr>
          <w:p w14:paraId="15494885" w14:textId="1FC92EC5" w:rsidR="007202E0" w:rsidRDefault="00CA00EB" w:rsidP="00C926F7">
            <w:pPr>
              <w:jc w:val="center"/>
            </w:pPr>
            <w:r>
              <w:t>Nigeria</w:t>
            </w:r>
          </w:p>
        </w:tc>
        <w:tc>
          <w:tcPr>
            <w:tcW w:w="3192" w:type="dxa"/>
          </w:tcPr>
          <w:p w14:paraId="376FC30D" w14:textId="52DBB107" w:rsidR="007202E0" w:rsidRDefault="00C926F7" w:rsidP="00C926F7">
            <w:pPr>
              <w:jc w:val="center"/>
            </w:pPr>
            <w:r>
              <w:t>186</w:t>
            </w:r>
          </w:p>
        </w:tc>
        <w:tc>
          <w:tcPr>
            <w:tcW w:w="3192" w:type="dxa"/>
          </w:tcPr>
          <w:p w14:paraId="559A8E0E" w14:textId="18B7BCF7" w:rsidR="007202E0" w:rsidRDefault="00CA00EB" w:rsidP="00C926F7">
            <w:pPr>
              <w:jc w:val="center"/>
            </w:pPr>
            <w:r>
              <w:t>405.1</w:t>
            </w:r>
          </w:p>
        </w:tc>
      </w:tr>
      <w:tr w:rsidR="007202E0" w14:paraId="3EE0FF0A" w14:textId="77777777" w:rsidTr="007202E0">
        <w:tc>
          <w:tcPr>
            <w:tcW w:w="3192" w:type="dxa"/>
          </w:tcPr>
          <w:p w14:paraId="6E7F9250" w14:textId="1E903570" w:rsidR="007202E0" w:rsidRDefault="00CA00EB" w:rsidP="00C926F7">
            <w:pPr>
              <w:jc w:val="center"/>
            </w:pPr>
            <w:r>
              <w:t>Niger</w:t>
            </w:r>
          </w:p>
        </w:tc>
        <w:tc>
          <w:tcPr>
            <w:tcW w:w="3192" w:type="dxa"/>
          </w:tcPr>
          <w:p w14:paraId="2F1D0338" w14:textId="7A7FF51A" w:rsidR="007202E0" w:rsidRDefault="00C926F7" w:rsidP="00C926F7">
            <w:pPr>
              <w:jc w:val="center"/>
            </w:pPr>
            <w:r>
              <w:t>20.6</w:t>
            </w:r>
          </w:p>
        </w:tc>
        <w:tc>
          <w:tcPr>
            <w:tcW w:w="3192" w:type="dxa"/>
          </w:tcPr>
          <w:p w14:paraId="07115470" w14:textId="3014D1A6" w:rsidR="007202E0" w:rsidRDefault="00CA00EB" w:rsidP="00C926F7">
            <w:pPr>
              <w:jc w:val="center"/>
            </w:pPr>
            <w:r>
              <w:t>7.5</w:t>
            </w:r>
          </w:p>
        </w:tc>
      </w:tr>
      <w:tr w:rsidR="007202E0" w14:paraId="23E9B874" w14:textId="77777777" w:rsidTr="007202E0">
        <w:tc>
          <w:tcPr>
            <w:tcW w:w="3192" w:type="dxa"/>
          </w:tcPr>
          <w:p w14:paraId="58A4FEDE" w14:textId="52D996A1" w:rsidR="007202E0" w:rsidRDefault="00CA00EB" w:rsidP="00C926F7">
            <w:pPr>
              <w:jc w:val="center"/>
            </w:pPr>
            <w:r>
              <w:t>Thailand</w:t>
            </w:r>
          </w:p>
        </w:tc>
        <w:tc>
          <w:tcPr>
            <w:tcW w:w="3192" w:type="dxa"/>
          </w:tcPr>
          <w:p w14:paraId="4CD27B7D" w14:textId="6251CF0D" w:rsidR="007202E0" w:rsidRDefault="00C926F7" w:rsidP="00C926F7">
            <w:pPr>
              <w:jc w:val="center"/>
            </w:pPr>
            <w:r>
              <w:t>69</w:t>
            </w:r>
          </w:p>
        </w:tc>
        <w:tc>
          <w:tcPr>
            <w:tcW w:w="3192" w:type="dxa"/>
          </w:tcPr>
          <w:p w14:paraId="41D85961" w14:textId="0EB771CE" w:rsidR="007202E0" w:rsidRDefault="00CA00EB" w:rsidP="00C926F7">
            <w:pPr>
              <w:jc w:val="center"/>
            </w:pPr>
            <w:r>
              <w:t>406.8</w:t>
            </w:r>
          </w:p>
        </w:tc>
      </w:tr>
      <w:tr w:rsidR="007202E0" w14:paraId="08D7D7F3" w14:textId="77777777" w:rsidTr="007202E0">
        <w:tc>
          <w:tcPr>
            <w:tcW w:w="3192" w:type="dxa"/>
          </w:tcPr>
          <w:p w14:paraId="5856084A" w14:textId="6E8799E4" w:rsidR="007202E0" w:rsidRDefault="00CA00EB" w:rsidP="00C926F7">
            <w:pPr>
              <w:jc w:val="center"/>
            </w:pPr>
            <w:r>
              <w:t>Myanmar</w:t>
            </w:r>
          </w:p>
        </w:tc>
        <w:tc>
          <w:tcPr>
            <w:tcW w:w="3192" w:type="dxa"/>
          </w:tcPr>
          <w:p w14:paraId="7788EA07" w14:textId="2E797F37" w:rsidR="007202E0" w:rsidRDefault="00C926F7" w:rsidP="00C926F7">
            <w:pPr>
              <w:jc w:val="center"/>
            </w:pPr>
            <w:r>
              <w:t>53</w:t>
            </w:r>
          </w:p>
        </w:tc>
        <w:tc>
          <w:tcPr>
            <w:tcW w:w="3192" w:type="dxa"/>
          </w:tcPr>
          <w:p w14:paraId="5A870501" w14:textId="33E0BCE1" w:rsidR="007202E0" w:rsidRDefault="00CA00EB" w:rsidP="00C926F7">
            <w:pPr>
              <w:jc w:val="center"/>
            </w:pPr>
            <w:r>
              <w:t>67.4</w:t>
            </w:r>
          </w:p>
        </w:tc>
      </w:tr>
    </w:tbl>
    <w:p w14:paraId="02EFBC81" w14:textId="77777777" w:rsidR="007202E0" w:rsidRDefault="007202E0"/>
    <w:p w14:paraId="20C30D9F" w14:textId="257BB6B6" w:rsidR="0052452A" w:rsidRDefault="00A04EF9" w:rsidP="000F4ECF">
      <w:r>
        <w:rPr>
          <w:noProof/>
        </w:rPr>
        <w:lastRenderedPageBreak/>
        <w:drawing>
          <wp:inline distT="0" distB="0" distL="0" distR="0" wp14:anchorId="161D357E" wp14:editId="1F3E5598">
            <wp:extent cx="5486411" cy="3657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leraPerYear_Afric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50B2EF5D" w14:textId="3EE2BDB7" w:rsidR="0052452A" w:rsidRDefault="00C01C7F" w:rsidP="000F4ECF">
      <w:r w:rsidRPr="00C01C7F">
        <w:rPr>
          <w:b/>
        </w:rPr>
        <w:t>Figure 1</w:t>
      </w:r>
      <w:r>
        <w:t xml:space="preserve">: Cholera Cases in </w:t>
      </w:r>
      <w:r w:rsidR="00824A70">
        <w:t xml:space="preserve">West </w:t>
      </w:r>
      <w:r>
        <w:t>Africa</w:t>
      </w:r>
      <w:r w:rsidR="00F671C3">
        <w:t>n</w:t>
      </w:r>
      <w:r>
        <w:t xml:space="preserve"> Border Countries.</w:t>
      </w:r>
    </w:p>
    <w:p w14:paraId="3255A1C3" w14:textId="77777777" w:rsidR="007D698C" w:rsidRDefault="007D698C" w:rsidP="000F4ECF"/>
    <w:p w14:paraId="795A887D" w14:textId="1768388C" w:rsidR="00C01C7F" w:rsidRDefault="00C01C7F" w:rsidP="000F4ECF">
      <w:r>
        <w:rPr>
          <w:noProof/>
        </w:rPr>
        <w:drawing>
          <wp:inline distT="0" distB="0" distL="0" distR="0" wp14:anchorId="144E1DDE" wp14:editId="0C4CE612">
            <wp:extent cx="5486411" cy="3657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leraPerYear_As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3F9C3EC6" w14:textId="6DE075D6" w:rsidR="00C01C7F" w:rsidRDefault="00C01C7F" w:rsidP="00C01C7F">
      <w:r w:rsidRPr="00C01C7F">
        <w:rPr>
          <w:b/>
        </w:rPr>
        <w:t xml:space="preserve">Figure </w:t>
      </w:r>
      <w:r>
        <w:rPr>
          <w:b/>
        </w:rPr>
        <w:t>2</w:t>
      </w:r>
      <w:r>
        <w:t xml:space="preserve">: Cholera Cases in </w:t>
      </w:r>
      <w:r w:rsidR="00824A70">
        <w:t xml:space="preserve">Southeast </w:t>
      </w:r>
      <w:r>
        <w:t>Asian Border Countries.</w:t>
      </w:r>
    </w:p>
    <w:p w14:paraId="65D074AF" w14:textId="56820988" w:rsidR="002C3CDE" w:rsidRDefault="002C3CDE" w:rsidP="000F4ECF"/>
    <w:p w14:paraId="229764B5" w14:textId="2EECF87B" w:rsidR="00E70224" w:rsidRDefault="00E95B61" w:rsidP="009D19CF">
      <w:r>
        <w:t>Water resource indicators were also plotted for each border country to help understand potential correlations</w:t>
      </w:r>
      <w:r w:rsidR="00824A70">
        <w:t xml:space="preserve"> between cholera incidence, the quality of the nation’s water infrastructure, and </w:t>
      </w:r>
      <w:r w:rsidR="00824A70">
        <w:lastRenderedPageBreak/>
        <w:t>shared water</w:t>
      </w:r>
      <w:r>
        <w:t xml:space="preserve">. </w:t>
      </w:r>
      <w:r w:rsidR="005B1F05">
        <w:t xml:space="preserve">Both access to clean drinking water and </w:t>
      </w:r>
      <w:r w:rsidR="00D679FE">
        <w:t xml:space="preserve">dependence are shown for </w:t>
      </w:r>
      <w:r w:rsidR="00824A70">
        <w:t xml:space="preserve">West </w:t>
      </w:r>
      <w:r w:rsidR="00D679FE">
        <w:t>African (</w:t>
      </w:r>
      <w:r w:rsidR="00D679FE" w:rsidRPr="00D679FE">
        <w:rPr>
          <w:b/>
        </w:rPr>
        <w:t>Figure 3</w:t>
      </w:r>
      <w:r w:rsidR="00D679FE">
        <w:t xml:space="preserve">), and </w:t>
      </w:r>
      <w:r w:rsidR="00824A70">
        <w:t xml:space="preserve">Southeast </w:t>
      </w:r>
      <w:r w:rsidR="00D679FE">
        <w:t>Asian countries (</w:t>
      </w:r>
      <w:r w:rsidR="00D679FE" w:rsidRPr="00D679FE">
        <w:rPr>
          <w:b/>
        </w:rPr>
        <w:t>Figure 4</w:t>
      </w:r>
      <w:r w:rsidR="00D679FE">
        <w:t>).</w:t>
      </w:r>
      <w:r w:rsidR="00104C81">
        <w:t xml:space="preserve"> Dependency expresses the percent of total renewable water resources originating outside the country and can vary between 0 to 100 percent. A dependency ratio of zero equates to no water from neighboring countries, where</w:t>
      </w:r>
      <w:r w:rsidR="00137C4A">
        <w:t>as</w:t>
      </w:r>
      <w:r w:rsidR="00104C81">
        <w:t xml:space="preserve"> 100 percent equates to full dependency from upstream countries.</w:t>
      </w:r>
      <w:r w:rsidR="00F8617B">
        <w:t xml:space="preserve"> </w:t>
      </w:r>
    </w:p>
    <w:p w14:paraId="2F2B2826" w14:textId="25B0075B" w:rsidR="00E95B61" w:rsidRDefault="00E95B61" w:rsidP="009D19CF"/>
    <w:p w14:paraId="6D1707D2" w14:textId="721224A4" w:rsidR="00E95B61" w:rsidRDefault="00E95B61" w:rsidP="009D19CF">
      <w:r>
        <w:rPr>
          <w:noProof/>
        </w:rPr>
        <w:drawing>
          <wp:inline distT="0" distB="0" distL="0" distR="0" wp14:anchorId="3D14A2C3" wp14:editId="2E9A6342">
            <wp:extent cx="5943600" cy="2834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essToWater_Afric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4005"/>
                    </a:xfrm>
                    <a:prstGeom prst="rect">
                      <a:avLst/>
                    </a:prstGeom>
                  </pic:spPr>
                </pic:pic>
              </a:graphicData>
            </a:graphic>
          </wp:inline>
        </w:drawing>
      </w:r>
    </w:p>
    <w:p w14:paraId="70259F56" w14:textId="45A84DC5" w:rsidR="00E70224" w:rsidRDefault="00E95B61" w:rsidP="009D19CF">
      <w:r w:rsidRPr="00E95B61">
        <w:rPr>
          <w:b/>
        </w:rPr>
        <w:t>Figure 3</w:t>
      </w:r>
      <w:r>
        <w:t>: Access to Clean Water</w:t>
      </w:r>
      <w:r w:rsidR="00822767">
        <w:t xml:space="preserve"> and</w:t>
      </w:r>
      <w:r>
        <w:t xml:space="preserve"> Water Dependence in Africa</w:t>
      </w:r>
      <w:r w:rsidR="00D44D26">
        <w:t>.</w:t>
      </w:r>
    </w:p>
    <w:p w14:paraId="410FEA8E" w14:textId="768746E8" w:rsidR="00E70224" w:rsidRDefault="00E70224" w:rsidP="009D19CF"/>
    <w:p w14:paraId="3EB83BB3" w14:textId="2658E764" w:rsidR="00D44D26" w:rsidRDefault="00D44D26" w:rsidP="009D19CF">
      <w:r>
        <w:rPr>
          <w:noProof/>
        </w:rPr>
        <w:drawing>
          <wp:inline distT="0" distB="0" distL="0" distR="0" wp14:anchorId="3BB1A54B" wp14:editId="02525A8A">
            <wp:extent cx="5943600" cy="2795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essToWater_Asi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p>
    <w:p w14:paraId="24185C87" w14:textId="55A274BE" w:rsidR="00D44D26" w:rsidRDefault="00D44D26" w:rsidP="009D19CF"/>
    <w:p w14:paraId="32519BFE" w14:textId="34F5681F" w:rsidR="00D44D26" w:rsidRDefault="00D44D26" w:rsidP="00D44D26">
      <w:r w:rsidRPr="00E95B61">
        <w:rPr>
          <w:b/>
        </w:rPr>
        <w:t xml:space="preserve">Figure </w:t>
      </w:r>
      <w:r>
        <w:rPr>
          <w:b/>
        </w:rPr>
        <w:t>4</w:t>
      </w:r>
      <w:r>
        <w:t>: Access to Clean Water and Water Dependence in Asia.</w:t>
      </w:r>
    </w:p>
    <w:p w14:paraId="546584B9" w14:textId="55E622F2" w:rsidR="003453FD" w:rsidRDefault="003453FD">
      <w:r>
        <w:br w:type="page"/>
      </w:r>
    </w:p>
    <w:p w14:paraId="29DD211F" w14:textId="0D62BE93" w:rsidR="00D103D2" w:rsidRDefault="00D103D2" w:rsidP="00B76D30">
      <w:r>
        <w:lastRenderedPageBreak/>
        <w:t>For the purposes of discussion</w:t>
      </w:r>
      <w:r w:rsidR="007D7057">
        <w:t xml:space="preserve"> thus far</w:t>
      </w:r>
      <w:r>
        <w:t xml:space="preserve">, </w:t>
      </w:r>
      <w:r w:rsidR="00E41325">
        <w:t xml:space="preserve">only a selection of bordering </w:t>
      </w:r>
      <w:r>
        <w:t xml:space="preserve">countries </w:t>
      </w:r>
      <w:r w:rsidR="00BA7387">
        <w:t>where</w:t>
      </w:r>
      <w:r>
        <w:t xml:space="preserve"> analyzed, over a period of 14 years. </w:t>
      </w:r>
      <w:r w:rsidR="00E41325">
        <w:t xml:space="preserve">To </w:t>
      </w:r>
      <w:r w:rsidR="00884784">
        <w:t xml:space="preserve">support the analysis of </w:t>
      </w:r>
      <w:r w:rsidR="00E41325">
        <w:t xml:space="preserve">potential </w:t>
      </w:r>
      <w:r w:rsidR="009E7FDF">
        <w:t xml:space="preserve">correlation between water resource indicators and </w:t>
      </w:r>
      <w:r w:rsidR="00E41325">
        <w:t xml:space="preserve">Cholera rates </w:t>
      </w:r>
      <w:r w:rsidR="00B76D30">
        <w:t xml:space="preserve">over a larger sample set, all countries </w:t>
      </w:r>
      <w:r w:rsidR="00824A70">
        <w:t xml:space="preserve">with available 2016 data are analyzed in </w:t>
      </w:r>
      <w:r w:rsidR="001E42B0" w:rsidRPr="001E42B0">
        <w:rPr>
          <w:b/>
        </w:rPr>
        <w:t>Figures 5</w:t>
      </w:r>
      <w:r w:rsidR="001E42B0">
        <w:t xml:space="preserve"> and </w:t>
      </w:r>
      <w:r w:rsidR="001E42B0" w:rsidRPr="001E42B0">
        <w:rPr>
          <w:b/>
        </w:rPr>
        <w:t>6</w:t>
      </w:r>
      <w:r w:rsidR="00C234D0">
        <w:t>.</w:t>
      </w:r>
    </w:p>
    <w:p w14:paraId="2ED19880" w14:textId="77777777" w:rsidR="001A0084" w:rsidRDefault="001A0084" w:rsidP="00D103D2"/>
    <w:p w14:paraId="452D2B2C" w14:textId="2C50B465" w:rsidR="00D103D2" w:rsidRDefault="00A04EF9" w:rsidP="00D103D2">
      <w:r>
        <w:rPr>
          <w:noProof/>
        </w:rPr>
        <w:drawing>
          <wp:inline distT="0" distB="0" distL="0" distR="0" wp14:anchorId="2F2553B8" wp14:editId="76E10459">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resson_Dependency_vs_cases.png"/>
                    <pic:cNvPicPr/>
                  </pic:nvPicPr>
                  <pic:blipFill>
                    <a:blip r:embed="rId1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33058F2B" w14:textId="78104696" w:rsidR="00D44D26" w:rsidRDefault="009B6866" w:rsidP="009D19CF">
      <w:r w:rsidRPr="009B6866">
        <w:rPr>
          <w:b/>
        </w:rPr>
        <w:t>Figure 5</w:t>
      </w:r>
      <w:r>
        <w:t>: Water Resources Indicator Versus Cholera Cases. Dataset includes outliers</w:t>
      </w:r>
    </w:p>
    <w:p w14:paraId="2370EB78" w14:textId="3E06218D" w:rsidR="009B6866" w:rsidRDefault="009B6866" w:rsidP="009D19CF"/>
    <w:p w14:paraId="0C41F897" w14:textId="3DFE61C8" w:rsidR="009B6866" w:rsidRDefault="00A04EF9" w:rsidP="009D19CF">
      <w:r>
        <w:rPr>
          <w:noProof/>
        </w:rPr>
        <w:drawing>
          <wp:inline distT="0" distB="0" distL="0" distR="0" wp14:anchorId="62FA0501" wp14:editId="63506412">
            <wp:extent cx="5006975" cy="333798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son_on_2016_Data.png"/>
                    <pic:cNvPicPr/>
                  </pic:nvPicPr>
                  <pic:blipFill>
                    <a:blip r:embed="rId12">
                      <a:extLst>
                        <a:ext uri="{28A0092B-C50C-407E-A947-70E740481C1C}">
                          <a14:useLocalDpi xmlns:a14="http://schemas.microsoft.com/office/drawing/2010/main" val="0"/>
                        </a:ext>
                      </a:extLst>
                    </a:blip>
                    <a:stretch>
                      <a:fillRect/>
                    </a:stretch>
                  </pic:blipFill>
                  <pic:spPr>
                    <a:xfrm>
                      <a:off x="0" y="0"/>
                      <a:ext cx="5027502" cy="3351668"/>
                    </a:xfrm>
                    <a:prstGeom prst="rect">
                      <a:avLst/>
                    </a:prstGeom>
                  </pic:spPr>
                </pic:pic>
              </a:graphicData>
            </a:graphic>
          </wp:inline>
        </w:drawing>
      </w:r>
    </w:p>
    <w:p w14:paraId="6261C052" w14:textId="32EB27D4" w:rsidR="00AF5919" w:rsidRDefault="00886563">
      <w:r w:rsidRPr="009B6866">
        <w:rPr>
          <w:b/>
        </w:rPr>
        <w:t xml:space="preserve">Figure </w:t>
      </w:r>
      <w:r>
        <w:rPr>
          <w:b/>
        </w:rPr>
        <w:t>6</w:t>
      </w:r>
      <w:r>
        <w:t>: Water Resources Indicator Versus Cholera Cases. Outliers removed.</w:t>
      </w:r>
    </w:p>
    <w:p w14:paraId="10514AD4" w14:textId="79BA8FD0" w:rsidR="000F4ECF" w:rsidRDefault="000F4ECF" w:rsidP="000F4ECF">
      <w:pPr>
        <w:rPr>
          <w:b/>
          <w:sz w:val="24"/>
          <w:szCs w:val="24"/>
        </w:rPr>
      </w:pPr>
      <w:r>
        <w:rPr>
          <w:b/>
          <w:sz w:val="24"/>
          <w:szCs w:val="24"/>
        </w:rPr>
        <w:lastRenderedPageBreak/>
        <w:t>Conclusions</w:t>
      </w:r>
      <w:bookmarkStart w:id="0" w:name="_GoBack"/>
      <w:bookmarkEnd w:id="0"/>
    </w:p>
    <w:p w14:paraId="19B057A6" w14:textId="2035D017" w:rsidR="000F4ECF" w:rsidRDefault="000F4ECF" w:rsidP="000F4ECF">
      <w:r>
        <w:t xml:space="preserve">This analysis was based on a limited dataset, </w:t>
      </w:r>
      <w:r w:rsidR="00E10065">
        <w:t xml:space="preserve">only using </w:t>
      </w:r>
      <w:r w:rsidR="00C069F2">
        <w:t xml:space="preserve">bordering countries within two different parts of the world, for a total of 4 countries. </w:t>
      </w:r>
      <w:r w:rsidR="004C7ADF">
        <w:t xml:space="preserve">In addition, other </w:t>
      </w:r>
      <w:r>
        <w:t xml:space="preserve">categories </w:t>
      </w:r>
      <w:r w:rsidR="004C7ADF">
        <w:t xml:space="preserve">beyond water resource indicators </w:t>
      </w:r>
      <w:r>
        <w:t xml:space="preserve">could also be available to help understand </w:t>
      </w:r>
      <w:r w:rsidR="004C7ADF">
        <w:t>potential correlations to Cholera incidence rates</w:t>
      </w:r>
      <w:r>
        <w:t xml:space="preserve">. </w:t>
      </w:r>
      <w:r w:rsidR="00824A70">
        <w:t>The data support</w:t>
      </w:r>
      <w:r w:rsidR="00137C4A">
        <w:t>s</w:t>
      </w:r>
      <w:r w:rsidR="00824A70">
        <w:t xml:space="preserve"> the following conclusions</w:t>
      </w:r>
      <w:r>
        <w:t>:</w:t>
      </w:r>
    </w:p>
    <w:p w14:paraId="0B9EDDA2" w14:textId="77777777" w:rsidR="00824A70" w:rsidRDefault="00824A70" w:rsidP="000F4ECF"/>
    <w:p w14:paraId="1D1F2A5D" w14:textId="18230DA7" w:rsidR="000F4ECF" w:rsidRDefault="002D795E" w:rsidP="000F4ECF">
      <w:pPr>
        <w:pStyle w:val="ListParagraph"/>
        <w:numPr>
          <w:ilvl w:val="0"/>
          <w:numId w:val="5"/>
        </w:numPr>
        <w:spacing w:after="160" w:line="259" w:lineRule="auto"/>
      </w:pPr>
      <w:r>
        <w:t xml:space="preserve">Bordering countries show Cholera rates </w:t>
      </w:r>
      <w:proofErr w:type="gramStart"/>
      <w:r>
        <w:t>similar to</w:t>
      </w:r>
      <w:proofErr w:type="gramEnd"/>
      <w:r>
        <w:t xml:space="preserve"> each other and </w:t>
      </w:r>
      <w:r w:rsidR="00824A70">
        <w:t xml:space="preserve">see similar peaks in number of cases, but not necessarily in the same year. </w:t>
      </w:r>
    </w:p>
    <w:p w14:paraId="60F9923C" w14:textId="13CF6E20" w:rsidR="004345AA" w:rsidRDefault="002D795E" w:rsidP="000F4ECF">
      <w:pPr>
        <w:pStyle w:val="ListParagraph"/>
        <w:numPr>
          <w:ilvl w:val="0"/>
          <w:numId w:val="5"/>
        </w:numPr>
        <w:spacing w:after="160" w:line="259" w:lineRule="auto"/>
      </w:pPr>
      <w:r>
        <w:t>A</w:t>
      </w:r>
      <w:r w:rsidR="00137C4A">
        <w:t>cc</w:t>
      </w:r>
      <w:r>
        <w:t>ess to clean water tends to increase for each country over time, while dependence on water remains constant throughout</w:t>
      </w:r>
      <w:r w:rsidR="000F4ECF">
        <w:t>.</w:t>
      </w:r>
    </w:p>
    <w:p w14:paraId="4FA8E7F5" w14:textId="65EF6B2A" w:rsidR="000F4ECF" w:rsidRDefault="004345AA" w:rsidP="000F4ECF">
      <w:pPr>
        <w:pStyle w:val="ListParagraph"/>
        <w:numPr>
          <w:ilvl w:val="0"/>
          <w:numId w:val="5"/>
        </w:numPr>
        <w:spacing w:after="160" w:line="259" w:lineRule="auto"/>
      </w:pPr>
      <w:r>
        <w:t xml:space="preserve">Rates of Cholera tend to be independent from </w:t>
      </w:r>
      <w:r w:rsidR="003B2DF3">
        <w:t xml:space="preserve">water resource indicators </w:t>
      </w:r>
      <w:r>
        <w:t>(within each country).</w:t>
      </w:r>
      <w:r w:rsidR="000F4ECF">
        <w:t xml:space="preserve"> </w:t>
      </w:r>
    </w:p>
    <w:p w14:paraId="423A6AC7" w14:textId="4B6E50DE" w:rsidR="00C069F2" w:rsidRDefault="00824A70" w:rsidP="00AD51DC">
      <w:pPr>
        <w:rPr>
          <w:b/>
        </w:rPr>
      </w:pPr>
      <w:r>
        <w:t xml:space="preserve">A direct correlation between </w:t>
      </w:r>
      <w:r w:rsidR="00F01416">
        <w:t xml:space="preserve">water resource indicators and Cholera incidences </w:t>
      </w:r>
      <w:r>
        <w:t>was not observed from this data</w:t>
      </w:r>
      <w:r w:rsidR="00F01416">
        <w:t xml:space="preserve">. As noted, the entirety of </w:t>
      </w:r>
      <w:r w:rsidR="00C069F2">
        <w:t>available information</w:t>
      </w:r>
      <w:r w:rsidR="00F01416">
        <w:t xml:space="preserve"> was not incorporated into this analysis</w:t>
      </w:r>
      <w:r w:rsidR="00C069F2">
        <w:t xml:space="preserve">, which limits a more complete </w:t>
      </w:r>
      <w:r w:rsidR="00F01416">
        <w:t xml:space="preserve">view. </w:t>
      </w:r>
      <w:r>
        <w:t>A regression analysis of</w:t>
      </w:r>
      <w:r w:rsidR="00F01416">
        <w:t xml:space="preserve"> a </w:t>
      </w:r>
      <w:r>
        <w:t xml:space="preserve">global </w:t>
      </w:r>
      <w:r w:rsidR="00F01416">
        <w:t xml:space="preserve">dataset, with and without outliers, </w:t>
      </w:r>
      <w:r>
        <w:t>does</w:t>
      </w:r>
      <w:r w:rsidR="00F01416">
        <w:t xml:space="preserve"> not suggest a strong correlation with a low R</w:t>
      </w:r>
      <w:r w:rsidR="00F01416" w:rsidRPr="00F01416">
        <w:rPr>
          <w:vertAlign w:val="superscript"/>
        </w:rPr>
        <w:t>2</w:t>
      </w:r>
      <w:r w:rsidR="00F01416">
        <w:t xml:space="preserve"> in both cases.</w:t>
      </w:r>
      <w:r w:rsidR="003B2DF3">
        <w:t xml:space="preserve"> </w:t>
      </w:r>
      <w:r>
        <w:t xml:space="preserve">(Notably, major outliers in the global analysis are experiencing </w:t>
      </w:r>
      <w:r w:rsidR="003B2DF3">
        <w:t>civil unrest.</w:t>
      </w:r>
      <w:r>
        <w:t>)</w:t>
      </w:r>
      <w:r w:rsidR="003B2DF3">
        <w:t xml:space="preserve"> </w:t>
      </w:r>
      <w:r w:rsidR="00332683">
        <w:t>However, it can be inferred, with the overall increase in regression statistics</w:t>
      </w:r>
      <w:r w:rsidR="00E47182">
        <w:t xml:space="preserve"> without outliers</w:t>
      </w:r>
      <w:r w:rsidR="00332683">
        <w:t xml:space="preserve">, </w:t>
      </w:r>
      <w:r w:rsidR="003B2DF3">
        <w:t xml:space="preserve">a higher </w:t>
      </w:r>
      <w:r w:rsidR="00332683">
        <w:t xml:space="preserve">water </w:t>
      </w:r>
      <w:r w:rsidR="003B2DF3">
        <w:t xml:space="preserve">dependency ratio increases </w:t>
      </w:r>
      <w:r w:rsidR="00E47182">
        <w:t xml:space="preserve">the potential risk to Cholera </w:t>
      </w:r>
      <w:r w:rsidR="007E28B2">
        <w:t>infection</w:t>
      </w:r>
      <w:r w:rsidR="006105C8">
        <w:t>.</w:t>
      </w:r>
    </w:p>
    <w:p w14:paraId="078F8521" w14:textId="77777777" w:rsidR="00C069F2" w:rsidRDefault="00C069F2" w:rsidP="00AD51DC">
      <w:pPr>
        <w:contextualSpacing w:val="0"/>
        <w:rPr>
          <w:b/>
        </w:rPr>
      </w:pPr>
    </w:p>
    <w:p w14:paraId="6E417438" w14:textId="785472BC" w:rsidR="007D698C" w:rsidRDefault="00DD6695" w:rsidP="007D698C">
      <w:pPr>
        <w:contextualSpacing w:val="0"/>
        <w:rPr>
          <w:b/>
        </w:rPr>
      </w:pPr>
      <w:r>
        <w:rPr>
          <w:b/>
        </w:rPr>
        <w:t>Source Data for Analysis</w:t>
      </w:r>
    </w:p>
    <w:p w14:paraId="6014803A" w14:textId="77777777" w:rsidR="007D698C" w:rsidRDefault="007D698C" w:rsidP="007D698C">
      <w:pPr>
        <w:contextualSpacing w:val="0"/>
      </w:pPr>
      <w:r>
        <w:t xml:space="preserve">FAO: </w:t>
      </w:r>
    </w:p>
    <w:p w14:paraId="0D8822E4" w14:textId="77777777" w:rsidR="007D698C" w:rsidRDefault="007D698C" w:rsidP="007D698C">
      <w:pPr>
        <w:contextualSpacing w:val="0"/>
      </w:pPr>
      <w:proofErr w:type="spellStart"/>
      <w:r>
        <w:t>Aquastat</w:t>
      </w:r>
      <w:proofErr w:type="spellEnd"/>
      <w:r>
        <w:t xml:space="preserve"> database of water resource and water quality information.</w:t>
      </w:r>
    </w:p>
    <w:p w14:paraId="3AAF34EF" w14:textId="77777777" w:rsidR="007D698C" w:rsidRDefault="00A04EF9" w:rsidP="007D698C">
      <w:pPr>
        <w:contextualSpacing w:val="0"/>
        <w:rPr>
          <w:b/>
        </w:rPr>
      </w:pPr>
      <w:hyperlink r:id="rId13" w:history="1">
        <w:r w:rsidR="007D698C" w:rsidRPr="004B5CA0">
          <w:rPr>
            <w:rStyle w:val="Hyperlink"/>
            <w:b/>
          </w:rPr>
          <w:t>http://www.fao.org/nr/water/aquastat/data/query/results.html</w:t>
        </w:r>
      </w:hyperlink>
    </w:p>
    <w:p w14:paraId="6E8E7FD3" w14:textId="77777777" w:rsidR="007D698C" w:rsidRDefault="007D698C" w:rsidP="007D698C">
      <w:pPr>
        <w:contextualSpacing w:val="0"/>
      </w:pPr>
    </w:p>
    <w:p w14:paraId="6BCABB09" w14:textId="77777777" w:rsidR="007D698C" w:rsidRDefault="007D698C" w:rsidP="007D698C">
      <w:pPr>
        <w:contextualSpacing w:val="0"/>
      </w:pPr>
      <w:r>
        <w:t xml:space="preserve">WHO: </w:t>
      </w:r>
    </w:p>
    <w:p w14:paraId="5B762BFF" w14:textId="77777777" w:rsidR="007D698C" w:rsidRDefault="007D698C" w:rsidP="007D698C">
      <w:pPr>
        <w:contextualSpacing w:val="0"/>
      </w:pPr>
      <w:r>
        <w:t>Database of Cholera results.</w:t>
      </w:r>
    </w:p>
    <w:p w14:paraId="5F82CCD9" w14:textId="77777777" w:rsidR="007D698C" w:rsidRDefault="00A04EF9" w:rsidP="007D698C">
      <w:pPr>
        <w:contextualSpacing w:val="0"/>
        <w:rPr>
          <w:b/>
        </w:rPr>
      </w:pPr>
      <w:hyperlink r:id="rId14" w:history="1">
        <w:r w:rsidR="007D698C" w:rsidRPr="00F012D8">
          <w:rPr>
            <w:rStyle w:val="Hyperlink"/>
            <w:b/>
          </w:rPr>
          <w:t>http://apps.who.int/gho/data/node.country</w:t>
        </w:r>
      </w:hyperlink>
    </w:p>
    <w:p w14:paraId="4C017063" w14:textId="77777777" w:rsidR="007D698C" w:rsidRDefault="007D698C" w:rsidP="00AD51DC">
      <w:pPr>
        <w:contextualSpacing w:val="0"/>
        <w:rPr>
          <w:b/>
        </w:rPr>
      </w:pPr>
    </w:p>
    <w:sectPr w:rsidR="007D698C" w:rsidSect="0093566B">
      <w:pgSz w:w="12240" w:h="15840"/>
      <w:pgMar w:top="1440" w:right="1440" w:bottom="81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673F"/>
    <w:multiLevelType w:val="hybridMultilevel"/>
    <w:tmpl w:val="34669AC8"/>
    <w:lvl w:ilvl="0" w:tplc="7172857A">
      <w:start w:val="1"/>
      <w:numFmt w:val="bullet"/>
      <w:lvlText w:val="•"/>
      <w:lvlJc w:val="left"/>
      <w:pPr>
        <w:tabs>
          <w:tab w:val="num" w:pos="720"/>
        </w:tabs>
        <w:ind w:left="720" w:hanging="360"/>
      </w:pPr>
      <w:rPr>
        <w:rFonts w:ascii="Arial" w:hAnsi="Arial" w:hint="default"/>
      </w:rPr>
    </w:lvl>
    <w:lvl w:ilvl="1" w:tplc="F7726536" w:tentative="1">
      <w:start w:val="1"/>
      <w:numFmt w:val="bullet"/>
      <w:lvlText w:val="•"/>
      <w:lvlJc w:val="left"/>
      <w:pPr>
        <w:tabs>
          <w:tab w:val="num" w:pos="1440"/>
        </w:tabs>
        <w:ind w:left="1440" w:hanging="360"/>
      </w:pPr>
      <w:rPr>
        <w:rFonts w:ascii="Arial" w:hAnsi="Arial" w:hint="default"/>
      </w:rPr>
    </w:lvl>
    <w:lvl w:ilvl="2" w:tplc="48426BD4" w:tentative="1">
      <w:start w:val="1"/>
      <w:numFmt w:val="bullet"/>
      <w:lvlText w:val="•"/>
      <w:lvlJc w:val="left"/>
      <w:pPr>
        <w:tabs>
          <w:tab w:val="num" w:pos="2160"/>
        </w:tabs>
        <w:ind w:left="2160" w:hanging="360"/>
      </w:pPr>
      <w:rPr>
        <w:rFonts w:ascii="Arial" w:hAnsi="Arial" w:hint="default"/>
      </w:rPr>
    </w:lvl>
    <w:lvl w:ilvl="3" w:tplc="43F69B66" w:tentative="1">
      <w:start w:val="1"/>
      <w:numFmt w:val="bullet"/>
      <w:lvlText w:val="•"/>
      <w:lvlJc w:val="left"/>
      <w:pPr>
        <w:tabs>
          <w:tab w:val="num" w:pos="2880"/>
        </w:tabs>
        <w:ind w:left="2880" w:hanging="360"/>
      </w:pPr>
      <w:rPr>
        <w:rFonts w:ascii="Arial" w:hAnsi="Arial" w:hint="default"/>
      </w:rPr>
    </w:lvl>
    <w:lvl w:ilvl="4" w:tplc="19264158" w:tentative="1">
      <w:start w:val="1"/>
      <w:numFmt w:val="bullet"/>
      <w:lvlText w:val="•"/>
      <w:lvlJc w:val="left"/>
      <w:pPr>
        <w:tabs>
          <w:tab w:val="num" w:pos="3600"/>
        </w:tabs>
        <w:ind w:left="3600" w:hanging="360"/>
      </w:pPr>
      <w:rPr>
        <w:rFonts w:ascii="Arial" w:hAnsi="Arial" w:hint="default"/>
      </w:rPr>
    </w:lvl>
    <w:lvl w:ilvl="5" w:tplc="6284014A" w:tentative="1">
      <w:start w:val="1"/>
      <w:numFmt w:val="bullet"/>
      <w:lvlText w:val="•"/>
      <w:lvlJc w:val="left"/>
      <w:pPr>
        <w:tabs>
          <w:tab w:val="num" w:pos="4320"/>
        </w:tabs>
        <w:ind w:left="4320" w:hanging="360"/>
      </w:pPr>
      <w:rPr>
        <w:rFonts w:ascii="Arial" w:hAnsi="Arial" w:hint="default"/>
      </w:rPr>
    </w:lvl>
    <w:lvl w:ilvl="6" w:tplc="D12AB732" w:tentative="1">
      <w:start w:val="1"/>
      <w:numFmt w:val="bullet"/>
      <w:lvlText w:val="•"/>
      <w:lvlJc w:val="left"/>
      <w:pPr>
        <w:tabs>
          <w:tab w:val="num" w:pos="5040"/>
        </w:tabs>
        <w:ind w:left="5040" w:hanging="360"/>
      </w:pPr>
      <w:rPr>
        <w:rFonts w:ascii="Arial" w:hAnsi="Arial" w:hint="default"/>
      </w:rPr>
    </w:lvl>
    <w:lvl w:ilvl="7" w:tplc="AA9A833E" w:tentative="1">
      <w:start w:val="1"/>
      <w:numFmt w:val="bullet"/>
      <w:lvlText w:val="•"/>
      <w:lvlJc w:val="left"/>
      <w:pPr>
        <w:tabs>
          <w:tab w:val="num" w:pos="5760"/>
        </w:tabs>
        <w:ind w:left="5760" w:hanging="360"/>
      </w:pPr>
      <w:rPr>
        <w:rFonts w:ascii="Arial" w:hAnsi="Arial" w:hint="default"/>
      </w:rPr>
    </w:lvl>
    <w:lvl w:ilvl="8" w:tplc="52922F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5F34D7"/>
    <w:multiLevelType w:val="hybridMultilevel"/>
    <w:tmpl w:val="9BF0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828C9"/>
    <w:multiLevelType w:val="multilevel"/>
    <w:tmpl w:val="B022B824"/>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EFB7E3A"/>
    <w:multiLevelType w:val="hybridMultilevel"/>
    <w:tmpl w:val="B6DA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96C2D"/>
    <w:multiLevelType w:val="hybridMultilevel"/>
    <w:tmpl w:val="9D5C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74D83"/>
    <w:multiLevelType w:val="hybridMultilevel"/>
    <w:tmpl w:val="D5EE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23"/>
    <w:rsid w:val="00010DEE"/>
    <w:rsid w:val="00016DF0"/>
    <w:rsid w:val="000218FA"/>
    <w:rsid w:val="0002480C"/>
    <w:rsid w:val="000355FF"/>
    <w:rsid w:val="00044C36"/>
    <w:rsid w:val="000743FD"/>
    <w:rsid w:val="00077C68"/>
    <w:rsid w:val="000B680A"/>
    <w:rsid w:val="000F4ECF"/>
    <w:rsid w:val="0010265D"/>
    <w:rsid w:val="00104C81"/>
    <w:rsid w:val="0012003B"/>
    <w:rsid w:val="00137C3A"/>
    <w:rsid w:val="00137C4A"/>
    <w:rsid w:val="00153DAD"/>
    <w:rsid w:val="00173302"/>
    <w:rsid w:val="0017552C"/>
    <w:rsid w:val="00190B48"/>
    <w:rsid w:val="001A0084"/>
    <w:rsid w:val="001B249D"/>
    <w:rsid w:val="001C5487"/>
    <w:rsid w:val="001E28C9"/>
    <w:rsid w:val="001E42B0"/>
    <w:rsid w:val="00213526"/>
    <w:rsid w:val="002251C2"/>
    <w:rsid w:val="002315C0"/>
    <w:rsid w:val="002424FA"/>
    <w:rsid w:val="002425E8"/>
    <w:rsid w:val="002532C0"/>
    <w:rsid w:val="00294B75"/>
    <w:rsid w:val="002A623B"/>
    <w:rsid w:val="002C247F"/>
    <w:rsid w:val="002C3CDE"/>
    <w:rsid w:val="002D795E"/>
    <w:rsid w:val="00332683"/>
    <w:rsid w:val="003453FD"/>
    <w:rsid w:val="00350B82"/>
    <w:rsid w:val="00353CA5"/>
    <w:rsid w:val="003B2DF3"/>
    <w:rsid w:val="004345AA"/>
    <w:rsid w:val="00436AB2"/>
    <w:rsid w:val="00455207"/>
    <w:rsid w:val="00471D16"/>
    <w:rsid w:val="004C7ADF"/>
    <w:rsid w:val="004E0E2F"/>
    <w:rsid w:val="00517912"/>
    <w:rsid w:val="0052452A"/>
    <w:rsid w:val="00571E23"/>
    <w:rsid w:val="005B1F05"/>
    <w:rsid w:val="005B5ED0"/>
    <w:rsid w:val="005D5852"/>
    <w:rsid w:val="006105C8"/>
    <w:rsid w:val="0061190E"/>
    <w:rsid w:val="006501E9"/>
    <w:rsid w:val="0067124D"/>
    <w:rsid w:val="006A2A63"/>
    <w:rsid w:val="006E2162"/>
    <w:rsid w:val="007058D9"/>
    <w:rsid w:val="00711F0D"/>
    <w:rsid w:val="0071622F"/>
    <w:rsid w:val="0071745C"/>
    <w:rsid w:val="007202E0"/>
    <w:rsid w:val="00754844"/>
    <w:rsid w:val="00761CEB"/>
    <w:rsid w:val="00782A47"/>
    <w:rsid w:val="007B1E05"/>
    <w:rsid w:val="007B256E"/>
    <w:rsid w:val="007D698C"/>
    <w:rsid w:val="007D7057"/>
    <w:rsid w:val="007E28B2"/>
    <w:rsid w:val="007E64C8"/>
    <w:rsid w:val="007F5723"/>
    <w:rsid w:val="007F7489"/>
    <w:rsid w:val="00822767"/>
    <w:rsid w:val="00824A70"/>
    <w:rsid w:val="00825FF3"/>
    <w:rsid w:val="0083204A"/>
    <w:rsid w:val="00883C90"/>
    <w:rsid w:val="00884784"/>
    <w:rsid w:val="00886563"/>
    <w:rsid w:val="00930279"/>
    <w:rsid w:val="0093566B"/>
    <w:rsid w:val="009474B7"/>
    <w:rsid w:val="00981399"/>
    <w:rsid w:val="00981C33"/>
    <w:rsid w:val="009A4B4C"/>
    <w:rsid w:val="009B6866"/>
    <w:rsid w:val="009D19CF"/>
    <w:rsid w:val="009D4DFD"/>
    <w:rsid w:val="009E7FDF"/>
    <w:rsid w:val="00A04EF9"/>
    <w:rsid w:val="00A4606F"/>
    <w:rsid w:val="00A5174A"/>
    <w:rsid w:val="00A65BBF"/>
    <w:rsid w:val="00A67E2B"/>
    <w:rsid w:val="00A95C62"/>
    <w:rsid w:val="00AA763F"/>
    <w:rsid w:val="00AB3317"/>
    <w:rsid w:val="00AC7E38"/>
    <w:rsid w:val="00AD05B1"/>
    <w:rsid w:val="00AD3974"/>
    <w:rsid w:val="00AD51DC"/>
    <w:rsid w:val="00AF5919"/>
    <w:rsid w:val="00B0316E"/>
    <w:rsid w:val="00B20381"/>
    <w:rsid w:val="00B42ECD"/>
    <w:rsid w:val="00B63D43"/>
    <w:rsid w:val="00B76D30"/>
    <w:rsid w:val="00BA0D5A"/>
    <w:rsid w:val="00BA6E59"/>
    <w:rsid w:val="00BA7387"/>
    <w:rsid w:val="00BC5D4A"/>
    <w:rsid w:val="00BD29BD"/>
    <w:rsid w:val="00BE15FF"/>
    <w:rsid w:val="00C01C7F"/>
    <w:rsid w:val="00C069F2"/>
    <w:rsid w:val="00C234D0"/>
    <w:rsid w:val="00C56785"/>
    <w:rsid w:val="00C834BC"/>
    <w:rsid w:val="00C85920"/>
    <w:rsid w:val="00C874C1"/>
    <w:rsid w:val="00C926F7"/>
    <w:rsid w:val="00CA00EB"/>
    <w:rsid w:val="00CC71CD"/>
    <w:rsid w:val="00CF416B"/>
    <w:rsid w:val="00D103D2"/>
    <w:rsid w:val="00D21A29"/>
    <w:rsid w:val="00D44D26"/>
    <w:rsid w:val="00D679FE"/>
    <w:rsid w:val="00DA6FC0"/>
    <w:rsid w:val="00DA702B"/>
    <w:rsid w:val="00DD6695"/>
    <w:rsid w:val="00DE02EB"/>
    <w:rsid w:val="00E10065"/>
    <w:rsid w:val="00E41325"/>
    <w:rsid w:val="00E47182"/>
    <w:rsid w:val="00E5618C"/>
    <w:rsid w:val="00E70224"/>
    <w:rsid w:val="00E81CBC"/>
    <w:rsid w:val="00E95B61"/>
    <w:rsid w:val="00EA265E"/>
    <w:rsid w:val="00ED35E6"/>
    <w:rsid w:val="00EF4ACA"/>
    <w:rsid w:val="00EF666B"/>
    <w:rsid w:val="00F00223"/>
    <w:rsid w:val="00F01416"/>
    <w:rsid w:val="00F6061F"/>
    <w:rsid w:val="00F615F4"/>
    <w:rsid w:val="00F671C3"/>
    <w:rsid w:val="00F70BE7"/>
    <w:rsid w:val="00F8617B"/>
    <w:rsid w:val="00F96153"/>
    <w:rsid w:val="00FA0569"/>
    <w:rsid w:val="00FA3A14"/>
    <w:rsid w:val="00FC0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8E69"/>
  <w15:docId w15:val="{4514F541-C17A-42C5-9D66-D3E7EFAD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265E"/>
    <w:pPr>
      <w:ind w:left="720"/>
    </w:pPr>
  </w:style>
  <w:style w:type="character" w:styleId="Hyperlink">
    <w:name w:val="Hyperlink"/>
    <w:basedOn w:val="DefaultParagraphFont"/>
    <w:uiPriority w:val="99"/>
    <w:unhideWhenUsed/>
    <w:rsid w:val="00825FF3"/>
    <w:rPr>
      <w:color w:val="0000FF" w:themeColor="hyperlink"/>
      <w:u w:val="single"/>
    </w:rPr>
  </w:style>
  <w:style w:type="character" w:styleId="UnresolvedMention">
    <w:name w:val="Unresolved Mention"/>
    <w:basedOn w:val="DefaultParagraphFont"/>
    <w:uiPriority w:val="99"/>
    <w:semiHidden/>
    <w:unhideWhenUsed/>
    <w:rsid w:val="004E0E2F"/>
    <w:rPr>
      <w:color w:val="605E5C"/>
      <w:shd w:val="clear" w:color="auto" w:fill="E1DFDD"/>
    </w:rPr>
  </w:style>
  <w:style w:type="character" w:styleId="FollowedHyperlink">
    <w:name w:val="FollowedHyperlink"/>
    <w:basedOn w:val="DefaultParagraphFont"/>
    <w:uiPriority w:val="99"/>
    <w:semiHidden/>
    <w:unhideWhenUsed/>
    <w:rsid w:val="0052452A"/>
    <w:rPr>
      <w:color w:val="800080" w:themeColor="followedHyperlink"/>
      <w:u w:val="single"/>
    </w:rPr>
  </w:style>
  <w:style w:type="character" w:styleId="Strong">
    <w:name w:val="Strong"/>
    <w:basedOn w:val="DefaultParagraphFont"/>
    <w:uiPriority w:val="22"/>
    <w:qFormat/>
    <w:rsid w:val="0052452A"/>
    <w:rPr>
      <w:b/>
      <w:bCs/>
    </w:rPr>
  </w:style>
  <w:style w:type="character" w:styleId="CommentReference">
    <w:name w:val="annotation reference"/>
    <w:basedOn w:val="DefaultParagraphFont"/>
    <w:uiPriority w:val="99"/>
    <w:semiHidden/>
    <w:unhideWhenUsed/>
    <w:rsid w:val="00B20381"/>
    <w:rPr>
      <w:sz w:val="16"/>
      <w:szCs w:val="16"/>
    </w:rPr>
  </w:style>
  <w:style w:type="paragraph" w:styleId="CommentText">
    <w:name w:val="annotation text"/>
    <w:basedOn w:val="Normal"/>
    <w:link w:val="CommentTextChar"/>
    <w:uiPriority w:val="99"/>
    <w:semiHidden/>
    <w:unhideWhenUsed/>
    <w:rsid w:val="00B20381"/>
    <w:pPr>
      <w:spacing w:line="240" w:lineRule="auto"/>
    </w:pPr>
    <w:rPr>
      <w:sz w:val="20"/>
      <w:szCs w:val="20"/>
    </w:rPr>
  </w:style>
  <w:style w:type="character" w:customStyle="1" w:styleId="CommentTextChar">
    <w:name w:val="Comment Text Char"/>
    <w:basedOn w:val="DefaultParagraphFont"/>
    <w:link w:val="CommentText"/>
    <w:uiPriority w:val="99"/>
    <w:semiHidden/>
    <w:rsid w:val="00B20381"/>
    <w:rPr>
      <w:sz w:val="20"/>
      <w:szCs w:val="20"/>
    </w:rPr>
  </w:style>
  <w:style w:type="paragraph" w:styleId="CommentSubject">
    <w:name w:val="annotation subject"/>
    <w:basedOn w:val="CommentText"/>
    <w:next w:val="CommentText"/>
    <w:link w:val="CommentSubjectChar"/>
    <w:uiPriority w:val="99"/>
    <w:semiHidden/>
    <w:unhideWhenUsed/>
    <w:rsid w:val="00B20381"/>
    <w:rPr>
      <w:b/>
      <w:bCs/>
    </w:rPr>
  </w:style>
  <w:style w:type="character" w:customStyle="1" w:styleId="CommentSubjectChar">
    <w:name w:val="Comment Subject Char"/>
    <w:basedOn w:val="CommentTextChar"/>
    <w:link w:val="CommentSubject"/>
    <w:uiPriority w:val="99"/>
    <w:semiHidden/>
    <w:rsid w:val="00B20381"/>
    <w:rPr>
      <w:b/>
      <w:bCs/>
      <w:sz w:val="20"/>
      <w:szCs w:val="20"/>
    </w:rPr>
  </w:style>
  <w:style w:type="paragraph" w:styleId="BalloonText">
    <w:name w:val="Balloon Text"/>
    <w:basedOn w:val="Normal"/>
    <w:link w:val="BalloonTextChar"/>
    <w:uiPriority w:val="99"/>
    <w:semiHidden/>
    <w:unhideWhenUsed/>
    <w:rsid w:val="00B2038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381"/>
    <w:rPr>
      <w:rFonts w:ascii="Segoe UI" w:hAnsi="Segoe UI" w:cs="Segoe UI"/>
      <w:sz w:val="18"/>
      <w:szCs w:val="18"/>
    </w:rPr>
  </w:style>
  <w:style w:type="table" w:styleId="TableGrid">
    <w:name w:val="Table Grid"/>
    <w:basedOn w:val="TableNormal"/>
    <w:uiPriority w:val="39"/>
    <w:rsid w:val="007202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0846">
      <w:bodyDiv w:val="1"/>
      <w:marLeft w:val="0"/>
      <w:marRight w:val="0"/>
      <w:marTop w:val="0"/>
      <w:marBottom w:val="0"/>
      <w:divBdr>
        <w:top w:val="none" w:sz="0" w:space="0" w:color="auto"/>
        <w:left w:val="none" w:sz="0" w:space="0" w:color="auto"/>
        <w:bottom w:val="none" w:sz="0" w:space="0" w:color="auto"/>
        <w:right w:val="none" w:sz="0" w:space="0" w:color="auto"/>
      </w:divBdr>
    </w:div>
    <w:div w:id="463233100">
      <w:bodyDiv w:val="1"/>
      <w:marLeft w:val="0"/>
      <w:marRight w:val="0"/>
      <w:marTop w:val="0"/>
      <w:marBottom w:val="0"/>
      <w:divBdr>
        <w:top w:val="none" w:sz="0" w:space="0" w:color="auto"/>
        <w:left w:val="none" w:sz="0" w:space="0" w:color="auto"/>
        <w:bottom w:val="none" w:sz="0" w:space="0" w:color="auto"/>
        <w:right w:val="none" w:sz="0" w:space="0" w:color="auto"/>
      </w:divBdr>
      <w:divsChild>
        <w:div w:id="1585721418">
          <w:marLeft w:val="446"/>
          <w:marRight w:val="0"/>
          <w:marTop w:val="0"/>
          <w:marBottom w:val="0"/>
          <w:divBdr>
            <w:top w:val="none" w:sz="0" w:space="0" w:color="auto"/>
            <w:left w:val="none" w:sz="0" w:space="0" w:color="auto"/>
            <w:bottom w:val="none" w:sz="0" w:space="0" w:color="auto"/>
            <w:right w:val="none" w:sz="0" w:space="0" w:color="auto"/>
          </w:divBdr>
        </w:div>
      </w:divsChild>
    </w:div>
    <w:div w:id="1832406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ao.org/nr/water/aquastat/data/query/result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ho.int/gho/database/en/" TargetMode="External"/><Relationship Id="rId11" Type="http://schemas.openxmlformats.org/officeDocument/2006/relationships/image" Target="media/image5.png"/><Relationship Id="rId5" Type="http://schemas.openxmlformats.org/officeDocument/2006/relationships/hyperlink" Target="http://www.fao.org/nr/water/aquastat/data/query/index.html?lang=en"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pps.who.int/gho/data/node.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Mike</cp:lastModifiedBy>
  <cp:revision>11</cp:revision>
  <dcterms:created xsi:type="dcterms:W3CDTF">2018-10-09T00:57:00Z</dcterms:created>
  <dcterms:modified xsi:type="dcterms:W3CDTF">2018-10-09T01:44:00Z</dcterms:modified>
</cp:coreProperties>
</file>