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f9253c86101844dd" /></Relationships>
</file>

<file path=word/document.xml><?xml version="1.0" encoding="utf-8"?>
<w:document xmlns:w="http://schemas.openxmlformats.org/wordprocessingml/2006/main">
  <w:body>
    <w:p>
      <w:pPr>
        <w:pStyle w:val="Title"/>
      </w:pPr>
      <w:r>
        <w:t xml:space="preserve">Gebäudesimulation VDI 6007 in EPOS-Plan</w:t>
      </w:r>
    </w:p>
    <w:p>
      <w:pPr>
        <w:pStyle w:val="Subtitle"/>
      </w:pPr>
      <w:r>
        <w:t xml:space="preserve">Architektur, Design und Rechenweg — Kurzfassung der Konzeptpapiere</w:t>
      </w:r>
    </w:p>
    <w:p>
      <w:pPr>
        <w:jc w:val="center"/>
      </w:pPr>
      <w:r>
        <w:rPr>
          <w:color w:val="595959"/>
        </w:rPr>
        <w:t xml:space="preserve">16.09.2026</w:t>
      </w:r>
    </w:p>
    <w:p>
      <w:pPr>
        <w:jc w:val="center"/>
      </w:pPr>
      <w:r>
        <w:rPr>
          <w:color w:val="595959"/>
        </w:rPr>
        <w:t xml:space="preserve">EPOS-Plan — INEKON</w:t>
      </w:r>
    </w:p>
    <w:p>
      <w:r>
        <w:br w:type="page"/>
      </w:r>
    </w:p>
    <w:p>
      <w:pPr>
        <w:pStyle w:val="Heading1"/>
      </w:pPr>
      <w:r>
        <w:t xml:space="preserve">Inhaltsverzeichnis</w:t>
      </w:r>
    </w:p>
    <w:p>
      <w:r>
        <w:fldChar w:fldCharType="begin" w:dirty="true"/>
      </w:r>
      <w:r>
        <w:instrText xml:space="preserve"> TOC \o "1-3" \h \z \u </w:instrText>
      </w:r>
      <w:r>
        <w:fldChar w:fldCharType="separate"/>
      </w:r>
      <w:r>
        <w:rPr>
          <w:i/>
          <w:color w:val="595959"/>
        </w:rPr>
        <w:t xml:space="preserve">Das Inhaltsverzeichnis wird beim Öffnen in Word aufgebaut (sonst F9).</w:t>
      </w:r>
      <w:r>
        <w:fldChar w:fldCharType="end"/>
      </w:r>
    </w:p>
    <w:p>
      <w:r>
        <w:br w:type="page"/>
      </w:r>
    </w:p>
    <w:p>
      <w:pPr>
        <w:pStyle w:val="Heading1"/>
      </w:pPr>
      <w:r>
        <w:t xml:space="preserve">1 Worum es geht</w:t>
      </w:r>
    </w:p>
    <w:p>
      <w:pPr>
        <w:spacing w:after="180" w:line="276" w:lineRule="auto"/>
      </w:pPr>
      <w:r>
        <w:rPr>
          <w:b/>
        </w:rPr>
        <w:t xml:space="preserve">Gegenstand:</w:t>
      </w:r>
      <w:r>
        <w:t xml:space="preserve"> Gebäudesimulation in EPOS-Plan — ein dynamisches Gebäudemodell nach VDI 6007 Blatt 1 mit Stundenauflösung, sein Datenmodell, seine Dialoge, der Datenaustausch über gbXML und IFC und der Rechenweg in Schritten.</w:t>
      </w:r>
      <w:r>
        <w:br/>
      </w:r>
      <w:r>
        <w:rPr>
          <w:b/>
        </w:rPr>
        <w:t xml:space="preserve">Stand:</w:t>
      </w:r>
      <w:r>
        <w:t xml:space="preserve"> 15.09.2026.</w:t>
      </w:r>
      <w:r>
        <w:br/>
      </w:r>
      <w:r>
        <w:rPr>
          <w:b/>
        </w:rPr>
        <w:t xml:space="preserve">Leserkreis:</w:t>
      </w:r>
      <w:r>
        <w:t xml:space="preserve"> Projektverantwortung, Entwickler.</w:t>
      </w:r>
      <w:r>
        <w:br/>
      </w:r>
      <w:r>
        <w:rPr>
          <w:b/>
        </w:rPr>
        <w:t xml:space="preserve">Zweck dieses Papiers:</w:t>
      </w:r>
      <w:r>
        <w:t xml:space="preserve"> die wesentlichen Punkte aus acht Konzept- und Architekturpapieren in einer Kurzfassung — Architektur, Design, Rechenweg, Stufen, offene Entscheide. Die Einzelheiten stehen in den Papieren; jedes Kapitel nennt am Ende, wo.</w:t>
      </w:r>
    </w:p>
    <w:p>
      <w:pPr>
        <w:pStyle w:val="Heading2"/>
      </w:pPr>
      <w:r>
        <w:t xml:space="preserve">1.1 Der Auftrag</w:t>
      </w:r>
    </w:p>
    <w:p>
      <w:r>
        <w:t xml:space="preserve">Der Anwender hat am 15.09.2026 beauftragt: „Gebäudesimulation EPOS-Plan: Konzept und Umsetzung." — „Es soll geprüft werden, ob der Datenimport für das Gebäudemodell im IFC-Format verwendet werden kann und wie das in EPOS-Plan umgesetzt werden kann." — „Erstelle zuerst ein Konzept."</w:t>
      </w:r>
    </w:p>
    <w:p>
      <w:r>
        <w:t xml:space="preserve">Die Leitplanken desselben Tages: </w:t>
      </w:r>
      <w:r>
        <w:rPr>
          <w:b/>
        </w:rPr>
        <w:t xml:space="preserve">Stundenwerte als Basis. Neuschreiben nach Spezifikation, Datenmodell und Lösungsschema übernehmen. Prüfen der Simulationsdaten aus dem bestehenden Gebäudemodell. IFC-Import prüfen.</w:t>
      </w:r>
    </w:p>
    <w:p>
      <w:pPr>
        <w:pStyle w:val="Heading2"/>
      </w:pPr>
      <w:r>
        <w:t xml:space="preserve">1.2 Die Ausgangslage in fünf Sätzen</w:t>
      </w:r>
    </w:p>
    <w:p>
      <w:r>
        <w:t xml:space="preserve">EPOS-Plan rechnet den Heizwärmebedarf eines Gebäudes heute mit einem </w:t>
      </w:r>
      <w:r>
        <w:rPr>
          <w:b/>
        </w:rPr>
        <w:t xml:space="preserve">Tageslast-Modell</w:t>
      </w:r>
      <w:r>
        <w:t xml:space="preserve"> aus der BHKWPLAN-Bibliothek: ein Ein-Knoten-Modell mit einer Kapazität auf Tagesmittel-Klima, dessen Tageswert nachgelagert über Tagesprofile auf Stunden verteilt wird. Die Datenbank trägt dazu die Bilanzgrößen — Flächen, U-Werte, Gesamtkapazität, Nutzung, Sollwerte —, während neun weitere Größen des Rechenwegs Vorgaben und keine Daten sind. Das Material auf dem Netzlaufwerk, das als Vorlage gedacht war, taugt als Vorlage und nicht als Rechenkern: sein Löser setzt die Systemmatrix diagonal an, dem Massenknoten der Außenbauteile fehlt die Rückkopplung, und der erste Normtestfall wird um rund 20 K verfehlt bei einer Toleranz von 0,1 K. Ein außerhalb des Repositoriums gebauter Prototyp des neu geschriebenen Lösers liegt dagegen in elf der zwölf Normtestfälle im Prüfband der Richtlinie; der zwölfte ist benannt offen (siehe 1.4). Die Klimadaten liegen stündlich, lückenlos und mit Global-, Direkt- und Diffusstrahlung vor.</w:t>
      </w:r>
    </w:p>
    <w:p>
      <w:pPr>
        <w:pStyle w:val="Heading2"/>
      </w:pPr>
      <w:r>
        <w:t xml:space="preserve">1.3 Die elf Entscheide des Anwenders</w:t>
      </w:r>
    </w:p>
    <w:p>
      <w:r>
        <w:t xml:space="preserve">Alle elf Entscheide sind am </w:t>
      </w:r>
      <w:r>
        <w:rPr>
          <w:b/>
        </w:rPr>
        <w:t xml:space="preserve">15.09.2026</w:t>
      </w:r>
      <w:r>
        <w:t xml:space="preserve"> gefallen und sind für Entwurf und Umsetzung verbindlich.</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Entscheid in einem Satz</w:t>
            </w:r>
          </w:p>
        </w:tc>
        <w:tc>
          <w:tcPr>
            <w:tcW w:w="0" w:type="auto"/>
            <w:shd w:val="clear" w:color="auto" w:fill="D9D9D9"/>
          </w:tcPr>
          <w:p>
            <w:pPr>
              <w:spacing w:after="0" w:line="240" w:lineRule="auto"/>
              <w:rPr>
                <w:b/>
              </w:rPr>
            </w:pPr>
            <w:r>
              <w:rPr>
                <w:b/>
              </w:rPr>
              <w:t xml:space="preserve">Datum</w:t>
            </w:r>
          </w:p>
        </w:tc>
      </w:tr>
      <w:tr>
        <w:tc>
          <w:tcPr>
            <w:tcW w:w="0" w:type="auto"/>
          </w:tcPr>
          <w:p>
            <w:pPr>
              <w:spacing w:after="0" w:line="240" w:lineRule="auto"/>
            </w:pPr>
            <w:r>
              <w:rPr>
                <w:b/>
              </w:rPr>
              <w:t xml:space="preserve">E1</w:t>
            </w:r>
          </w:p>
        </w:tc>
        <w:tc>
          <w:tcPr>
            <w:tcW w:w="0" w:type="auto"/>
          </w:tcPr>
          <w:p>
            <w:pPr>
              <w:spacing w:after="0" w:line="240" w:lineRule="auto"/>
            </w:pPr>
            <w:r>
              <w:t xml:space="preserve">Das Stundenmodell nach VDI 6007 ist das Rechenmodell </w:t>
            </w:r>
            <w:r>
              <w:rPr>
                <w:b/>
              </w:rPr>
              <w:t xml:space="preserve">jedes</w:t>
            </w:r>
            <w:r>
              <w:t xml:space="preserve"> Gebäudes, auch eines bestehenden; die Tagesbilanz bleibt nur als ausdrücklich wählbare Ausnahme, </w:t>
            </w:r>
            <w:r>
              <w:rPr>
                <w:rFonts w:ascii="Consolas" w:hAnsi="Consolas" w:cs="Consolas"/>
                <w:noProof/>
                <w:sz w:val="20"/>
                <w:szCs w:val="20"/>
                <w:shd w:val="clear" w:color="auto" w:fill="EFEFEF"/>
              </w:rPr>
              <w:t xml:space="preserve">Gebaeude_Modell = NULL</w:t>
            </w:r>
            <w:r>
              <w:t xml:space="preserve"> bedeutet VDI 6007, und die Referenzbasis wird mit G1 vollständig neu eingefroren.</w:t>
            </w:r>
          </w:p>
        </w:tc>
        <w:tc>
          <w:tcPr>
            <w:tcW w:w="0" w:type="auto"/>
          </w:tcPr>
          <w:p>
            <w:pPr>
              <w:spacing w:after="0" w:line="240" w:lineRule="auto"/>
            </w:pPr>
            <w:r>
              <w:t xml:space="preserve">15.09.2026</w:t>
            </w:r>
          </w:p>
        </w:tc>
      </w:tr>
      <w:tr>
        <w:tc>
          <w:tcPr>
            <w:tcW w:w="0" w:type="auto"/>
          </w:tcPr>
          <w:p>
            <w:pPr>
              <w:spacing w:after="0" w:line="240" w:lineRule="auto"/>
            </w:pPr>
            <w:r>
              <w:rPr>
                <w:b/>
              </w:rPr>
              <w:t xml:space="preserve">E2</w:t>
            </w:r>
          </w:p>
        </w:tc>
        <w:tc>
          <w:tcPr>
            <w:tcW w:w="0" w:type="auto"/>
          </w:tcPr>
          <w:p>
            <w:pPr>
              <w:spacing w:after="0" w:line="240" w:lineRule="auto"/>
            </w:pPr>
            <w:r>
              <w:t xml:space="preserve">Die Bestandsgewichte 0,83 / 0,95 / 0,45 / 0,83 sind im Stundenmodell gestrichen; der Gebäudedialog zeigt je Bauteilgruppe U, A und </w:t>
            </w:r>
            <w:r>
              <w:rPr>
                <w:b/>
              </w:rPr>
              <w:t xml:space="preserve">U·A</w:t>
            </w:r>
            <w:r>
              <w:t xml:space="preserve"> ohne verdeckte Faktoren, darunter H_T, H_ve und H_ges.</w:t>
            </w:r>
          </w:p>
        </w:tc>
        <w:tc>
          <w:tcPr>
            <w:tcW w:w="0" w:type="auto"/>
          </w:tcPr>
          <w:p>
            <w:pPr>
              <w:spacing w:after="0" w:line="240" w:lineRule="auto"/>
            </w:pPr>
            <w:r>
              <w:t xml:space="preserve">15.09.2026</w:t>
            </w:r>
          </w:p>
        </w:tc>
      </w:tr>
      <w:tr>
        <w:tc>
          <w:tcPr>
            <w:tcW w:w="0" w:type="auto"/>
          </w:tcPr>
          <w:p>
            <w:pPr>
              <w:spacing w:after="0" w:line="240" w:lineRule="auto"/>
            </w:pPr>
            <w:r>
              <w:rPr>
                <w:b/>
              </w:rPr>
              <w:t xml:space="preserve">E3</w:t>
            </w:r>
          </w:p>
        </w:tc>
        <w:tc>
          <w:tcPr>
            <w:tcW w:w="0" w:type="auto"/>
          </w:tcPr>
          <w:p>
            <w:pPr>
              <w:spacing w:after="0" w:line="240" w:lineRule="auto"/>
            </w:pPr>
            <w:r>
              <w:t xml:space="preserve">Der IFC-Weg benutzt </w:t>
            </w:r>
            <w:r>
              <w:rPr>
                <w:b/>
              </w:rPr>
              <w:t xml:space="preserve">xBIM als unverändertes NuGet-Paket</w:t>
            </w:r>
            <w:r>
              <w:t xml:space="preserve"> unter CDDL-1.0, allein </w:t>
            </w:r>
            <w:r>
              <w:rPr>
                <w:rFonts w:ascii="Consolas" w:hAnsi="Consolas" w:cs="Consolas"/>
                <w:noProof/>
                <w:sz w:val="20"/>
                <w:szCs w:val="20"/>
                <w:shd w:val="clear" w:color="auto" w:fill="EFEFEF"/>
              </w:rPr>
              <w:t xml:space="preserve">Xbim.IO.MemoryModel</w:t>
            </w:r>
            <w:r>
              <w:t xml:space="preserve">; Lizenztext und Quellenverweis kommen ins Installationspaket, </w:t>
            </w:r>
            <w:r>
              <w:rPr>
                <w:rFonts w:ascii="Consolas" w:hAnsi="Consolas" w:cs="Consolas"/>
                <w:noProof/>
                <w:sz w:val="20"/>
                <w:szCs w:val="20"/>
                <w:shd w:val="clear" w:color="auto" w:fill="EFEFEF"/>
              </w:rPr>
              <w:t xml:space="preserve">Xbim.Geometry</w:t>
            </w:r>
            <w:r>
              <w:t xml:space="preserve"> bleibt draußen.</w:t>
            </w:r>
          </w:p>
        </w:tc>
        <w:tc>
          <w:tcPr>
            <w:tcW w:w="0" w:type="auto"/>
          </w:tcPr>
          <w:p>
            <w:pPr>
              <w:spacing w:after="0" w:line="240" w:lineRule="auto"/>
            </w:pPr>
            <w:r>
              <w:t xml:space="preserve">15.09.2026</w:t>
            </w:r>
          </w:p>
        </w:tc>
      </w:tr>
      <w:tr>
        <w:tc>
          <w:tcPr>
            <w:tcW w:w="0" w:type="auto"/>
          </w:tcPr>
          <w:p>
            <w:pPr>
              <w:spacing w:after="0" w:line="240" w:lineRule="auto"/>
            </w:pPr>
            <w:r>
              <w:rPr>
                <w:b/>
              </w:rPr>
              <w:t xml:space="preserve">E4</w:t>
            </w:r>
          </w:p>
        </w:tc>
        <w:tc>
          <w:tcPr>
            <w:tcW w:w="0" w:type="auto"/>
          </w:tcPr>
          <w:p>
            <w:pPr>
              <w:spacing w:after="0" w:line="240" w:lineRule="auto"/>
            </w:pPr>
            <w:r>
              <w:t xml:space="preserve">Die Bestandsbefunde — Instanzzustand statt statischem Feld, Warnungen statt stiller Fehlgriffe, Korrektur der Bauweise eines Testgebäudes — laufen als </w:t>
            </w:r>
            <w:r>
              <w:rPr>
                <w:b/>
              </w:rPr>
              <w:t xml:space="preserve">eigener Einfrierschritt GB vor G1</w:t>
            </w:r>
            <w:r>
              <w:t xml:space="preserve">, dazu die Einfrierregel „gesäte Gebäudedaten".</w:t>
            </w:r>
          </w:p>
        </w:tc>
        <w:tc>
          <w:tcPr>
            <w:tcW w:w="0" w:type="auto"/>
          </w:tcPr>
          <w:p>
            <w:pPr>
              <w:spacing w:after="0" w:line="240" w:lineRule="auto"/>
            </w:pPr>
            <w:r>
              <w:t xml:space="preserve">15.09.2026</w:t>
            </w:r>
          </w:p>
        </w:tc>
      </w:tr>
      <w:tr>
        <w:tc>
          <w:tcPr>
            <w:tcW w:w="0" w:type="auto"/>
          </w:tcPr>
          <w:p>
            <w:pPr>
              <w:spacing w:after="0" w:line="240" w:lineRule="auto"/>
            </w:pPr>
            <w:r>
              <w:rPr>
                <w:b/>
              </w:rPr>
              <w:t xml:space="preserve">E5</w:t>
            </w:r>
          </w:p>
        </w:tc>
        <w:tc>
          <w:tcPr>
            <w:tcW w:w="0" w:type="auto"/>
          </w:tcPr>
          <w:p>
            <w:pPr>
              <w:spacing w:after="0" w:line="240" w:lineRule="auto"/>
            </w:pPr>
            <w:r>
              <w:t xml:space="preserve">Klimabasis sind die vorhandenen </w:t>
            </w:r>
            <w:r>
              <w:rPr>
                <w:b/>
              </w:rPr>
              <w:t xml:space="preserve">PVGIS-TMY-Daten</w:t>
            </w:r>
            <w:r>
              <w:t xml:space="preserve">; keine Datenträger, keine DWD-TRY.</w:t>
            </w:r>
          </w:p>
        </w:tc>
        <w:tc>
          <w:tcPr>
            <w:tcW w:w="0" w:type="auto"/>
          </w:tcPr>
          <w:p>
            <w:pPr>
              <w:spacing w:after="0" w:line="240" w:lineRule="auto"/>
            </w:pPr>
            <w:r>
              <w:t xml:space="preserve">15.09.2026</w:t>
            </w:r>
          </w:p>
        </w:tc>
      </w:tr>
      <w:tr>
        <w:tc>
          <w:tcPr>
            <w:tcW w:w="0" w:type="auto"/>
          </w:tcPr>
          <w:p>
            <w:pPr>
              <w:spacing w:after="0" w:line="240" w:lineRule="auto"/>
            </w:pPr>
            <w:r>
              <w:rPr>
                <w:b/>
              </w:rPr>
              <w:t xml:space="preserve">E6</w:t>
            </w:r>
          </w:p>
        </w:tc>
        <w:tc>
          <w:tcPr>
            <w:tcW w:w="0" w:type="auto"/>
          </w:tcPr>
          <w:p>
            <w:pPr>
              <w:spacing w:after="0" w:line="240" w:lineRule="auto"/>
            </w:pPr>
            <w:r>
              <w:t xml:space="preserve">VDI 6020:2022 wird </w:t>
            </w:r>
            <w:r>
              <w:rPr>
                <w:b/>
              </w:rPr>
              <w:t xml:space="preserve">nur zu Forschungszwecken</w:t>
            </w:r>
            <w:r>
              <w:t xml:space="preserve"> genutzt — nichts daraus in Quelltext, Tests, Wiki, Bericht oder Auslieferung.</w:t>
            </w:r>
          </w:p>
        </w:tc>
        <w:tc>
          <w:tcPr>
            <w:tcW w:w="0" w:type="auto"/>
          </w:tcPr>
          <w:p>
            <w:pPr>
              <w:spacing w:after="0" w:line="240" w:lineRule="auto"/>
            </w:pPr>
            <w:r>
              <w:t xml:space="preserve">15.09.2026</w:t>
            </w:r>
          </w:p>
        </w:tc>
      </w:tr>
      <w:tr>
        <w:tc>
          <w:tcPr>
            <w:tcW w:w="0" w:type="auto"/>
          </w:tcPr>
          <w:p>
            <w:pPr>
              <w:spacing w:after="0" w:line="240" w:lineRule="auto"/>
            </w:pPr>
            <w:r>
              <w:rPr>
                <w:b/>
              </w:rPr>
              <w:t xml:space="preserve">E7</w:t>
            </w:r>
          </w:p>
        </w:tc>
        <w:tc>
          <w:tcPr>
            <w:tcW w:w="0" w:type="auto"/>
          </w:tcPr>
          <w:p>
            <w:pPr>
              <w:spacing w:after="0" w:line="240" w:lineRule="auto"/>
            </w:pPr>
            <w:r>
              <w:rPr>
                <w:b/>
              </w:rPr>
              <w:t xml:space="preserve">Einzonenmodell zuerst</w:t>
            </w:r>
            <w:r>
              <w:t xml:space="preserve"> (G0 bis G2, analog zum Bestand); das Mehrzonenmodell ist die spätere Stufe G6 über den Import und hat ein eigenes Konzept.</w:t>
            </w:r>
          </w:p>
        </w:tc>
        <w:tc>
          <w:tcPr>
            <w:tcW w:w="0" w:type="auto"/>
          </w:tcPr>
          <w:p>
            <w:pPr>
              <w:spacing w:after="0" w:line="240" w:lineRule="auto"/>
            </w:pPr>
            <w:r>
              <w:t xml:space="preserve">15.09.2026</w:t>
            </w:r>
          </w:p>
        </w:tc>
      </w:tr>
      <w:tr>
        <w:tc>
          <w:tcPr>
            <w:tcW w:w="0" w:type="auto"/>
          </w:tcPr>
          <w:p>
            <w:pPr>
              <w:spacing w:after="0" w:line="240" w:lineRule="auto"/>
            </w:pPr>
            <w:r>
              <w:rPr>
                <w:b/>
              </w:rPr>
              <w:t xml:space="preserve">E8</w:t>
            </w:r>
          </w:p>
        </w:tc>
        <w:tc>
          <w:tcPr>
            <w:tcW w:w="0" w:type="auto"/>
          </w:tcPr>
          <w:p>
            <w:pPr>
              <w:spacing w:after="0" w:line="240" w:lineRule="auto"/>
            </w:pPr>
            <w:r>
              <w:t xml:space="preserve">Die </w:t>
            </w:r>
            <w:r>
              <w:rPr>
                <w:b/>
              </w:rPr>
              <w:t xml:space="preserve">Skalierung bleibt</w:t>
            </w:r>
            <w:r>
              <w:t xml:space="preserve">: Hochrechnung des Bedarfs auf eine andere Fläche oder ein anderes Volumen und die Verbrauchs-Rückrechnung; sie entfällt erst für Gebäude mit echter Hülle aus G3 oder G4.</w:t>
            </w:r>
          </w:p>
        </w:tc>
        <w:tc>
          <w:tcPr>
            <w:tcW w:w="0" w:type="auto"/>
          </w:tcPr>
          <w:p>
            <w:pPr>
              <w:spacing w:after="0" w:line="240" w:lineRule="auto"/>
            </w:pPr>
            <w:r>
              <w:t xml:space="preserve">15.09.2026</w:t>
            </w:r>
          </w:p>
        </w:tc>
      </w:tr>
      <w:tr>
        <w:tc>
          <w:tcPr>
            <w:tcW w:w="0" w:type="auto"/>
          </w:tcPr>
          <w:p>
            <w:pPr>
              <w:spacing w:after="0" w:line="240" w:lineRule="auto"/>
            </w:pPr>
            <w:r>
              <w:rPr>
                <w:b/>
              </w:rPr>
              <w:t xml:space="preserve">E9</w:t>
            </w:r>
          </w:p>
        </w:tc>
        <w:tc>
          <w:tcPr>
            <w:tcW w:w="0" w:type="auto"/>
          </w:tcPr>
          <w:p>
            <w:pPr>
              <w:spacing w:after="0" w:line="240" w:lineRule="auto"/>
            </w:pPr>
            <w:r>
              <w:rPr>
                <w:b/>
              </w:rPr>
              <w:t xml:space="preserve">Import und Export</w:t>
            </w:r>
            <w:r>
              <w:t xml:space="preserve"> von gbXML und IFC; der gbXML-Import wird Pflicht in G4, die beiden Exporte sind Stufe G7.</w:t>
            </w:r>
          </w:p>
        </w:tc>
        <w:tc>
          <w:tcPr>
            <w:tcW w:w="0" w:type="auto"/>
          </w:tcPr>
          <w:p>
            <w:pPr>
              <w:spacing w:after="0" w:line="240" w:lineRule="auto"/>
            </w:pPr>
            <w:r>
              <w:t xml:space="preserve">15.09.2026</w:t>
            </w:r>
          </w:p>
        </w:tc>
      </w:tr>
      <w:tr>
        <w:tc>
          <w:tcPr>
            <w:tcW w:w="0" w:type="auto"/>
          </w:tcPr>
          <w:p>
            <w:pPr>
              <w:spacing w:after="0" w:line="240" w:lineRule="auto"/>
            </w:pPr>
            <w:r>
              <w:rPr>
                <w:b/>
              </w:rPr>
              <w:t xml:space="preserve">E10</w:t>
            </w:r>
          </w:p>
        </w:tc>
        <w:tc>
          <w:tcPr>
            <w:tcW w:w="0" w:type="auto"/>
          </w:tcPr>
          <w:p>
            <w:pPr>
              <w:spacing w:after="0" w:line="240" w:lineRule="auto"/>
            </w:pPr>
            <w:r>
              <w:t xml:space="preserve">Die </w:t>
            </w:r>
            <w:r>
              <w:rPr>
                <w:b/>
              </w:rPr>
              <w:t xml:space="preserve">Druckrundung der Normtabellen ist Teil der Prüftoleranz</w:t>
            </w:r>
            <w:r>
              <w:t xml:space="preserve"> — Band ± 0,15 K bzw. ± 1,5 W um die beiden Referenzprogramme; damit bestehen elf der zwölf Testbeispiele.</w:t>
            </w:r>
          </w:p>
        </w:tc>
        <w:tc>
          <w:tcPr>
            <w:tcW w:w="0" w:type="auto"/>
          </w:tcPr>
          <w:p>
            <w:pPr>
              <w:spacing w:after="0" w:line="240" w:lineRule="auto"/>
            </w:pPr>
            <w:r>
              <w:t xml:space="preserve">15.09.2026</w:t>
            </w:r>
          </w:p>
        </w:tc>
      </w:tr>
      <w:tr>
        <w:tc>
          <w:tcPr>
            <w:tcW w:w="0" w:type="auto"/>
          </w:tcPr>
          <w:p>
            <w:pPr>
              <w:spacing w:after="0" w:line="240" w:lineRule="auto"/>
            </w:pPr>
            <w:r>
              <w:rPr>
                <w:b/>
              </w:rPr>
              <w:t xml:space="preserve">E11</w:t>
            </w:r>
          </w:p>
        </w:tc>
        <w:tc>
          <w:tcPr>
            <w:tcW w:w="0" w:type="auto"/>
          </w:tcPr>
          <w:p>
            <w:pPr>
              <w:spacing w:after="0" w:line="240" w:lineRule="auto"/>
            </w:pPr>
            <w:r>
              <w:t xml:space="preserve">Ein </w:t>
            </w:r>
            <w:r>
              <w:rPr>
                <w:b/>
              </w:rPr>
              <w:t xml:space="preserve">Gebäudebetrachter, zwei Ansichten, ein Datenmodell</w:t>
            </w:r>
            <w:r>
              <w:t xml:space="preserve">: 2D-Grundriss je Geschoss aus den Raumgrenzen (SVG in einer Razor-Komponente, mit G6c) und schematische Körper aus EPOS-Daten (Quader je Zone, Platte je Bauteil, three.js lokal, mit G7b), zusammen gebaut auf einem Zonengeometrie-Modell im Kern; 10–17 PT. Ein vollwertiger 3D-IFC-Betrachter und die xBIM Geometry Engine sind benannt abgelehnt.</w:t>
            </w:r>
          </w:p>
        </w:tc>
        <w:tc>
          <w:tcPr>
            <w:tcW w:w="0" w:type="auto"/>
          </w:tcPr>
          <w:p>
            <w:pPr>
              <w:spacing w:after="0" w:line="240" w:lineRule="auto"/>
            </w:pPr>
            <w:r>
              <w:t xml:space="preserve">15.09.2026</w:t>
            </w:r>
          </w:p>
        </w:tc>
      </w:tr>
    </w:tbl>
    <w:p>
      <w:pPr>
        <w:spacing w:after="120"/>
      </w:pPr>
    </w:p>
    <w:p>
      <w:pPr>
        <w:pStyle w:val="Heading2"/>
      </w:pPr>
      <w:r>
        <w:t xml:space="preserve">1.4 Der Produktausweis nach E10</w:t>
      </w:r>
    </w:p>
    <w:p>
      <w:r>
        <w:t xml:space="preserve">Der Ausweis steht im Berichtskopf, auf der Wiki-Seite und in jeder Exportdatei — </w:t>
      </w:r>
      <w:r>
        <w:rPr>
          <w:b/>
        </w:rPr>
        <w:t xml:space="preserve">im Wortlaut, unverändert und ohne Umschreibung</w:t>
      </w:r>
      <w:r>
        <w:t xml:space="preserve">:</w:t>
      </w:r>
    </w:p>
    <w:p>
      <w:pPr>
        <w:pStyle w:val="Quote"/>
      </w:pPr>
      <w:r>
        <w:t xml:space="preserve">„Rechenkern nach VDI 6007 Blatt 1; elf der zwölf Testbeispiele im Normband einschließlich Druckrundung, Testbeispiel 11 in zwei Umschaltstunden um 3,9 W daneben"</w:t>
      </w:r>
    </w:p>
    <w:p>
      <w:r>
        <w:t xml:space="preserve">Er wechselt erst, wenn Stufe G0 den offenen Testfall geschlossen hat. Im Mehrzonenfall gilt der Ausweis </w:t>
      </w:r>
      <w:r>
        <w:rPr>
          <w:b/>
        </w:rPr>
        <w:t xml:space="preserve">je Zone</w:t>
      </w:r>
      <w:r>
        <w:t xml:space="preserve">: das Mehrzonenmodell selbst ist eine EPOS-Erweiterung und keine Norm, und keine Datei darf das Gegenteil nahelegen. Die Normzahlen selbst werden </w:t>
      </w:r>
      <w:r>
        <w:rPr>
          <w:b/>
        </w:rPr>
        <w:t xml:space="preserve">nicht ausgeliefert</w:t>
      </w:r>
      <w:r>
        <w:t xml:space="preserve">; der Normfallnachweis ist ein lokaler Nachweis, und die daraus folgende Lücke im CI-Gate gehört ins Protokoll.</w:t>
      </w:r>
    </w:p>
    <w:p>
      <w:pPr>
        <w:pStyle w:val="Heading2"/>
      </w:pPr>
      <w:r>
        <w:t xml:space="preserve">1.5 Was ausgeschlossen bleibt</w:t>
      </w:r>
    </w:p>
    <w:p>
      <w:r>
        <w:t xml:space="preserve">Nicht Gegenstand des Vorhabens sind: Feuchtebilanz, Kühlung als vierter Kanal, Bauteilaktivierung, die Kopplung von Vorlauftemperatur und Erzeugerfahrplan an die Raumtemperatur, sommerlicher Wärmeschutz nach DIN 4108-2, Nachweise nach GEG oder DIN V 18599, Verschattung durch Nachbarbebauung, Wärmerückgewinnung, Nutzungsprofile für Nichtwohngebäude, Scan-to-BIM und die Validierung an gemessenen Verbräuchen.</w:t>
      </w:r>
    </w:p>
    <w:p>
      <w:r>
        <w:rPr>
          <w:b/>
        </w:rPr>
        <w:t xml:space="preserve">Einzelheiten:</w:t>
      </w:r>
      <w:r>
        <w:t xml:space="preserve"> </w:t>
      </w:r>
      <w:r>
        <w:rPr>
          <w:rFonts w:ascii="Consolas" w:hAnsi="Consolas" w:cs="Consolas"/>
          <w:noProof/>
          <w:sz w:val="20"/>
          <w:szCs w:val="20"/>
          <w:shd w:val="clear" w:color="auto" w:fill="EFEFEF"/>
        </w:rPr>
        <w:t xml:space="preserve">Dokumentation/aktuell/Konzept_Gebaeudesimulation_VDI6007_EPOS-Plan.md</w:t>
      </w:r>
      <w:r>
        <w:t xml:space="preserve"> (Kapitel 0, 1, 15 und Nachtrag 1 mit N1.1 bis N1.16) sowie </w:t>
      </w:r>
      <w:r>
        <w:rPr>
          <w:rFonts w:ascii="Consolas" w:hAnsi="Consolas" w:cs="Consolas"/>
          <w:noProof/>
          <w:sz w:val="20"/>
          <w:szCs w:val="20"/>
          <w:shd w:val="clear" w:color="auto" w:fill="EFEFEF"/>
        </w:rPr>
        <w:t xml:space="preserve">Dokumentation/aktuell/Status_Gebaeudesimulation_VDI6007.md</w:t>
      </w:r>
      <w:r>
        <w:t xml:space="preserve">.</w:t>
      </w:r>
    </w:p>
    <w:p>
      <w:pPr>
        <w:pStyle w:val="Trennlinie"/>
      </w:pPr>
    </w:p>
    <w:p>
      <w:pPr>
        <w:pStyle w:val="Heading1"/>
      </w:pPr>
      <w:r>
        <w:t xml:space="preserve">2 Systementwurf</w:t>
      </w:r>
    </w:p>
    <w:p>
      <w:pPr>
        <w:pStyle w:val="Quote"/>
      </w:pPr>
      <w:r>
        <w:t xml:space="preserve">Die beiden Architekturpapiere — Systementwurf und Softwarearchitektur — sind </w:t>
      </w:r>
      <w:r>
        <w:rPr>
          <w:b/>
        </w:rPr>
        <w:t xml:space="preserve">Entwürfe Rev. 1</w:t>
      </w:r>
      <w:r>
        <w:t xml:space="preserve">; das Gegenlesen läuft parallel. Zahlen und Namen, die von den Konzeptpapieren abweichen, tragen unten den Vermerk „(Architekturpapier, Entwurf)".</w:t>
      </w:r>
    </w:p>
    <w:p>
      <w:r>
        <w:t xml:space="preserve">Der Systementwurf sagt, </w:t>
      </w:r>
      <w:r>
        <w:rPr>
          <w:b/>
        </w:rPr>
        <w:t xml:space="preserve">in welchem Gerüst</w:t>
      </w:r>
      <w:r>
        <w:t xml:space="preserve"> gerechnet, gespeichert, gemeldet und nachgewiesen wird — nicht, </w:t>
      </w:r>
      <w:r>
        <w:rPr>
          <w:b/>
        </w:rPr>
        <w:t xml:space="preserve">wie</w:t>
      </w:r>
      <w:r>
        <w:t xml:space="preserve"> gerechnet wird. Sein Ergebnis in sieben Punkten: eine Naht im Lauf, das unveränderte Gerüst Kern → Hülle → Razor-Komponente mit neun Umgebungsdiensten, ein Datenmodell mit elf neuen Tabellen bei genau einem Sichtneubau, die benannte Ablehnung statt stiller Übergehung, Determinismus aus Instanzzustand und Einfädigkeit, drei Schritte, die die Referenzbasis neu einfrieren — und siebtens: </w:t>
      </w:r>
      <w:r>
        <w:rPr>
          <w:b/>
        </w:rPr>
        <w:t xml:space="preserve">Import, Export und Ansicht laufen über ein Gerüst und eine Geometriequelle.</w:t>
      </w:r>
      <w:r>
        <w:t xml:space="preserve"> Ein Zuordnungsgerüst mit zwei Formatprofilen trägt IFC und gbXML; bis zur ausdrücklichen Übernahme wird nichts geschrieben. Die Geometrie, die die Exporte schreiben und die der Gebäudebetrachter zeigt (E11), entsteht </w:t>
      </w:r>
      <w:r>
        <w:rPr>
          <w:b/>
        </w:rPr>
        <w:t xml:space="preserve">einmal</w:t>
      </w:r>
      <w:r>
        <w:t xml:space="preserve"> im Kern als Zonengeometrie-Modell und wird gelesen, nicht im Exporteur gerechnet. Die Lizenzhinweisseite im Installationspaket — xBIM und three.js — ist Vorbedingung der Auslieferung des IFC-Wegs und des Betrachters.</w:t>
      </w:r>
    </w:p>
    <w:p>
      <w:pPr>
        <w:pStyle w:val="Heading2"/>
      </w:pPr>
      <w:r>
        <w:t xml:space="preserve">2.1 Funktionale Anforderungen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Anforderung</w:t>
            </w:r>
          </w:p>
        </w:tc>
        <w:tc>
          <w:tcPr>
            <w:tcW w:w="0" w:type="auto"/>
            <w:shd w:val="clear" w:color="auto" w:fill="D9D9D9"/>
          </w:tcPr>
          <w:p>
            <w:pPr>
              <w:spacing w:after="0" w:line="240" w:lineRule="auto"/>
              <w:rPr>
                <w:b/>
              </w:rPr>
            </w:pPr>
            <w:r>
              <w:rPr>
                <w:b/>
              </w:rPr>
              <w:t xml:space="preserve">Quelle</w:t>
            </w:r>
          </w:p>
        </w:tc>
        <w:tc>
          <w:tcPr>
            <w:tcW w:w="0" w:type="auto"/>
            <w:shd w:val="clear" w:color="auto" w:fill="D9D9D9"/>
          </w:tcPr>
          <w:p>
            <w:pPr>
              <w:spacing w:after="0" w:line="240" w:lineRule="auto"/>
              <w:rPr>
                <w:b/>
              </w:rPr>
            </w:pPr>
            <w:r>
              <w:rPr>
                <w:b/>
              </w:rPr>
              <w:t xml:space="preserve">Nachweis</w:t>
            </w:r>
          </w:p>
        </w:tc>
      </w:tr>
      <w:tr>
        <w:tc>
          <w:tcPr>
            <w:tcW w:w="0" w:type="auto"/>
          </w:tcPr>
          <w:p>
            <w:pPr>
              <w:spacing w:after="0" w:line="240" w:lineRule="auto"/>
            </w:pPr>
            <w:r>
              <w:rPr>
                <w:b/>
              </w:rPr>
              <w:t xml:space="preserve">F1</w:t>
            </w:r>
          </w:p>
        </w:tc>
        <w:tc>
          <w:tcPr>
            <w:tcW w:w="0" w:type="auto"/>
          </w:tcPr>
          <w:p>
            <w:pPr>
              <w:spacing w:after="0" w:line="240" w:lineRule="auto"/>
            </w:pPr>
            <w:r>
              <w:t xml:space="preserve">Das 2-K-Modell nach VDI 6007 Blatt 1 rechnet </w:t>
            </w:r>
            <w:r>
              <w:rPr>
                <w:b/>
              </w:rPr>
              <w:t xml:space="preserve">stündlich</w:t>
            </w:r>
            <w:r>
              <w:t xml:space="preserve"> und ist das Vorgabemodell </w:t>
            </w:r>
            <w:r>
              <w:rPr>
                <w:b/>
              </w:rPr>
              <w:t xml:space="preserve">jedes</w:t>
            </w:r>
            <w:r>
              <w:t xml:space="preserve"> Gebäudes</w:t>
            </w:r>
          </w:p>
        </w:tc>
        <w:tc>
          <w:tcPr>
            <w:tcW w:w="0" w:type="auto"/>
          </w:tcPr>
          <w:p>
            <w:pPr>
              <w:spacing w:after="0" w:line="240" w:lineRule="auto"/>
            </w:pPr>
            <w:r>
              <w:t xml:space="preserve">E1, ADR-002</w:t>
            </w:r>
          </w:p>
        </w:tc>
        <w:tc>
          <w:tcPr>
            <w:tcW w:w="0" w:type="auto"/>
          </w:tcPr>
          <w:p>
            <w:pPr>
              <w:spacing w:after="0" w:line="240" w:lineRule="auto"/>
            </w:pPr>
            <w:r>
              <w:t xml:space="preserve">Normtestfälle lokal (G0); Referenzlauf G1 + G2</w:t>
            </w:r>
          </w:p>
        </w:tc>
      </w:tr>
      <w:tr>
        <w:tc>
          <w:tcPr>
            <w:tcW w:w="0" w:type="auto"/>
          </w:tcPr>
          <w:p>
            <w:pPr>
              <w:spacing w:after="0" w:line="240" w:lineRule="auto"/>
            </w:pPr>
            <w:r>
              <w:rPr>
                <w:b/>
              </w:rPr>
              <w:t xml:space="preserve">F2</w:t>
            </w:r>
          </w:p>
        </w:tc>
        <w:tc>
          <w:tcPr>
            <w:tcW w:w="0" w:type="auto"/>
          </w:tcPr>
          <w:p>
            <w:pPr>
              <w:spacing w:after="0" w:line="240" w:lineRule="auto"/>
            </w:pPr>
            <w:r>
              <w:t xml:space="preserve">Die Tagesbilanz bleibt </w:t>
            </w:r>
            <w:r>
              <w:rPr>
                <w:b/>
              </w:rPr>
              <w:t xml:space="preserve">ausdrücklich wählbare</w:t>
            </w:r>
            <w:r>
              <w:t xml:space="preserve"> Ausnahme je Gebäude und bleibt regressionsgeprüft</w:t>
            </w:r>
          </w:p>
        </w:tc>
        <w:tc>
          <w:tcPr>
            <w:tcW w:w="0" w:type="auto"/>
          </w:tcPr>
          <w:p>
            <w:pPr>
              <w:spacing w:after="0" w:line="240" w:lineRule="auto"/>
            </w:pPr>
            <w:r>
              <w:t xml:space="preserve">E1, ADR-002</w:t>
            </w:r>
          </w:p>
        </w:tc>
        <w:tc>
          <w:tcPr>
            <w:tcW w:w="0" w:type="auto"/>
          </w:tcPr>
          <w:p>
            <w:pPr>
              <w:spacing w:after="0" w:line="240" w:lineRule="auto"/>
            </w:pPr>
            <w:r>
              <w:t xml:space="preserve">Rückweg-Nachweis gegen die Basis</w:t>
            </w:r>
          </w:p>
        </w:tc>
      </w:tr>
      <w:tr>
        <w:tc>
          <w:tcPr>
            <w:tcW w:w="0" w:type="auto"/>
          </w:tcPr>
          <w:p>
            <w:pPr>
              <w:spacing w:after="0" w:line="240" w:lineRule="auto"/>
            </w:pPr>
            <w:r>
              <w:rPr>
                <w:b/>
              </w:rPr>
              <w:t xml:space="preserve">F3</w:t>
            </w:r>
          </w:p>
        </w:tc>
        <w:tc>
          <w:tcPr>
            <w:tcW w:w="0" w:type="auto"/>
          </w:tcPr>
          <w:p>
            <w:pPr>
              <w:spacing w:after="0" w:line="240" w:lineRule="auto"/>
            </w:pPr>
            <w:r>
              <w:t xml:space="preserve">Der Gebäudedialog zeigt je Bauteilgruppe </w:t>
            </w:r>
            <w:r>
              <w:rPr>
                <w:b/>
              </w:rPr>
              <w:t xml:space="preserve">U, A und U·A</w:t>
            </w:r>
            <w:r>
              <w:t xml:space="preserve"> ohne verdeckte Gewichte, darunter H_T, H_ve, H_ges</w:t>
            </w:r>
          </w:p>
        </w:tc>
        <w:tc>
          <w:tcPr>
            <w:tcW w:w="0" w:type="auto"/>
          </w:tcPr>
          <w:p>
            <w:pPr>
              <w:spacing w:after="0" w:line="240" w:lineRule="auto"/>
            </w:pPr>
            <w:r>
              <w:t xml:space="preserve">E2</w:t>
            </w:r>
          </w:p>
        </w:tc>
        <w:tc>
          <w:tcPr>
            <w:tcW w:w="0" w:type="auto"/>
          </w:tcPr>
          <w:p>
            <w:pPr>
              <w:spacing w:after="0" w:line="240" w:lineRule="auto"/>
            </w:pPr>
            <w:r>
              <w:t xml:space="preserve">bunit-Fall über die U·A-Tabelle, Summenprobe gegen den Löser</w:t>
            </w:r>
          </w:p>
        </w:tc>
      </w:tr>
      <w:tr>
        <w:tc>
          <w:tcPr>
            <w:tcW w:w="0" w:type="auto"/>
          </w:tcPr>
          <w:p>
            <w:pPr>
              <w:spacing w:after="0" w:line="240" w:lineRule="auto"/>
            </w:pPr>
            <w:r>
              <w:rPr>
                <w:b/>
              </w:rPr>
              <w:t xml:space="preserve">F4</w:t>
            </w:r>
          </w:p>
        </w:tc>
        <w:tc>
          <w:tcPr>
            <w:tcW w:w="0" w:type="auto"/>
          </w:tcPr>
          <w:p>
            <w:pPr>
              <w:spacing w:after="0" w:line="240" w:lineRule="auto"/>
            </w:pPr>
            <w:r>
              <w:t xml:space="preserve">Eine </w:t>
            </w:r>
            <w:r>
              <w:rPr>
                <w:b/>
              </w:rPr>
              <w:t xml:space="preserve">Vorschau je Gebäude</w:t>
            </w:r>
            <w:r>
              <w:t xml:space="preserve"> rechnet auf demselben Rechenweg wie der Lauf — nie eine zweite Rechnung</w:t>
            </w:r>
          </w:p>
        </w:tc>
        <w:tc>
          <w:tcPr>
            <w:tcW w:w="0" w:type="auto"/>
          </w:tcPr>
          <w:p>
            <w:pPr>
              <w:spacing w:after="0" w:line="240" w:lineRule="auto"/>
            </w:pPr>
            <w:r>
              <w:t xml:space="preserve">Hausregel Kern</w:t>
            </w:r>
          </w:p>
        </w:tc>
        <w:tc>
          <w:tcPr>
            <w:tcW w:w="0" w:type="auto"/>
          </w:tcPr>
          <w:p>
            <w:pPr>
              <w:spacing w:after="0" w:line="240" w:lineRule="auto"/>
            </w:pPr>
            <w:r>
              <w:t xml:space="preserve">Datenbankfall: Auskunft und Lauf liefern denselben Vektor</w:t>
            </w:r>
          </w:p>
        </w:tc>
      </w:tr>
      <w:tr>
        <w:tc>
          <w:tcPr>
            <w:tcW w:w="0" w:type="auto"/>
          </w:tcPr>
          <w:p>
            <w:pPr>
              <w:spacing w:after="0" w:line="240" w:lineRule="auto"/>
            </w:pPr>
            <w:r>
              <w:rPr>
                <w:b/>
              </w:rPr>
              <w:t xml:space="preserve">F5</w:t>
            </w:r>
          </w:p>
        </w:tc>
        <w:tc>
          <w:tcPr>
            <w:tcW w:w="0" w:type="auto"/>
          </w:tcPr>
          <w:p>
            <w:pPr>
              <w:spacing w:after="0" w:line="240" w:lineRule="auto"/>
            </w:pPr>
            <w:r>
              <w:rPr>
                <w:b/>
              </w:rPr>
              <w:t xml:space="preserve">Skalierung</w:t>
            </w:r>
            <w:r>
              <w:t xml:space="preserve"> und </w:t>
            </w:r>
            <w:r>
              <w:rPr>
                <w:b/>
              </w:rPr>
              <w:t xml:space="preserve">Verbrauchs-Rückrechnung</w:t>
            </w:r>
            <w:r>
              <w:t xml:space="preserve"> bleiben erhalten</w:t>
            </w:r>
          </w:p>
        </w:tc>
        <w:tc>
          <w:tcPr>
            <w:tcW w:w="0" w:type="auto"/>
          </w:tcPr>
          <w:p>
            <w:pPr>
              <w:spacing w:after="0" w:line="240" w:lineRule="auto"/>
            </w:pPr>
            <w:r>
              <w:t xml:space="preserve">E8</w:t>
            </w:r>
          </w:p>
        </w:tc>
        <w:tc>
          <w:tcPr>
            <w:tcW w:w="0" w:type="auto"/>
          </w:tcPr>
          <w:p>
            <w:pPr>
              <w:spacing w:after="0" w:line="240" w:lineRule="auto"/>
            </w:pPr>
            <w:r>
              <w:t xml:space="preserve">zwei Läufe byte-gleich; Datenbankfall über beide Einheiten</w:t>
            </w:r>
          </w:p>
        </w:tc>
      </w:tr>
      <w:tr>
        <w:tc>
          <w:tcPr>
            <w:tcW w:w="0" w:type="auto"/>
          </w:tcPr>
          <w:p>
            <w:pPr>
              <w:spacing w:after="0" w:line="240" w:lineRule="auto"/>
            </w:pPr>
            <w:r>
              <w:rPr>
                <w:b/>
              </w:rPr>
              <w:t xml:space="preserve">F6</w:t>
            </w:r>
          </w:p>
        </w:tc>
        <w:tc>
          <w:tcPr>
            <w:tcW w:w="0" w:type="auto"/>
          </w:tcPr>
          <w:p>
            <w:pPr>
              <w:spacing w:after="0" w:line="240" w:lineRule="auto"/>
            </w:pPr>
            <w:r>
              <w:t xml:space="preserve">Je Gebäude entstehen die Reihen </w:t>
            </w:r>
            <w:r>
              <w:rPr>
                <w:b/>
              </w:rPr>
              <w:t xml:space="preserve">Raumtemperatur</w:t>
            </w:r>
            <w:r>
              <w:t xml:space="preserve">, </w:t>
            </w:r>
            <w:r>
              <w:rPr>
                <w:b/>
              </w:rPr>
              <w:t xml:space="preserve">operative Temperatur</w:t>
            </w:r>
            <w:r>
              <w:t xml:space="preserve"> und </w:t>
            </w:r>
            <w:r>
              <w:rPr>
                <w:b/>
              </w:rPr>
              <w:t xml:space="preserve">Kühlbedarf</w:t>
            </w:r>
            <w:r>
              <w:t xml:space="preserve"> über 8 760 Stunden</w:t>
            </w:r>
          </w:p>
        </w:tc>
        <w:tc>
          <w:tcPr>
            <w:tcW w:w="0" w:type="auto"/>
          </w:tcPr>
          <w:p>
            <w:pPr>
              <w:spacing w:after="0" w:line="240" w:lineRule="auto"/>
            </w:pPr>
            <w:r>
              <w:t xml:space="preserve">Konzept 4</w:t>
            </w:r>
          </w:p>
        </w:tc>
        <w:tc>
          <w:tcPr>
            <w:tcW w:w="0" w:type="auto"/>
          </w:tcPr>
          <w:p>
            <w:pPr>
              <w:spacing w:after="0" w:line="240" w:lineRule="auto"/>
            </w:pPr>
            <w:r>
              <w:t xml:space="preserve">drei neue Vektordateien im Referenzlauf-Export</w:t>
            </w:r>
          </w:p>
        </w:tc>
      </w:tr>
      <w:tr>
        <w:tc>
          <w:tcPr>
            <w:tcW w:w="0" w:type="auto"/>
          </w:tcPr>
          <w:p>
            <w:pPr>
              <w:spacing w:after="0" w:line="240" w:lineRule="auto"/>
            </w:pPr>
            <w:r>
              <w:rPr>
                <w:b/>
              </w:rPr>
              <w:t xml:space="preserve">F7</w:t>
            </w:r>
          </w:p>
        </w:tc>
        <w:tc>
          <w:tcPr>
            <w:tcW w:w="0" w:type="auto"/>
          </w:tcPr>
          <w:p>
            <w:pPr>
              <w:spacing w:after="0" w:line="240" w:lineRule="auto"/>
            </w:pPr>
            <w:r>
              <w:t xml:space="preserve">Je Gebäude entstehen </w:t>
            </w:r>
            <w:r>
              <w:rPr>
                <w:b/>
              </w:rPr>
              <w:t xml:space="preserve">acht Kennzahlen</w:t>
            </w:r>
            <w:r>
              <w:t xml:space="preserve">: Jahresheizwärme, Spitze, Tagesmittel der Spitze, 95-%-Wert, Kühlenergie, Stunden mit Kühlbedarf, mittlere Raumtemperatur der Heizzeit und Übertemperaturstunden. </w:t>
            </w:r>
            <w:r>
              <w:rPr>
                <w:b/>
              </w:rPr>
              <w:t xml:space="preserve">Im Bericht</w:t>
            </w:r>
            <w:r>
              <w:t xml:space="preserve"> stehen die fünf des Kennzahlenkatalogs, </w:t>
            </w:r>
            <w:r>
              <w:rPr>
                <w:b/>
              </w:rPr>
              <w:t xml:space="preserve">im Referenzlauf-Export</w:t>
            </w:r>
            <w:r>
              <w:t xml:space="preserve"> zusätzlich Stunden mit Kühlbedarf und die Gebäudespitze — sie steht im Bericht schon als maximale Wärmelast</w:t>
            </w:r>
          </w:p>
        </w:tc>
        <w:tc>
          <w:tcPr>
            <w:tcW w:w="0" w:type="auto"/>
          </w:tcPr>
          <w:p>
            <w:pPr>
              <w:spacing w:after="0" w:line="240" w:lineRule="auto"/>
            </w:pPr>
            <w:r>
              <w:t xml:space="preserve">Umsetzungskonzept 1.4</w:t>
            </w:r>
          </w:p>
        </w:tc>
        <w:tc>
          <w:tcPr>
            <w:tcW w:w="0" w:type="auto"/>
          </w:tcPr>
          <w:p>
            <w:pPr>
              <w:spacing w:after="0" w:line="240" w:lineRule="auto"/>
            </w:pPr>
            <w:r>
              <w:t xml:space="preserve">Skalare mit Gebäudepräfix; die fünf Kennzahlen im Bericht</w:t>
            </w:r>
          </w:p>
        </w:tc>
      </w:tr>
      <w:tr>
        <w:tc>
          <w:tcPr>
            <w:tcW w:w="0" w:type="auto"/>
          </w:tcPr>
          <w:p>
            <w:pPr>
              <w:spacing w:after="0" w:line="240" w:lineRule="auto"/>
            </w:pPr>
            <w:r>
              <w:rPr>
                <w:b/>
              </w:rPr>
              <w:t xml:space="preserve">F8</w:t>
            </w:r>
          </w:p>
        </w:tc>
        <w:tc>
          <w:tcPr>
            <w:tcW w:w="0" w:type="auto"/>
          </w:tcPr>
          <w:p>
            <w:pPr>
              <w:spacing w:after="0" w:line="240" w:lineRule="auto"/>
            </w:pPr>
            <w:r>
              <w:t xml:space="preserve">Ein </w:t>
            </w:r>
            <w:r>
              <w:rPr>
                <w:b/>
              </w:rPr>
              <w:t xml:space="preserve">Bauteilkatalog</w:t>
            </w:r>
            <w:r>
              <w:t xml:space="preserve"> trägt Baustoffe, Aufbauten und Schichten — als Auslieferungskatalog und als Projektkopie</w:t>
            </w:r>
          </w:p>
        </w:tc>
        <w:tc>
          <w:tcPr>
            <w:tcW w:w="0" w:type="auto"/>
          </w:tcPr>
          <w:p>
            <w:pPr>
              <w:spacing w:after="0" w:line="240" w:lineRule="auto"/>
            </w:pPr>
            <w:r>
              <w:t xml:space="preserve">Konzept 6.3</w:t>
            </w:r>
          </w:p>
        </w:tc>
        <w:tc>
          <w:tcPr>
            <w:tcW w:w="0" w:type="auto"/>
          </w:tcPr>
          <w:p>
            <w:pPr>
              <w:spacing w:after="0" w:line="240" w:lineRule="auto"/>
            </w:pPr>
            <w:r>
              <w:t xml:space="preserve">Katalogeditor-Fälle; Auslieferungsvorlage grün</w:t>
            </w:r>
          </w:p>
        </w:tc>
      </w:tr>
      <w:tr>
        <w:tc>
          <w:tcPr>
            <w:tcW w:w="0" w:type="auto"/>
          </w:tcPr>
          <w:p>
            <w:pPr>
              <w:spacing w:after="0" w:line="240" w:lineRule="auto"/>
            </w:pPr>
            <w:r>
              <w:rPr>
                <w:b/>
              </w:rPr>
              <w:t xml:space="preserve">F9</w:t>
            </w:r>
          </w:p>
        </w:tc>
        <w:tc>
          <w:tcPr>
            <w:tcW w:w="0" w:type="auto"/>
          </w:tcPr>
          <w:p>
            <w:pPr>
              <w:spacing w:after="0" w:line="240" w:lineRule="auto"/>
            </w:pPr>
            <w:r>
              <w:t xml:space="preserve">Der </w:t>
            </w:r>
            <w:r>
              <w:rPr>
                <w:b/>
              </w:rPr>
              <w:t xml:space="preserve">Bauteilweg</w:t>
            </w:r>
            <w:r>
              <w:t xml:space="preserve"> (Reduktion aus Schichten) tritt neben den Klassenweg</w:t>
            </w:r>
          </w:p>
        </w:tc>
        <w:tc>
          <w:tcPr>
            <w:tcW w:w="0" w:type="auto"/>
          </w:tcPr>
          <w:p>
            <w:pPr>
              <w:spacing w:after="0" w:line="240" w:lineRule="auto"/>
            </w:pPr>
            <w:r>
              <w:t xml:space="preserve">Konzept 4.3</w:t>
            </w:r>
          </w:p>
        </w:tc>
        <w:tc>
          <w:tcPr>
            <w:tcW w:w="0" w:type="auto"/>
          </w:tcPr>
          <w:p>
            <w:pPr>
              <w:spacing w:after="0" w:line="240" w:lineRule="auto"/>
            </w:pPr>
            <w:r>
              <w:t xml:space="preserve">ein Gebäude über beide Wege, Abweichung ausgewiesen</w:t>
            </w:r>
          </w:p>
        </w:tc>
      </w:tr>
      <w:tr>
        <w:tc>
          <w:tcPr>
            <w:tcW w:w="0" w:type="auto"/>
          </w:tcPr>
          <w:p>
            <w:pPr>
              <w:spacing w:after="0" w:line="240" w:lineRule="auto"/>
            </w:pPr>
            <w:r>
              <w:rPr>
                <w:b/>
              </w:rPr>
              <w:t xml:space="preserve">F10</w:t>
            </w:r>
          </w:p>
        </w:tc>
        <w:tc>
          <w:tcPr>
            <w:tcW w:w="0" w:type="auto"/>
          </w:tcPr>
          <w:p>
            <w:pPr>
              <w:spacing w:after="0" w:line="240" w:lineRule="auto"/>
            </w:pPr>
            <w:r>
              <w:t xml:space="preserve">Ein Gebäude kann </w:t>
            </w:r>
            <w:r>
              <w:rPr>
                <w:b/>
              </w:rPr>
              <w:t xml:space="preserve">mehrere Zonen</w:t>
            </w:r>
            <w:r>
              <w:t xml:space="preserve"> tragen, gekoppelt über Trennflächen und Luftaustausch</w:t>
            </w:r>
          </w:p>
        </w:tc>
        <w:tc>
          <w:tcPr>
            <w:tcW w:w="0" w:type="auto"/>
          </w:tcPr>
          <w:p>
            <w:pPr>
              <w:spacing w:after="0" w:line="240" w:lineRule="auto"/>
            </w:pPr>
            <w:r>
              <w:t xml:space="preserve">E7, ADR-005</w:t>
            </w:r>
          </w:p>
        </w:tc>
        <w:tc>
          <w:tcPr>
            <w:tcW w:w="0" w:type="auto"/>
          </w:tcPr>
          <w:p>
            <w:pPr>
              <w:spacing w:after="0" w:line="240" w:lineRule="auto"/>
            </w:pPr>
            <w:r>
              <w:t xml:space="preserve">eine Zone </w:t>
            </w:r>
            <w:r>
              <w:rPr>
                <w:b/>
              </w:rPr>
              <w:t xml:space="preserve">bitgleich</w:t>
            </w:r>
            <w:r>
              <w:t xml:space="preserve"> zum Einzonenmodell desselben Programmstands</w:t>
            </w:r>
          </w:p>
        </w:tc>
      </w:tr>
      <w:tr>
        <w:tc>
          <w:tcPr>
            <w:tcW w:w="0" w:type="auto"/>
          </w:tcPr>
          <w:p>
            <w:pPr>
              <w:spacing w:after="0" w:line="240" w:lineRule="auto"/>
            </w:pPr>
            <w:r>
              <w:rPr>
                <w:b/>
              </w:rPr>
              <w:t xml:space="preserve">F11</w:t>
            </w:r>
          </w:p>
        </w:tc>
        <w:tc>
          <w:tcPr>
            <w:tcW w:w="0" w:type="auto"/>
          </w:tcPr>
          <w:p>
            <w:pPr>
              <w:spacing w:after="0" w:line="240" w:lineRule="auto"/>
            </w:pPr>
            <w:r>
              <w:rPr>
                <w:b/>
              </w:rPr>
              <w:t xml:space="preserve">IFC-Import</w:t>
            </w:r>
            <w:r>
              <w:t xml:space="preserve"> mit Herkunft je Feld und Beleg je Zahl</w:t>
            </w:r>
          </w:p>
        </w:tc>
        <w:tc>
          <w:tcPr>
            <w:tcW w:w="0" w:type="auto"/>
          </w:tcPr>
          <w:p>
            <w:pPr>
              <w:spacing w:after="0" w:line="240" w:lineRule="auto"/>
            </w:pPr>
            <w:r>
              <w:t xml:space="preserve">E3, E9, ADR-003</w:t>
            </w:r>
          </w:p>
        </w:tc>
        <w:tc>
          <w:tcPr>
            <w:tcW w:w="0" w:type="auto"/>
          </w:tcPr>
          <w:p>
            <w:pPr>
              <w:spacing w:after="0" w:line="240" w:lineRule="auto"/>
            </w:pPr>
            <w:r>
              <w:t xml:space="preserve">Importprobe gegen die Prüfdatei</w:t>
            </w:r>
          </w:p>
        </w:tc>
      </w:tr>
      <w:tr>
        <w:tc>
          <w:tcPr>
            <w:tcW w:w="0" w:type="auto"/>
          </w:tcPr>
          <w:p>
            <w:pPr>
              <w:spacing w:after="0" w:line="240" w:lineRule="auto"/>
            </w:pPr>
            <w:r>
              <w:rPr>
                <w:b/>
              </w:rPr>
              <w:t xml:space="preserve">F12</w:t>
            </w:r>
          </w:p>
        </w:tc>
        <w:tc>
          <w:tcPr>
            <w:tcW w:w="0" w:type="auto"/>
          </w:tcPr>
          <w:p>
            <w:pPr>
              <w:spacing w:after="0" w:line="240" w:lineRule="auto"/>
            </w:pPr>
            <w:r>
              <w:rPr>
                <w:b/>
              </w:rPr>
              <w:t xml:space="preserve">gbXML-Import</w:t>
            </w:r>
            <w:r>
              <w:t xml:space="preserve"> — Pflichtbestandteil der Stufe G4</w:t>
            </w:r>
          </w:p>
        </w:tc>
        <w:tc>
          <w:tcPr>
            <w:tcW w:w="0" w:type="auto"/>
          </w:tcPr>
          <w:p>
            <w:pPr>
              <w:spacing w:after="0" w:line="240" w:lineRule="auto"/>
            </w:pPr>
            <w:r>
              <w:t xml:space="preserve">E9, ADR-004</w:t>
            </w:r>
          </w:p>
        </w:tc>
        <w:tc>
          <w:tcPr>
            <w:tcW w:w="0" w:type="auto"/>
          </w:tcPr>
          <w:p>
            <w:pPr>
              <w:spacing w:after="0" w:line="240" w:lineRule="auto"/>
            </w:pPr>
            <w:r>
              <w:t xml:space="preserve">Rundlauf: eigener Export gelesen, Werte auf 1e-6 gleich</w:t>
            </w:r>
          </w:p>
        </w:tc>
      </w:tr>
      <w:tr>
        <w:tc>
          <w:tcPr>
            <w:tcW w:w="0" w:type="auto"/>
          </w:tcPr>
          <w:p>
            <w:pPr>
              <w:spacing w:after="0" w:line="240" w:lineRule="auto"/>
            </w:pPr>
            <w:r>
              <w:rPr>
                <w:b/>
              </w:rPr>
              <w:t xml:space="preserve">F13</w:t>
            </w:r>
          </w:p>
        </w:tc>
        <w:tc>
          <w:tcPr>
            <w:tcW w:w="0" w:type="auto"/>
          </w:tcPr>
          <w:p>
            <w:pPr>
              <w:spacing w:after="0" w:line="240" w:lineRule="auto"/>
            </w:pPr>
            <w:r>
              <w:rPr>
                <w:b/>
              </w:rPr>
              <w:t xml:space="preserve">gbXML- und IFC-Export</w:t>
            </w:r>
            <w:r>
              <w:t xml:space="preserve"> samt Round-Trip-Anreicherung</w:t>
            </w:r>
          </w:p>
        </w:tc>
        <w:tc>
          <w:tcPr>
            <w:tcW w:w="0" w:type="auto"/>
          </w:tcPr>
          <w:p>
            <w:pPr>
              <w:spacing w:after="0" w:line="240" w:lineRule="auto"/>
            </w:pPr>
            <w:r>
              <w:t xml:space="preserve">E9</w:t>
            </w:r>
          </w:p>
        </w:tc>
        <w:tc>
          <w:tcPr>
            <w:tcW w:w="0" w:type="auto"/>
          </w:tcPr>
          <w:p>
            <w:pPr>
              <w:spacing w:after="0" w:line="240" w:lineRule="auto"/>
            </w:pPr>
            <w:r>
              <w:t xml:space="preserve">Rundlaufprobe; Schemaprüfung gegen die lokale Kopie</w:t>
            </w:r>
          </w:p>
        </w:tc>
      </w:tr>
      <w:tr>
        <w:tc>
          <w:tcPr>
            <w:tcW w:w="0" w:type="auto"/>
          </w:tcPr>
          <w:p>
            <w:pPr>
              <w:spacing w:after="0" w:line="240" w:lineRule="auto"/>
            </w:pPr>
            <w:r>
              <w:rPr>
                <w:b/>
              </w:rPr>
              <w:t xml:space="preserve">F14</w:t>
            </w:r>
          </w:p>
        </w:tc>
        <w:tc>
          <w:tcPr>
            <w:tcW w:w="0" w:type="auto"/>
          </w:tcPr>
          <w:p>
            <w:pPr>
              <w:spacing w:after="0" w:line="240" w:lineRule="auto"/>
            </w:pPr>
            <w:r>
              <w:rPr>
                <w:b/>
              </w:rPr>
              <w:t xml:space="preserve">Herkunft und Quelle</w:t>
            </w:r>
            <w:r>
              <w:t xml:space="preserve"> jeder importierten Zeile bleiben nach dem Lauf sichtbar und wiederauffindbar</w:t>
            </w:r>
          </w:p>
        </w:tc>
        <w:tc>
          <w:tcPr>
            <w:tcW w:w="0" w:type="auto"/>
          </w:tcPr>
          <w:p>
            <w:pPr>
              <w:spacing w:after="0" w:line="240" w:lineRule="auto"/>
            </w:pPr>
            <w:r>
              <w:t xml:space="preserve">Datenaustausch 2.2, 2.3</w:t>
            </w:r>
          </w:p>
        </w:tc>
        <w:tc>
          <w:tcPr>
            <w:tcW w:w="0" w:type="auto"/>
          </w:tcPr>
          <w:p>
            <w:pPr>
              <w:spacing w:after="0" w:line="240" w:lineRule="auto"/>
            </w:pPr>
            <w:r>
              <w:t xml:space="preserve">Datenbankfall: Zeile, Quelle, Paarung vorhanden</w:t>
            </w:r>
          </w:p>
        </w:tc>
      </w:tr>
      <w:tr>
        <w:tc>
          <w:tcPr>
            <w:tcW w:w="0" w:type="auto"/>
          </w:tcPr>
          <w:p>
            <w:pPr>
              <w:spacing w:after="0" w:line="240" w:lineRule="auto"/>
            </w:pPr>
            <w:r>
              <w:rPr>
                <w:b/>
              </w:rPr>
              <w:t xml:space="preserve">F15</w:t>
            </w:r>
          </w:p>
        </w:tc>
        <w:tc>
          <w:tcPr>
            <w:tcW w:w="0" w:type="auto"/>
          </w:tcPr>
          <w:p>
            <w:pPr>
              <w:spacing w:after="0" w:line="240" w:lineRule="auto"/>
            </w:pPr>
            <w:r>
              <w:rPr>
                <w:b/>
              </w:rPr>
              <w:t xml:space="preserve">Bericht und Kennzahlen</w:t>
            </w:r>
            <w:r>
              <w:t xml:space="preserve"> führen die neuen Größen je Gebäude, im Mehrzonenfall je Zone</w:t>
            </w:r>
          </w:p>
        </w:tc>
        <w:tc>
          <w:tcPr>
            <w:tcW w:w="0" w:type="auto"/>
          </w:tcPr>
          <w:p>
            <w:pPr>
              <w:spacing w:after="0" w:line="240" w:lineRule="auto"/>
            </w:pPr>
            <w:r>
              <w:t xml:space="preserve">Konzept 9</w:t>
            </w:r>
          </w:p>
        </w:tc>
        <w:tc>
          <w:tcPr>
            <w:tcW w:w="0" w:type="auto"/>
          </w:tcPr>
          <w:p>
            <w:pPr>
              <w:spacing w:after="0" w:line="240" w:lineRule="auto"/>
            </w:pPr>
            <w:r>
              <w:t xml:space="preserve">Berichtsprobe; </w:t>
            </w:r>
            <w:r>
              <w:rPr>
                <w:rFonts w:ascii="Consolas" w:hAnsi="Consolas" w:cs="Consolas"/>
                <w:noProof/>
                <w:sz w:val="20"/>
                <w:szCs w:val="20"/>
                <w:shd w:val="clear" w:color="auto" w:fill="EFEFEF"/>
              </w:rPr>
              <w:t xml:space="preserve">Proben/ChartProben</w:t>
            </w:r>
            <w:r>
              <w:t xml:space="preserve"> je Bild</w:t>
            </w:r>
          </w:p>
        </w:tc>
      </w:tr>
      <w:tr>
        <w:tc>
          <w:tcPr>
            <w:tcW w:w="0" w:type="auto"/>
          </w:tcPr>
          <w:p>
            <w:pPr>
              <w:spacing w:after="0" w:line="240" w:lineRule="auto"/>
            </w:pPr>
            <w:r>
              <w:rPr>
                <w:b/>
              </w:rPr>
              <w:t xml:space="preserve">F16</w:t>
            </w:r>
          </w:p>
        </w:tc>
        <w:tc>
          <w:tcPr>
            <w:tcW w:w="0" w:type="auto"/>
          </w:tcPr>
          <w:p>
            <w:pPr>
              <w:spacing w:after="0" w:line="240" w:lineRule="auto"/>
            </w:pPr>
            <w:r>
              <w:t xml:space="preserve">Der </w:t>
            </w:r>
            <w:r>
              <w:rPr>
                <w:b/>
              </w:rPr>
              <w:t xml:space="preserve">Referenzlauf-Export</w:t>
            </w:r>
            <w:r>
              <w:t xml:space="preserve"> trägt die neuen Reihen </w:t>
            </w:r>
            <w:r>
              <w:rPr>
                <w:b/>
              </w:rPr>
              <w:t xml:space="preserve">nur</w:t>
            </w:r>
            <w:r>
              <w:t xml:space="preserve"> für Gebäude im neuen Modell</w:t>
            </w:r>
          </w:p>
        </w:tc>
        <w:tc>
          <w:tcPr>
            <w:tcW w:w="0" w:type="auto"/>
          </w:tcPr>
          <w:p>
            <w:pPr>
              <w:spacing w:after="0" w:line="240" w:lineRule="auto"/>
            </w:pPr>
            <w:r>
              <w:t xml:space="preserve">Umsetzungskonzept 1.8</w:t>
            </w:r>
          </w:p>
        </w:tc>
        <w:tc>
          <w:tcPr>
            <w:tcW w:w="0" w:type="auto"/>
          </w:tcPr>
          <w:p>
            <w:pPr>
              <w:spacing w:after="0" w:line="240" w:lineRule="auto"/>
            </w:pPr>
            <w:r>
              <w:rPr>
                <w:rFonts w:ascii="Consolas" w:hAnsi="Consolas" w:cs="Consolas"/>
                <w:noProof/>
                <w:sz w:val="20"/>
                <w:szCs w:val="20"/>
                <w:shd w:val="clear" w:color="auto" w:fill="EFEFEF"/>
              </w:rPr>
              <w:t xml:space="preserve">GESAMT: PASS</w:t>
            </w:r>
            <w:r>
              <w:t xml:space="preserve">, keine unbedingte neue Datei</w:t>
            </w:r>
          </w:p>
        </w:tc>
      </w:tr>
      <w:tr>
        <w:tc>
          <w:tcPr>
            <w:tcW w:w="0" w:type="auto"/>
          </w:tcPr>
          <w:p>
            <w:pPr>
              <w:spacing w:after="0" w:line="240" w:lineRule="auto"/>
            </w:pPr>
            <w:r>
              <w:rPr>
                <w:b/>
              </w:rPr>
              <w:t xml:space="preserve">F17</w:t>
            </w:r>
          </w:p>
        </w:tc>
        <w:tc>
          <w:tcPr>
            <w:tcW w:w="0" w:type="auto"/>
          </w:tcPr>
          <w:p>
            <w:pPr>
              <w:spacing w:after="0" w:line="240" w:lineRule="auto"/>
            </w:pPr>
            <w:r>
              <w:t xml:space="preserve">Ein </w:t>
            </w:r>
            <w:r>
              <w:rPr>
                <w:b/>
              </w:rPr>
              <w:t xml:space="preserve">Gebäudebetrachter</w:t>
            </w:r>
            <w:r>
              <w:t xml:space="preserve"> zeigt Grundriss je Geschoss und schematische Körper aus </w:t>
            </w:r>
            <w:r>
              <w:rPr>
                <w:b/>
              </w:rPr>
              <w:t xml:space="preserve">einem</w:t>
            </w:r>
            <w:r>
              <w:t xml:space="preserve"> Zonengeometrie-Modell des Kerns — eine Komponente, ein Umschalter; die Kennzeichnung </w:t>
            </w:r>
            <w:r>
              <w:rPr>
                <w:b/>
              </w:rPr>
              <w:t xml:space="preserve">„schematisch" steht sichtbar am Bild</w:t>
            </w:r>
            <w:r>
              <w:t xml:space="preserve">, und jede Zone weist aus, ob ihr Polygon aus Raumgrenzen oder aus der Rechteckherleitung stammt</w:t>
            </w:r>
          </w:p>
        </w:tc>
        <w:tc>
          <w:tcPr>
            <w:tcW w:w="0" w:type="auto"/>
          </w:tcPr>
          <w:p>
            <w:pPr>
              <w:spacing w:after="0" w:line="240" w:lineRule="auto"/>
            </w:pPr>
            <w:r>
              <w:t xml:space="preserve">E11, Datenaustausch Kapitel 14</w:t>
            </w:r>
          </w:p>
        </w:tc>
        <w:tc>
          <w:tcPr>
            <w:tcW w:w="0" w:type="auto"/>
          </w:tcPr>
          <w:p>
            <w:pPr>
              <w:spacing w:after="0" w:line="240" w:lineRule="auto"/>
            </w:pPr>
            <w:r>
              <w:t xml:space="preserve">bunit-Fall über die Ansicht; Probe „Determinismus der Geometrie"</w:t>
            </w:r>
          </w:p>
        </w:tc>
      </w:tr>
    </w:tbl>
    <w:p>
      <w:pPr>
        <w:spacing w:after="120"/>
      </w:pPr>
    </w:p>
    <w:p>
      <w:pPr>
        <w:pStyle w:val="Heading2"/>
      </w:pPr>
      <w:r>
        <w:t xml:space="preserve">2.2 Nichtfunktionale Anforderungen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Anforderung</w:t>
            </w:r>
          </w:p>
        </w:tc>
        <w:tc>
          <w:tcPr>
            <w:tcW w:w="0" w:type="auto"/>
            <w:shd w:val="clear" w:color="auto" w:fill="D9D9D9"/>
          </w:tcPr>
          <w:p>
            <w:pPr>
              <w:spacing w:after="0" w:line="240" w:lineRule="auto"/>
              <w:rPr>
                <w:b/>
              </w:rPr>
            </w:pPr>
            <w:r>
              <w:rPr>
                <w:b/>
              </w:rPr>
              <w:t xml:space="preserve">Maß</w:t>
            </w:r>
          </w:p>
        </w:tc>
      </w:tr>
      <w:tr>
        <w:tc>
          <w:tcPr>
            <w:tcW w:w="0" w:type="auto"/>
          </w:tcPr>
          <w:p>
            <w:pPr>
              <w:spacing w:after="0" w:line="240" w:lineRule="auto"/>
            </w:pPr>
            <w:r>
              <w:rPr>
                <w:b/>
              </w:rPr>
              <w:t xml:space="preserve">N1</w:t>
            </w:r>
          </w:p>
        </w:tc>
        <w:tc>
          <w:tcPr>
            <w:tcW w:w="0" w:type="auto"/>
          </w:tcPr>
          <w:p>
            <w:pPr>
              <w:spacing w:after="0" w:line="240" w:lineRule="auto"/>
            </w:pPr>
            <w:r>
              <w:rPr>
                <w:b/>
              </w:rPr>
              <w:t xml:space="preserve">Determinismus</w:t>
            </w:r>
          </w:p>
        </w:tc>
        <w:tc>
          <w:tcPr>
            <w:tcW w:w="0" w:type="auto"/>
          </w:tcPr>
          <w:p>
            <w:pPr>
              <w:spacing w:after="0" w:line="240" w:lineRule="auto"/>
            </w:pPr>
            <w:r>
              <w:t xml:space="preserve">zwei Läufe desselben Standes byte-gleich</w:t>
            </w:r>
          </w:p>
        </w:tc>
      </w:tr>
      <w:tr>
        <w:tc>
          <w:tcPr>
            <w:tcW w:w="0" w:type="auto"/>
          </w:tcPr>
          <w:p>
            <w:pPr>
              <w:spacing w:after="0" w:line="240" w:lineRule="auto"/>
            </w:pPr>
            <w:r>
              <w:rPr>
                <w:b/>
              </w:rPr>
              <w:t xml:space="preserve">N2</w:t>
            </w:r>
          </w:p>
        </w:tc>
        <w:tc>
          <w:tcPr>
            <w:tcW w:w="0" w:type="auto"/>
          </w:tcPr>
          <w:p>
            <w:pPr>
              <w:spacing w:after="0" w:line="240" w:lineRule="auto"/>
            </w:pPr>
            <w:r>
              <w:rPr>
                <w:b/>
              </w:rPr>
              <w:t xml:space="preserve">Reproduzierbarkeit</w:t>
            </w:r>
            <w:r>
              <w:t xml:space="preserve"> unabhängig von Zeilenreihenfolge und Vorgeschichte</w:t>
            </w:r>
          </w:p>
        </w:tc>
        <w:tc>
          <w:tcPr>
            <w:tcW w:w="0" w:type="auto"/>
          </w:tcPr>
          <w:p>
            <w:pPr>
              <w:spacing w:after="0" w:line="240" w:lineRule="auto"/>
            </w:pPr>
            <w:r>
              <w:t xml:space="preserve">das Ergebnis eines Gebäudes hängt an seinen Daten, an nichts sonst</w:t>
            </w:r>
          </w:p>
        </w:tc>
      </w:tr>
      <w:tr>
        <w:tc>
          <w:tcPr>
            <w:tcW w:w="0" w:type="auto"/>
          </w:tcPr>
          <w:p>
            <w:pPr>
              <w:spacing w:after="0" w:line="240" w:lineRule="auto"/>
            </w:pPr>
            <w:r>
              <w:rPr>
                <w:b/>
              </w:rPr>
              <w:t xml:space="preserve">N3</w:t>
            </w:r>
          </w:p>
        </w:tc>
        <w:tc>
          <w:tcPr>
            <w:tcW w:w="0" w:type="auto"/>
          </w:tcPr>
          <w:p>
            <w:pPr>
              <w:spacing w:after="0" w:line="240" w:lineRule="auto"/>
            </w:pPr>
            <w:r>
              <w:rPr>
                <w:b/>
              </w:rPr>
              <w:t xml:space="preserve">Rechenzeitbudget</w:t>
            </w:r>
          </w:p>
        </w:tc>
        <w:tc>
          <w:tcPr>
            <w:tcW w:w="0" w:type="auto"/>
          </w:tcPr>
          <w:p>
            <w:pPr>
              <w:spacing w:after="0" w:line="240" w:lineRule="auto"/>
            </w:pPr>
            <w:r>
              <w:rPr>
                <w:b/>
              </w:rPr>
              <w:t xml:space="preserve">Einzonengebäude ≤ 10 ms je Gebäudejahr</w:t>
            </w:r>
            <w:r>
              <w:t xml:space="preserve"> (Planungsgröße); Basislauf wächst um ≤ 0,15 s, CI-Lauf um ≤ 0,04 s. </w:t>
            </w:r>
            <w:r>
              <w:rPr>
                <w:b/>
              </w:rPr>
              <w:t xml:space="preserve">Mehrzonengebäude sind benannt ausgenommen:</w:t>
            </w:r>
            <w:r>
              <w:t xml:space="preserve"> rund </w:t>
            </w:r>
            <w:r>
              <w:rPr>
                <w:b/>
              </w:rPr>
              <w:t xml:space="preserve">1,1–2,0 s</w:t>
            </w:r>
            <w:r>
              <w:t xml:space="preserve"> bei 50 Zonen einschließlich des zweiten Vorlaufs und des ungekoppelten adiabaten Vorlaufs — das liegt weit über der Planungsgröße und ist vertretbar, weil es </w:t>
            </w:r>
            <w:r>
              <w:rPr>
                <w:b/>
              </w:rPr>
              <w:t xml:space="preserve">nur bei Mehrzonengebäuden</w:t>
            </w:r>
            <w:r>
              <w:t xml:space="preserve"> anfällt</w:t>
            </w:r>
          </w:p>
        </w:tc>
      </w:tr>
      <w:tr>
        <w:tc>
          <w:tcPr>
            <w:tcW w:w="0" w:type="auto"/>
          </w:tcPr>
          <w:p>
            <w:pPr>
              <w:spacing w:after="0" w:line="240" w:lineRule="auto"/>
            </w:pPr>
            <w:r>
              <w:rPr>
                <w:b/>
              </w:rPr>
              <w:t xml:space="preserve">N4</w:t>
            </w:r>
          </w:p>
        </w:tc>
        <w:tc>
          <w:tcPr>
            <w:tcW w:w="0" w:type="auto"/>
          </w:tcPr>
          <w:p>
            <w:pPr>
              <w:spacing w:after="0" w:line="240" w:lineRule="auto"/>
            </w:pPr>
            <w:r>
              <w:rPr>
                <w:b/>
              </w:rPr>
              <w:t xml:space="preserve">Antwortzeit der Vorschau</w:t>
            </w:r>
          </w:p>
        </w:tc>
        <w:tc>
          <w:tcPr>
            <w:tcW w:w="0" w:type="auto"/>
          </w:tcPr>
          <w:p>
            <w:pPr>
              <w:spacing w:after="0" w:line="240" w:lineRule="auto"/>
            </w:pPr>
            <w:r>
              <w:t xml:space="preserve">Prüfung entprellt (Vorgabe 400 ms, </w:t>
            </w:r>
            <w:r>
              <w:rPr>
                <w:rFonts w:ascii="Consolas" w:hAnsi="Consolas" w:cs="Consolas"/>
                <w:noProof/>
                <w:sz w:val="20"/>
                <w:szCs w:val="20"/>
                <w:shd w:val="clear" w:color="auto" w:fill="EFEFEF"/>
              </w:rPr>
              <w:t xml:space="preserve">0</w:t>
            </w:r>
            <w:r>
              <w:t xml:space="preserve"> im Test), keine Datenbankfrage je Tastendruck</w:t>
            </w:r>
          </w:p>
        </w:tc>
      </w:tr>
      <w:tr>
        <w:tc>
          <w:tcPr>
            <w:tcW w:w="0" w:type="auto"/>
          </w:tcPr>
          <w:p>
            <w:pPr>
              <w:spacing w:after="0" w:line="240" w:lineRule="auto"/>
            </w:pPr>
            <w:r>
              <w:rPr>
                <w:b/>
              </w:rPr>
              <w:t xml:space="preserve">N5</w:t>
            </w:r>
          </w:p>
        </w:tc>
        <w:tc>
          <w:tcPr>
            <w:tcW w:w="0" w:type="auto"/>
          </w:tcPr>
          <w:p>
            <w:pPr>
              <w:spacing w:after="0" w:line="240" w:lineRule="auto"/>
            </w:pPr>
            <w:r>
              <w:rPr>
                <w:b/>
              </w:rPr>
              <w:t xml:space="preserve">Plattformgleichheit</w:t>
            </w:r>
            <w:r>
              <w:t xml:space="preserve"> Windows und iOS</w:t>
            </w:r>
          </w:p>
        </w:tc>
        <w:tc>
          <w:tcPr>
            <w:tcW w:w="0" w:type="auto"/>
          </w:tcPr>
          <w:p>
            <w:pPr>
              <w:spacing w:after="0" w:line="240" w:lineRule="auto"/>
            </w:pPr>
            <w:r>
              <w:t xml:space="preserve">jede Maske erreichbar oder </w:t>
            </w:r>
            <w:r>
              <w:rPr>
                <w:b/>
              </w:rPr>
              <w:t xml:space="preserve">benannt</w:t>
            </w:r>
            <w:r>
              <w:t xml:space="preserve"> abgelehnt; kein stummes </w:t>
            </w:r>
            <w:r>
              <w:rPr>
                <w:rFonts w:ascii="Consolas" w:hAnsi="Consolas" w:cs="Consolas"/>
                <w:noProof/>
                <w:sz w:val="20"/>
                <w:szCs w:val="20"/>
                <w:shd w:val="clear" w:color="auto" w:fill="EFEFEF"/>
              </w:rPr>
              <w:t xml:space="preserve">false</w:t>
            </w:r>
          </w:p>
        </w:tc>
      </w:tr>
      <w:tr>
        <w:tc>
          <w:tcPr>
            <w:tcW w:w="0" w:type="auto"/>
          </w:tcPr>
          <w:p>
            <w:pPr>
              <w:spacing w:after="0" w:line="240" w:lineRule="auto"/>
            </w:pPr>
            <w:r>
              <w:rPr>
                <w:b/>
              </w:rPr>
              <w:t xml:space="preserve">N6</w:t>
            </w:r>
          </w:p>
        </w:tc>
        <w:tc>
          <w:tcPr>
            <w:tcW w:w="0" w:type="auto"/>
          </w:tcPr>
          <w:p>
            <w:pPr>
              <w:spacing w:after="0" w:line="240" w:lineRule="auto"/>
            </w:pPr>
            <w:r>
              <w:rPr>
                <w:b/>
              </w:rPr>
              <w:t xml:space="preserve">Zweisprachigkeit</w:t>
            </w:r>
          </w:p>
        </w:tc>
        <w:tc>
          <w:tcPr>
            <w:tcW w:w="0" w:type="auto"/>
          </w:tcPr>
          <w:p>
            <w:pPr>
              <w:spacing w:after="0" w:line="240" w:lineRule="auto"/>
            </w:pPr>
            <w:r>
              <w:t xml:space="preserve">jeder Anzeigetext in beiden </w:t>
            </w:r>
            <w:r>
              <w:rPr>
                <w:rFonts w:ascii="Consolas" w:hAnsi="Consolas" w:cs="Consolas"/>
                <w:noProof/>
                <w:sz w:val="20"/>
                <w:szCs w:val="20"/>
                <w:shd w:val="clear" w:color="auto" w:fill="EFEFEF"/>
              </w:rPr>
              <w:t xml:space="preserve">.resx</w:t>
            </w:r>
            <w:r>
              <w:t xml:space="preserve">, deutscher Rückfall</w:t>
            </w:r>
          </w:p>
        </w:tc>
      </w:tr>
      <w:tr>
        <w:tc>
          <w:tcPr>
            <w:tcW w:w="0" w:type="auto"/>
          </w:tcPr>
          <w:p>
            <w:pPr>
              <w:spacing w:after="0" w:line="240" w:lineRule="auto"/>
            </w:pPr>
            <w:r>
              <w:rPr>
                <w:b/>
              </w:rPr>
              <w:t xml:space="preserve">N7</w:t>
            </w:r>
          </w:p>
        </w:tc>
        <w:tc>
          <w:tcPr>
            <w:tcW w:w="0" w:type="auto"/>
          </w:tcPr>
          <w:p>
            <w:pPr>
              <w:spacing w:after="0" w:line="240" w:lineRule="auto"/>
            </w:pPr>
            <w:r>
              <w:rPr>
                <w:b/>
              </w:rPr>
              <w:t xml:space="preserve">Berührbarkeit und Breite</w:t>
            </w:r>
          </w:p>
        </w:tc>
        <w:tc>
          <w:tcPr>
            <w:tcW w:w="0" w:type="auto"/>
          </w:tcPr>
          <w:p>
            <w:pPr>
              <w:spacing w:after="0" w:line="240" w:lineRule="auto"/>
            </w:pPr>
            <w:r>
              <w:t xml:space="preserve">Berührziel 44 px; vierstufiger Dialogstapel bricht bei 900 CSS-Pixeln um, er scrollt nicht</w:t>
            </w:r>
          </w:p>
        </w:tc>
      </w:tr>
      <w:tr>
        <w:tc>
          <w:tcPr>
            <w:tcW w:w="0" w:type="auto"/>
          </w:tcPr>
          <w:p>
            <w:pPr>
              <w:spacing w:after="0" w:line="240" w:lineRule="auto"/>
            </w:pPr>
            <w:r>
              <w:rPr>
                <w:b/>
              </w:rPr>
              <w:t xml:space="preserve">N8</w:t>
            </w:r>
          </w:p>
        </w:tc>
        <w:tc>
          <w:tcPr>
            <w:tcW w:w="0" w:type="auto"/>
          </w:tcPr>
          <w:p>
            <w:pPr>
              <w:spacing w:after="0" w:line="240" w:lineRule="auto"/>
            </w:pPr>
            <w:r>
              <w:rPr>
                <w:b/>
              </w:rPr>
              <w:t xml:space="preserve">Auslieferbarkeit</w:t>
            </w:r>
          </w:p>
        </w:tc>
        <w:tc>
          <w:tcPr>
            <w:tcW w:w="0" w:type="auto"/>
          </w:tcPr>
          <w:p>
            <w:pPr>
              <w:spacing w:after="0" w:line="240" w:lineRule="auto"/>
            </w:pPr>
            <w:r>
              <w:t xml:space="preserve">Lizenzhinweisseite für Fremdbestandteile im Installationspaket</w:t>
            </w:r>
          </w:p>
        </w:tc>
      </w:tr>
      <w:tr>
        <w:tc>
          <w:tcPr>
            <w:tcW w:w="0" w:type="auto"/>
          </w:tcPr>
          <w:p>
            <w:pPr>
              <w:spacing w:after="0" w:line="240" w:lineRule="auto"/>
            </w:pPr>
            <w:r>
              <w:rPr>
                <w:b/>
              </w:rPr>
              <w:t xml:space="preserve">N9</w:t>
            </w:r>
          </w:p>
        </w:tc>
        <w:tc>
          <w:tcPr>
            <w:tcW w:w="0" w:type="auto"/>
          </w:tcPr>
          <w:p>
            <w:pPr>
              <w:spacing w:after="0" w:line="240" w:lineRule="auto"/>
            </w:pPr>
            <w:r>
              <w:rPr>
                <w:b/>
              </w:rPr>
              <w:t xml:space="preserve">Sicherungs- und Transportfähigkeit</w:t>
            </w:r>
          </w:p>
        </w:tc>
        <w:tc>
          <w:tcPr>
            <w:tcW w:w="0" w:type="auto"/>
          </w:tcPr>
          <w:p>
            <w:pPr>
              <w:spacing w:after="0" w:line="240" w:lineRule="auto"/>
            </w:pPr>
            <w:r>
              <w:rPr>
                <w:rFonts w:ascii="Consolas" w:hAnsi="Consolas" w:cs="Consolas"/>
                <w:noProof/>
                <w:sz w:val="20"/>
                <w:szCs w:val="20"/>
                <w:shd w:val="clear" w:color="auto" w:fill="EFEFEF"/>
              </w:rPr>
              <w:t xml:space="preserve">VACUUM INTO</w:t>
            </w:r>
            <w:r>
              <w:t xml:space="preserve"> im laufenden Betrieb bleibt brauchbar</w:t>
            </w:r>
          </w:p>
        </w:tc>
      </w:tr>
      <w:tr>
        <w:tc>
          <w:tcPr>
            <w:tcW w:w="0" w:type="auto"/>
          </w:tcPr>
          <w:p>
            <w:pPr>
              <w:spacing w:after="0" w:line="240" w:lineRule="auto"/>
            </w:pPr>
            <w:r>
              <w:rPr>
                <w:b/>
              </w:rPr>
              <w:t xml:space="preserve">N10</w:t>
            </w:r>
          </w:p>
        </w:tc>
        <w:tc>
          <w:tcPr>
            <w:tcW w:w="0" w:type="auto"/>
          </w:tcPr>
          <w:p>
            <w:pPr>
              <w:spacing w:after="0" w:line="240" w:lineRule="auto"/>
            </w:pPr>
            <w:r>
              <w:rPr>
                <w:b/>
              </w:rPr>
              <w:t xml:space="preserve">Nachweisbarkeit jeder Zahl</w:t>
            </w:r>
          </w:p>
        </w:tc>
        <w:tc>
          <w:tcPr>
            <w:tcW w:w="0" w:type="auto"/>
          </w:tcPr>
          <w:p>
            <w:pPr>
              <w:spacing w:after="0" w:line="240" w:lineRule="auto"/>
            </w:pPr>
            <w:r>
              <w:t xml:space="preserve">jede angezeigte Zahl hat eine Herkunft aus den </w:t>
            </w:r>
            <w:r>
              <w:rPr>
                <w:b/>
              </w:rPr>
              <w:t xml:space="preserve">fünf</w:t>
            </w:r>
            <w:r>
              <w:t xml:space="preserve"> persistierten Werten (</w:t>
            </w:r>
            <w:r>
              <w:rPr>
                <w:rFonts w:ascii="Consolas" w:hAnsi="Consolas" w:cs="Consolas"/>
                <w:noProof/>
                <w:sz w:val="20"/>
                <w:szCs w:val="20"/>
                <w:shd w:val="clear" w:color="auto" w:fill="EFEFEF"/>
              </w:rPr>
              <w:t xml:space="preserve">MANUELL</w:t>
            </w:r>
            <w:r>
              <w:t xml:space="preserve">, </w:t>
            </w:r>
            <w:r>
              <w:rPr>
                <w:rFonts w:ascii="Consolas" w:hAnsi="Consolas" w:cs="Consolas"/>
                <w:noProof/>
                <w:sz w:val="20"/>
                <w:szCs w:val="20"/>
                <w:shd w:val="clear" w:color="auto" w:fill="EFEFEF"/>
              </w:rPr>
              <w:t xml:space="preserve">KATALOG</w:t>
            </w:r>
            <w:r>
              <w:t xml:space="preserve">, </w:t>
            </w:r>
            <w:r>
              <w:rPr>
                <w:rFonts w:ascii="Consolas" w:hAnsi="Consolas" w:cs="Consolas"/>
                <w:noProof/>
                <w:sz w:val="20"/>
                <w:szCs w:val="20"/>
                <w:shd w:val="clear" w:color="auto" w:fill="EFEFEF"/>
              </w:rPr>
              <w:t xml:space="preserve">IFC</w:t>
            </w:r>
            <w:r>
              <w:t xml:space="preserve">, </w:t>
            </w:r>
            <w:r>
              <w:rPr>
                <w:rFonts w:ascii="Consolas" w:hAnsi="Consolas" w:cs="Consolas"/>
                <w:noProof/>
                <w:sz w:val="20"/>
                <w:szCs w:val="20"/>
                <w:shd w:val="clear" w:color="auto" w:fill="EFEFEF"/>
              </w:rPr>
              <w:t xml:space="preserve">GBXML</w:t>
            </w:r>
            <w:r>
              <w:t xml:space="preserve">, </w:t>
            </w:r>
            <w:r>
              <w:rPr>
                <w:rFonts w:ascii="Consolas" w:hAnsi="Consolas" w:cs="Consolas"/>
                <w:noProof/>
                <w:sz w:val="20"/>
                <w:szCs w:val="20"/>
                <w:shd w:val="clear" w:color="auto" w:fill="EFEFEF"/>
              </w:rPr>
              <w:t xml:space="preserve">VORGABE</w:t>
            </w:r>
            <w:r>
              <w:t xml:space="preserve">) oder eine Herleitung — ein zweiter Wertevorrat entsteht nicht</w:t>
            </w:r>
          </w:p>
        </w:tc>
      </w:tr>
    </w:tbl>
    <w:p>
      <w:pPr>
        <w:spacing w:after="120"/>
      </w:pPr>
    </w:p>
    <w:p>
      <w:pPr>
        <w:pStyle w:val="Heading2"/>
      </w:pPr>
      <w:r>
        <w:t xml:space="preserve">2.3 Randbedingungen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Randbedingung</w:t>
            </w:r>
          </w:p>
        </w:tc>
        <w:tc>
          <w:tcPr>
            <w:tcW w:w="0" w:type="auto"/>
            <w:shd w:val="clear" w:color="auto" w:fill="D9D9D9"/>
          </w:tcPr>
          <w:p>
            <w:pPr>
              <w:spacing w:after="0" w:line="240" w:lineRule="auto"/>
              <w:rPr>
                <w:b/>
              </w:rPr>
            </w:pPr>
            <w:r>
              <w:rPr>
                <w:b/>
              </w:rPr>
              <w:t xml:space="preserve">Wirkung auf den Entwurf</w:t>
            </w:r>
          </w:p>
        </w:tc>
      </w:tr>
      <w:tr>
        <w:tc>
          <w:tcPr>
            <w:tcW w:w="0" w:type="auto"/>
          </w:tcPr>
          <w:p>
            <w:pPr>
              <w:spacing w:after="0" w:line="240" w:lineRule="auto"/>
            </w:pPr>
            <w:r>
              <w:rPr>
                <w:b/>
              </w:rPr>
              <w:t xml:space="preserve">B1</w:t>
            </w:r>
          </w:p>
        </w:tc>
        <w:tc>
          <w:tcPr>
            <w:tcW w:w="0" w:type="auto"/>
          </w:tcPr>
          <w:p>
            <w:pPr>
              <w:spacing w:after="0" w:line="240" w:lineRule="auto"/>
            </w:pPr>
            <w:r>
              <w:t xml:space="preserve">Die Entscheide E1–E11 sind verbindlich</w:t>
            </w:r>
          </w:p>
        </w:tc>
        <w:tc>
          <w:tcPr>
            <w:tcW w:w="0" w:type="auto"/>
          </w:tcPr>
          <w:p>
            <w:pPr>
              <w:spacing w:after="0" w:line="240" w:lineRule="auto"/>
            </w:pPr>
            <w:r>
              <w:t xml:space="preserve">sie sind Ausgangspunkt der Abwägung, nicht ihr Gegenstand</w:t>
            </w:r>
          </w:p>
        </w:tc>
      </w:tr>
      <w:tr>
        <w:tc>
          <w:tcPr>
            <w:tcW w:w="0" w:type="auto"/>
          </w:tcPr>
          <w:p>
            <w:pPr>
              <w:spacing w:after="0" w:line="240" w:lineRule="auto"/>
            </w:pPr>
            <w:r>
              <w:rPr>
                <w:b/>
              </w:rPr>
              <w:t xml:space="preserve">B2</w:t>
            </w:r>
          </w:p>
        </w:tc>
        <w:tc>
          <w:tcPr>
            <w:tcW w:w="0" w:type="auto"/>
          </w:tcPr>
          <w:p>
            <w:pPr>
              <w:spacing w:after="0" w:line="240" w:lineRule="auto"/>
            </w:pPr>
            <w:r>
              <w:rPr>
                <w:rFonts w:ascii="Consolas" w:hAnsi="Consolas" w:cs="Consolas"/>
                <w:noProof/>
                <w:sz w:val="20"/>
                <w:szCs w:val="20"/>
                <w:shd w:val="clear" w:color="auto" w:fill="EFEFEF"/>
              </w:rPr>
              <w:t xml:space="preserve">ADR-002</w:t>
            </w:r>
            <w:r>
              <w:t xml:space="preserve"> angenommen</w:t>
            </w:r>
          </w:p>
        </w:tc>
        <w:tc>
          <w:tcPr>
            <w:tcW w:w="0" w:type="auto"/>
          </w:tcPr>
          <w:p>
            <w:pPr>
              <w:spacing w:after="0" w:line="240" w:lineRule="auto"/>
            </w:pPr>
            <w:r>
              <w:t xml:space="preserve">kein zweiter Rechenweg, keine zweite Kennzahlenmenge</w:t>
            </w:r>
          </w:p>
        </w:tc>
      </w:tr>
      <w:tr>
        <w:tc>
          <w:tcPr>
            <w:tcW w:w="0" w:type="auto"/>
          </w:tcPr>
          <w:p>
            <w:pPr>
              <w:spacing w:after="0" w:line="240" w:lineRule="auto"/>
            </w:pPr>
            <w:r>
              <w:rPr>
                <w:b/>
              </w:rPr>
              <w:t xml:space="preserve">B3</w:t>
            </w:r>
          </w:p>
        </w:tc>
        <w:tc>
          <w:tcPr>
            <w:tcW w:w="0" w:type="auto"/>
          </w:tcPr>
          <w:p>
            <w:pPr>
              <w:spacing w:after="0" w:line="240" w:lineRule="auto"/>
            </w:pPr>
            <w:r>
              <w:rPr>
                <w:rFonts w:ascii="Consolas" w:hAnsi="Consolas" w:cs="Consolas"/>
                <w:noProof/>
                <w:sz w:val="20"/>
                <w:szCs w:val="20"/>
                <w:shd w:val="clear" w:color="auto" w:fill="EFEFEF"/>
              </w:rPr>
              <w:t xml:space="preserve">ADR-003</w:t>
            </w:r>
            <w:r>
              <w:t xml:space="preserve"> angenommen</w:t>
            </w:r>
          </w:p>
        </w:tc>
        <w:tc>
          <w:tcPr>
            <w:tcW w:w="0" w:type="auto"/>
          </w:tcPr>
          <w:p>
            <w:pPr>
              <w:spacing w:after="0" w:line="240" w:lineRule="auto"/>
            </w:pPr>
            <w:r>
              <w:t xml:space="preserve">kein </w:t>
            </w:r>
            <w:r>
              <w:rPr>
                <w:rFonts w:ascii="Consolas" w:hAnsi="Consolas" w:cs="Consolas"/>
                <w:noProof/>
                <w:sz w:val="20"/>
                <w:szCs w:val="20"/>
                <w:shd w:val="clear" w:color="auto" w:fill="EFEFEF"/>
              </w:rPr>
              <w:t xml:space="preserve">IfcStore</w:t>
            </w:r>
            <w:r>
              <w:t xml:space="preserve">, kein Esent, kein </w:t>
            </w:r>
            <w:r>
              <w:rPr>
                <w:rFonts w:ascii="Consolas" w:hAnsi="Consolas" w:cs="Consolas"/>
                <w:noProof/>
                <w:sz w:val="20"/>
                <w:szCs w:val="20"/>
                <w:shd w:val="clear" w:color="auto" w:fill="EFEFEF"/>
              </w:rPr>
              <w:t xml:space="preserve">Xbim.Geometry</w:t>
            </w:r>
          </w:p>
        </w:tc>
      </w:tr>
      <w:tr>
        <w:tc>
          <w:tcPr>
            <w:tcW w:w="0" w:type="auto"/>
          </w:tcPr>
          <w:p>
            <w:pPr>
              <w:spacing w:after="0" w:line="240" w:lineRule="auto"/>
            </w:pPr>
            <w:r>
              <w:rPr>
                <w:b/>
              </w:rPr>
              <w:t xml:space="preserve">B4</w:t>
            </w:r>
          </w:p>
        </w:tc>
        <w:tc>
          <w:tcPr>
            <w:tcW w:w="0" w:type="auto"/>
          </w:tcPr>
          <w:p>
            <w:pPr>
              <w:spacing w:after="0" w:line="240" w:lineRule="auto"/>
            </w:pPr>
            <w:r>
              <w:rPr>
                <w:rFonts w:ascii="Consolas" w:hAnsi="Consolas" w:cs="Consolas"/>
                <w:noProof/>
                <w:sz w:val="20"/>
                <w:szCs w:val="20"/>
                <w:shd w:val="clear" w:color="auto" w:fill="EFEFEF"/>
              </w:rPr>
              <w:t xml:space="preserve">ADR-004</w:t>
            </w:r>
            <w:r>
              <w:t xml:space="preserve"> vorgeschlagen</w:t>
            </w:r>
          </w:p>
        </w:tc>
        <w:tc>
          <w:tcPr>
            <w:tcW w:w="0" w:type="auto"/>
          </w:tcPr>
          <w:p>
            <w:pPr>
              <w:spacing w:after="0" w:line="240" w:lineRule="auto"/>
            </w:pPr>
            <w:r>
              <w:t xml:space="preserve">ohne Entscheid hat F12 keinen Leseweg</w:t>
            </w:r>
          </w:p>
        </w:tc>
      </w:tr>
      <w:tr>
        <w:tc>
          <w:tcPr>
            <w:tcW w:w="0" w:type="auto"/>
          </w:tcPr>
          <w:p>
            <w:pPr>
              <w:spacing w:after="0" w:line="240" w:lineRule="auto"/>
            </w:pPr>
            <w:r>
              <w:rPr>
                <w:b/>
              </w:rPr>
              <w:t xml:space="preserve">B5</w:t>
            </w:r>
          </w:p>
        </w:tc>
        <w:tc>
          <w:tcPr>
            <w:tcW w:w="0" w:type="auto"/>
          </w:tcPr>
          <w:p>
            <w:pPr>
              <w:spacing w:after="0" w:line="240" w:lineRule="auto"/>
            </w:pPr>
            <w:r>
              <w:rPr>
                <w:rFonts w:ascii="Consolas" w:hAnsi="Consolas" w:cs="Consolas"/>
                <w:noProof/>
                <w:sz w:val="20"/>
                <w:szCs w:val="20"/>
                <w:shd w:val="clear" w:color="auto" w:fill="EFEFEF"/>
              </w:rPr>
              <w:t xml:space="preserve">ADR-005</w:t>
            </w:r>
            <w:r>
              <w:t xml:space="preserve"> vorgeschlagen</w:t>
            </w:r>
          </w:p>
        </w:tc>
        <w:tc>
          <w:tcPr>
            <w:tcW w:w="0" w:type="auto"/>
          </w:tcPr>
          <w:p>
            <w:pPr>
              <w:spacing w:after="0" w:line="240" w:lineRule="auto"/>
            </w:pPr>
            <w:r>
              <w:t xml:space="preserve">ohne Entscheid hat F10 kein Lösungsschema</w:t>
            </w:r>
          </w:p>
        </w:tc>
      </w:tr>
      <w:tr>
        <w:tc>
          <w:tcPr>
            <w:tcW w:w="0" w:type="auto"/>
          </w:tcPr>
          <w:p>
            <w:pPr>
              <w:spacing w:after="0" w:line="240" w:lineRule="auto"/>
            </w:pPr>
            <w:r>
              <w:rPr>
                <w:b/>
              </w:rPr>
              <w:t xml:space="preserve">B6</w:t>
            </w:r>
          </w:p>
        </w:tc>
        <w:tc>
          <w:tcPr>
            <w:tcW w:w="0" w:type="auto"/>
          </w:tcPr>
          <w:p>
            <w:pPr>
              <w:spacing w:after="0" w:line="240" w:lineRule="auto"/>
            </w:pPr>
            <w:r>
              <w:rPr>
                <w:rFonts w:ascii="Consolas" w:hAnsi="Consolas" w:cs="Consolas"/>
                <w:noProof/>
                <w:sz w:val="20"/>
                <w:szCs w:val="20"/>
                <w:shd w:val="clear" w:color="auto" w:fill="EFEFEF"/>
              </w:rPr>
              <w:t xml:space="preserve">ADR-001</w:t>
            </w:r>
            <w:r>
              <w:t xml:space="preserve"> — jede Schemaänderung ist ein nummerierter Schritt</w:t>
            </w:r>
          </w:p>
        </w:tc>
        <w:tc>
          <w:tcPr>
            <w:tcW w:w="0" w:type="auto"/>
          </w:tcPr>
          <w:p>
            <w:pPr>
              <w:spacing w:after="0" w:line="240" w:lineRule="auto"/>
            </w:pPr>
            <w:r>
              <w:t xml:space="preserve">drei Eintragungen je neuer Tabelle: Migrationsschritt, Auslieferungsvorlage, Schemapflege der Testdatenbank</w:t>
            </w:r>
          </w:p>
        </w:tc>
      </w:tr>
      <w:tr>
        <w:tc>
          <w:tcPr>
            <w:tcW w:w="0" w:type="auto"/>
          </w:tcPr>
          <w:p>
            <w:pPr>
              <w:spacing w:after="0" w:line="240" w:lineRule="auto"/>
            </w:pPr>
            <w:r>
              <w:rPr>
                <w:b/>
              </w:rPr>
              <w:t xml:space="preserve">B7</w:t>
            </w:r>
          </w:p>
        </w:tc>
        <w:tc>
          <w:tcPr>
            <w:tcW w:w="0" w:type="auto"/>
          </w:tcPr>
          <w:p>
            <w:pPr>
              <w:spacing w:after="0" w:line="240" w:lineRule="auto"/>
            </w:pPr>
            <w:r>
              <w:t xml:space="preserve">Die Hausregeln der vier </w:t>
            </w:r>
            <w:r>
              <w:rPr>
                <w:rFonts w:ascii="Consolas" w:hAnsi="Consolas" w:cs="Consolas"/>
                <w:noProof/>
                <w:sz w:val="20"/>
                <w:szCs w:val="20"/>
                <w:shd w:val="clear" w:color="auto" w:fill="EFEFEF"/>
              </w:rPr>
              <w:t xml:space="preserve">CLAUDE.md</w:t>
            </w:r>
          </w:p>
        </w:tc>
        <w:tc>
          <w:tcPr>
            <w:tcW w:w="0" w:type="auto"/>
          </w:tcPr>
          <w:p>
            <w:pPr>
              <w:spacing w:after="0" w:line="240" w:lineRule="auto"/>
            </w:pPr>
            <w:r>
              <w:t xml:space="preserve">Fachänderung einmal im Kern; keine Datenbank in der Oberfläche; Umgebung nur über </w:t>
            </w:r>
            <w:r>
              <w:rPr>
                <w:rFonts w:ascii="Consolas" w:hAnsi="Consolas" w:cs="Consolas"/>
                <w:noProof/>
                <w:sz w:val="20"/>
                <w:szCs w:val="20"/>
                <w:shd w:val="clear" w:color="auto" w:fill="EFEFEF"/>
              </w:rPr>
              <w:t xml:space="preserve">Dienste.*</w:t>
            </w:r>
          </w:p>
        </w:tc>
      </w:tr>
      <w:tr>
        <w:tc>
          <w:tcPr>
            <w:tcW w:w="0" w:type="auto"/>
          </w:tcPr>
          <w:p>
            <w:pPr>
              <w:spacing w:after="0" w:line="240" w:lineRule="auto"/>
            </w:pPr>
            <w:r>
              <w:rPr>
                <w:b/>
              </w:rPr>
              <w:t xml:space="preserve">B8</w:t>
            </w:r>
          </w:p>
        </w:tc>
        <w:tc>
          <w:tcPr>
            <w:tcW w:w="0" w:type="auto"/>
          </w:tcPr>
          <w:p>
            <w:pPr>
              <w:spacing w:after="0" w:line="240" w:lineRule="auto"/>
            </w:pPr>
            <w:r>
              <w:t xml:space="preserve">Feste Raster 8 760 Stunden, 168 Wochenstunden, 365 Tage, 12 Monate, kein Schaltjahr</w:t>
            </w:r>
          </w:p>
        </w:tc>
        <w:tc>
          <w:tcPr>
            <w:tcW w:w="0" w:type="auto"/>
          </w:tcPr>
          <w:p>
            <w:pPr>
              <w:spacing w:after="0" w:line="240" w:lineRule="auto"/>
            </w:pPr>
            <w:r>
              <w:t xml:space="preserve">der Löser rechnet Blockstunden; der Vorlauf zählt nicht zum Jahr</w:t>
            </w:r>
          </w:p>
        </w:tc>
      </w:tr>
      <w:tr>
        <w:tc>
          <w:tcPr>
            <w:tcW w:w="0" w:type="auto"/>
          </w:tcPr>
          <w:p>
            <w:pPr>
              <w:spacing w:after="0" w:line="240" w:lineRule="auto"/>
            </w:pPr>
            <w:r>
              <w:rPr>
                <w:b/>
              </w:rPr>
              <w:t xml:space="preserve">B9</w:t>
            </w:r>
          </w:p>
        </w:tc>
        <w:tc>
          <w:tcPr>
            <w:tcW w:w="0" w:type="auto"/>
          </w:tcPr>
          <w:p>
            <w:pPr>
              <w:spacing w:after="0" w:line="240" w:lineRule="auto"/>
            </w:pPr>
            <w:r>
              <w:rPr>
                <w:b/>
              </w:rPr>
              <w:t xml:space="preserve">Drei Kanäle</w:t>
            </w:r>
            <w:r>
              <w:t xml:space="preserve"> — HEIZUNG, BRAUCHWASSER, PROZESS —, und Kühlung ist keiner</w:t>
            </w:r>
          </w:p>
        </w:tc>
        <w:tc>
          <w:tcPr>
            <w:tcW w:w="0" w:type="auto"/>
          </w:tcPr>
          <w:p>
            <w:pPr>
              <w:spacing w:after="0" w:line="240" w:lineRule="auto"/>
            </w:pPr>
            <w:r>
              <w:t xml:space="preserve">der Kühlbedarf ist eine informative Reihe je Gebäude; er geht in keinen Kanal und in keine Erzeugerrechnung — ein Kühlkanal wäre der </w:t>
            </w:r>
            <w:r>
              <w:rPr>
                <w:b/>
              </w:rPr>
              <w:t xml:space="preserve">vierte</w:t>
            </w:r>
          </w:p>
        </w:tc>
      </w:tr>
      <w:tr>
        <w:tc>
          <w:tcPr>
            <w:tcW w:w="0" w:type="auto"/>
          </w:tcPr>
          <w:p>
            <w:pPr>
              <w:spacing w:after="0" w:line="240" w:lineRule="auto"/>
            </w:pPr>
            <w:r>
              <w:rPr>
                <w:b/>
              </w:rPr>
              <w:t xml:space="preserve">B10</w:t>
            </w:r>
          </w:p>
        </w:tc>
        <w:tc>
          <w:tcPr>
            <w:tcW w:w="0" w:type="auto"/>
          </w:tcPr>
          <w:p>
            <w:pPr>
              <w:spacing w:after="0" w:line="240" w:lineRule="auto"/>
            </w:pPr>
            <w:r>
              <w:t xml:space="preserve">SQLite, </w:t>
            </w:r>
            <w:r>
              <w:rPr>
                <w:rFonts w:ascii="Consolas" w:hAnsi="Consolas" w:cs="Consolas"/>
                <w:noProof/>
                <w:sz w:val="20"/>
                <w:szCs w:val="20"/>
                <w:shd w:val="clear" w:color="auto" w:fill="EFEFEF"/>
              </w:rPr>
              <w:t xml:space="preserve">STRICT</w:t>
            </w:r>
            <w:r>
              <w:t xml:space="preserve">, Beziehungen über IDs, Zugriff nur über </w:t>
            </w:r>
            <w:r>
              <w:rPr>
                <w:rFonts w:ascii="Consolas" w:hAnsi="Consolas" w:cs="Consolas"/>
                <w:noProof/>
                <w:sz w:val="20"/>
                <w:szCs w:val="20"/>
                <w:shd w:val="clear" w:color="auto" w:fill="EFEFEF"/>
              </w:rPr>
              <w:t xml:space="preserve">DataRepository</w:t>
            </w:r>
            <w:r>
              <w:t xml:space="preserve"> mit </w:t>
            </w:r>
            <w:r>
              <w:rPr>
                <w:rFonts w:ascii="Consolas" w:hAnsi="Consolas" w:cs="Consolas"/>
                <w:noProof/>
                <w:sz w:val="20"/>
                <w:szCs w:val="20"/>
                <w:shd w:val="clear" w:color="auto" w:fill="EFEFEF"/>
              </w:rPr>
              <w:t xml:space="preserve">?</w:t>
            </w:r>
            <w:r>
              <w:t xml:space="preserve">-Parametern</w:t>
            </w:r>
          </w:p>
        </w:tc>
        <w:tc>
          <w:tcPr>
            <w:tcW w:w="0" w:type="auto"/>
          </w:tcPr>
          <w:p>
            <w:pPr>
              <w:spacing w:after="0" w:line="240" w:lineRule="auto"/>
            </w:pPr>
            <w:r>
              <w:t xml:space="preserve">keine neuen Textverweise, kein zusammengesetzter SQL-Text</w:t>
            </w:r>
          </w:p>
        </w:tc>
      </w:tr>
      <w:tr>
        <w:tc>
          <w:tcPr>
            <w:tcW w:w="0" w:type="auto"/>
          </w:tcPr>
          <w:p>
            <w:pPr>
              <w:spacing w:after="0" w:line="240" w:lineRule="auto"/>
            </w:pPr>
            <w:r>
              <w:rPr>
                <w:b/>
              </w:rPr>
              <w:t xml:space="preserve">B11</w:t>
            </w:r>
          </w:p>
        </w:tc>
        <w:tc>
          <w:tcPr>
            <w:tcW w:w="0" w:type="auto"/>
          </w:tcPr>
          <w:p>
            <w:pPr>
              <w:spacing w:after="0" w:line="240" w:lineRule="auto"/>
            </w:pPr>
            <w:r>
              <w:t xml:space="preserve">Kein Fremdpaket an iOS ohne Messung</w:t>
            </w:r>
          </w:p>
        </w:tc>
        <w:tc>
          <w:tcPr>
            <w:tcW w:w="0" w:type="auto"/>
          </w:tcPr>
          <w:p>
            <w:pPr>
              <w:spacing w:after="0" w:line="240" w:lineRule="auto"/>
            </w:pPr>
            <w:r>
              <w:t xml:space="preserve">ein Paket, das der Gerätebau nicht trägt, gehört hinter eine Schnittstelle mit Fabrik in der Schale</w:t>
            </w:r>
          </w:p>
        </w:tc>
      </w:tr>
      <w:tr>
        <w:tc>
          <w:tcPr>
            <w:tcW w:w="0" w:type="auto"/>
          </w:tcPr>
          <w:p>
            <w:pPr>
              <w:spacing w:after="0" w:line="240" w:lineRule="auto"/>
            </w:pPr>
            <w:r>
              <w:rPr>
                <w:b/>
              </w:rPr>
              <w:t xml:space="preserve">B12</w:t>
            </w:r>
          </w:p>
        </w:tc>
        <w:tc>
          <w:tcPr>
            <w:tcW w:w="0" w:type="auto"/>
          </w:tcPr>
          <w:p>
            <w:pPr>
              <w:spacing w:after="0" w:line="240" w:lineRule="auto"/>
            </w:pPr>
            <w:r>
              <w:t xml:space="preserve">CI-Kontingent und Rückfragepflicht vor macOS-, iOS- und Setup-Läufen</w:t>
            </w:r>
          </w:p>
        </w:tc>
        <w:tc>
          <w:tcPr>
            <w:tcW w:w="0" w:type="auto"/>
          </w:tcPr>
          <w:p>
            <w:pPr>
              <w:spacing w:after="0" w:line="240" w:lineRule="auto"/>
            </w:pPr>
            <w:r>
              <w:t xml:space="preserve">der Nachweis der Stufen liegt auf dem ubuntu-Lauf</w:t>
            </w:r>
          </w:p>
        </w:tc>
      </w:tr>
      <w:tr>
        <w:tc>
          <w:tcPr>
            <w:tcW w:w="0" w:type="auto"/>
          </w:tcPr>
          <w:p>
            <w:pPr>
              <w:spacing w:after="0" w:line="240" w:lineRule="auto"/>
            </w:pPr>
            <w:r>
              <w:rPr>
                <w:b/>
              </w:rPr>
              <w:t xml:space="preserve">B13</w:t>
            </w:r>
          </w:p>
        </w:tc>
        <w:tc>
          <w:tcPr>
            <w:tcW w:w="0" w:type="auto"/>
          </w:tcPr>
          <w:p>
            <w:pPr>
              <w:spacing w:after="0" w:line="240" w:lineRule="auto"/>
            </w:pPr>
            <w:r>
              <w:t xml:space="preserve">Normzahlen liegen nicht im Repositorium</w:t>
            </w:r>
          </w:p>
        </w:tc>
        <w:tc>
          <w:tcPr>
            <w:tcW w:w="0" w:type="auto"/>
          </w:tcPr>
          <w:p>
            <w:pPr>
              <w:spacing w:after="0" w:line="240" w:lineRule="auto"/>
            </w:pPr>
            <w:r>
              <w:t xml:space="preserve">der Normfallnachweis ist lokal; die Lücke gehört ins Protokoll</w:t>
            </w:r>
          </w:p>
        </w:tc>
      </w:tr>
      <w:tr>
        <w:tc>
          <w:tcPr>
            <w:tcW w:w="0" w:type="auto"/>
          </w:tcPr>
          <w:p>
            <w:pPr>
              <w:spacing w:after="0" w:line="240" w:lineRule="auto"/>
            </w:pPr>
            <w:r>
              <w:rPr>
                <w:b/>
              </w:rPr>
              <w:t xml:space="preserve">B14</w:t>
            </w:r>
          </w:p>
        </w:tc>
        <w:tc>
          <w:tcPr>
            <w:tcW w:w="0" w:type="auto"/>
          </w:tcPr>
          <w:p>
            <w:pPr>
              <w:spacing w:after="0" w:line="240" w:lineRule="auto"/>
            </w:pPr>
            <w:r>
              <w:t xml:space="preserve">Referenzbasis </w:t>
            </w:r>
            <w:r>
              <w:rPr>
                <w:rFonts w:ascii="Consolas" w:hAnsi="Consolas" w:cs="Consolas"/>
                <w:noProof/>
                <w:sz w:val="20"/>
                <w:szCs w:val="20"/>
                <w:shd w:val="clear" w:color="auto" w:fill="EFEFEF"/>
              </w:rPr>
              <w:t xml:space="preserve">2026-09-11_R7_Speicherflotte</w:t>
            </w:r>
            <w:r>
              <w:t xml:space="preserve">, Toleranz Betrag ≥ 1 relativ 1e-4, sonst absolut 0,01</w:t>
            </w:r>
          </w:p>
        </w:tc>
        <w:tc>
          <w:tcPr>
            <w:tcW w:w="0" w:type="auto"/>
          </w:tcPr>
          <w:p>
            <w:pPr>
              <w:spacing w:after="0" w:line="240" w:lineRule="auto"/>
            </w:pPr>
            <w:r>
              <w:t xml:space="preserve">jede Stufe rechnet gegen die </w:t>
            </w:r>
            <w:r>
              <w:rPr>
                <w:b/>
              </w:rPr>
              <w:t xml:space="preserve">aktuelle</w:t>
            </w:r>
            <w:r>
              <w:t xml:space="preserve"> Basis</w:t>
            </w:r>
          </w:p>
        </w:tc>
      </w:tr>
    </w:tbl>
    <w:p>
      <w:pPr>
        <w:spacing w:after="120"/>
      </w:pPr>
    </w:p>
    <w:p>
      <w:pPr>
        <w:pStyle w:val="Heading2"/>
      </w:pPr>
      <w:r>
        <w:t xml:space="preserve">2.4 Komponentenbild</w:t>
      </w:r>
    </w:p>
    <w:p>
      <w:r>
        <w:t xml:space="preserve">Jede </w:t>
      </w:r>
      <w:r>
        <w:rPr>
          <w:b/>
        </w:rPr>
        <w:t xml:space="preserve">durchgezogene</w:t>
      </w:r>
      <w:r>
        <w:t xml:space="preserve"> Kante ist eine Abhängigkeit und zeigt nach innen: </w:t>
      </w:r>
      <w:r>
        <w:rPr>
          <w:rFonts w:ascii="Consolas" w:hAnsi="Consolas" w:cs="Consolas"/>
          <w:noProof/>
          <w:sz w:val="20"/>
          <w:szCs w:val="20"/>
          <w:shd w:val="clear" w:color="auto" w:fill="EFEFEF"/>
        </w:rPr>
        <w:t xml:space="preserve">A --&gt; B</w:t>
      </w:r>
      <w:r>
        <w:t xml:space="preserve"> heißt </w:t>
      </w:r>
      <w:r>
        <w:rPr>
          <w:i/>
        </w:rPr>
        <w:t xml:space="preserve">A kennt B</w:t>
      </w:r>
      <w:r>
        <w:t xml:space="preserve">. </w:t>
      </w:r>
      <w:r>
        <w:rPr>
          <w:b/>
        </w:rPr>
        <w:t xml:space="preserve">Gestrichelte</w:t>
      </w:r>
      <w:r>
        <w:t xml:space="preserve"> Kanten sind keine Abhängigkeiten — sie sind die benannten Nähte und, einmal, ein reiner Datenfluss.</w:t>
      </w:r>
    </w:p>
    <w:p>
      <w:pPr>
        <w:pStyle w:val="Diagrammbild"/>
      </w:pPr>
      <w:r>
        <w:drawing>
          <wp:inline xmlns:wp="http://schemas.openxmlformats.org/drawingml/2006/wordprocessingDrawing" distT="0" distB="0" distL="0" distR="0">
            <wp:extent cx="6120130" cy="3832731"/>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1.png"/>
                    <pic:cNvPicPr/>
                  </pic:nvPicPr>
                  <pic:blipFill>
                    <a:blip xmlns:r="http://schemas.openxmlformats.org/officeDocument/2006/relationships" r:embed="Ra55d0e41a15d48a8"/>
                    <a:stretch>
                      <a:fillRect/>
                    </a:stretch>
                  </pic:blipFill>
                  <pic:spPr>
                    <a:xfrm>
                      <a:off x="0" y="0"/>
                      <a:ext cx="6120130" cy="3832731"/>
                    </a:xfrm>
                    <a:prstGeom prst="rect">
                      <a:avLst/>
                    </a:prstGeom>
                  </pic:spPr>
                </pic:pic>
              </a:graphicData>
            </a:graphic>
          </wp:inline>
        </w:drawing>
      </w:r>
    </w:p>
    <w:p>
      <w:pPr>
        <w:pStyle w:val="Bildunterschrift"/>
      </w:pPr>
      <w:r>
        <w:rPr>
          <w:i/>
          <w:iCs/>
        </w:rPr>
        <w:t xml:space="preserve">Bild 1: 2.4 Komponentenbild</w:t>
      </w:r>
    </w:p>
    <w:p>
      <w:r>
        <w:rPr>
          <w:b/>
        </w:rPr>
        <w:t xml:space="preserve">Drei Kanten, die es ausdrücklich nicht gibt.</w:t>
      </w:r>
      <w:r>
        <w:t xml:space="preserve"> Die Razor-Komponente kennt die Hülle </w:t>
      </w:r>
      <w:r>
        <w:rPr>
          <w:b/>
        </w:rPr>
        <w:t xml:space="preserve">nicht</w:t>
      </w:r>
      <w:r>
        <w:t xml:space="preserve"> — </w:t>
      </w:r>
      <w:r>
        <w:rPr>
          <w:rFonts w:ascii="Consolas" w:hAnsi="Consolas" w:cs="Consolas"/>
          <w:noProof/>
          <w:sz w:val="20"/>
          <w:szCs w:val="20"/>
          <w:shd w:val="clear" w:color="auto" w:fill="EFEFEF"/>
        </w:rPr>
        <w:t xml:space="preserve">EPOS.UI.Daten</w:t>
      </w:r>
      <w:r>
        <w:t xml:space="preserve"> verweist auf </w:t>
      </w:r>
      <w:r>
        <w:rPr>
          <w:rFonts w:ascii="Consolas" w:hAnsi="Consolas" w:cs="Consolas"/>
          <w:noProof/>
          <w:sz w:val="20"/>
          <w:szCs w:val="20"/>
          <w:shd w:val="clear" w:color="auto" w:fill="EFEFEF"/>
        </w:rPr>
        <w:t xml:space="preserve">EPOS.UI</w:t>
      </w:r>
      <w:r>
        <w:t xml:space="preserve">, nie umgekehrt; der Rückweg im Bild ist der Ergebnis-Record, also Datenfluss. Der </w:t>
      </w:r>
      <w:r>
        <w:rPr>
          <w:b/>
        </w:rPr>
        <w:t xml:space="preserve">Leser</w:t>
      </w:r>
      <w:r>
        <w:t xml:space="preserve"> kennt den Controller nicht: Er füllt ein formatfreies Abbild, das Schreiben macht der Ablauf über den Controller. Und </w:t>
      </w:r>
      <w:r>
        <w:rPr>
          <w:b/>
        </w:rPr>
        <w:t xml:space="preserve">Bericht und Export lesen die Physik</w:t>
      </w:r>
      <w:r>
        <w:t xml:space="preserve">, nicht umgekehrt — die Physik kennt keinen ihrer Abnehmer.</w:t>
      </w:r>
    </w:p>
    <w:p>
      <w:r>
        <w:t xml:space="preserve">Wer welche Frage beantwortet, und welchen Typ er nicht kennen darf: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Baustein</w:t>
            </w:r>
          </w:p>
        </w:tc>
        <w:tc>
          <w:tcPr>
            <w:tcW w:w="0" w:type="auto"/>
            <w:shd w:val="clear" w:color="auto" w:fill="D9D9D9"/>
          </w:tcPr>
          <w:p>
            <w:pPr>
              <w:spacing w:after="0" w:line="240" w:lineRule="auto"/>
              <w:rPr>
                <w:b/>
              </w:rPr>
            </w:pPr>
            <w:r>
              <w:rPr>
                <w:b/>
              </w:rPr>
              <w:t xml:space="preserve">Beantwortet die Frage</w:t>
            </w:r>
          </w:p>
        </w:tc>
        <w:tc>
          <w:tcPr>
            <w:tcW w:w="0" w:type="auto"/>
            <w:shd w:val="clear" w:color="auto" w:fill="D9D9D9"/>
          </w:tcPr>
          <w:p>
            <w:pPr>
              <w:spacing w:after="0" w:line="240" w:lineRule="auto"/>
              <w:rPr>
                <w:b/>
              </w:rPr>
            </w:pPr>
            <w:r>
              <w:rPr>
                <w:b/>
              </w:rPr>
              <w:t xml:space="preserve">Kennt </w:t>
            </w:r>
            <w:r>
              <w:rPr>
                <w:b/>
              </w:rPr>
              <w:t xml:space="preserve">nicht</w:t>
            </w:r>
          </w:p>
        </w:tc>
      </w:tr>
      <w:tr>
        <w:tc>
          <w:tcPr>
            <w:tcW w:w="0" w:type="auto"/>
          </w:tcPr>
          <w:p>
            <w:pPr>
              <w:spacing w:after="0" w:line="240" w:lineRule="auto"/>
            </w:pPr>
            <w:r>
              <w:rPr>
                <w:b/>
              </w:rPr>
              <w:t xml:space="preserve">Gebäudephysik im Kern</w:t>
            </w:r>
          </w:p>
        </w:tc>
        <w:tc>
          <w:tcPr>
            <w:tcW w:w="0" w:type="auto"/>
          </w:tcPr>
          <w:p>
            <w:pPr>
              <w:spacing w:after="0" w:line="240" w:lineRule="auto"/>
            </w:pPr>
            <w:r>
              <w:t xml:space="preserve">„Welche Heizlast, welche Temperatur, welcher Kühlbedarf entsteht in dieser Stunde?"</w:t>
            </w:r>
          </w:p>
        </w:tc>
        <w:tc>
          <w:tcPr>
            <w:tcW w:w="0" w:type="auto"/>
          </w:tcPr>
          <w:p>
            <w:pPr>
              <w:spacing w:after="0" w:line="240" w:lineRule="auto"/>
            </w:pPr>
            <w:r>
              <w:t xml:space="preserve">Datenbank, </w:t>
            </w:r>
            <w:r>
              <w:rPr>
                <w:rFonts w:ascii="Consolas" w:hAnsi="Consolas" w:cs="Consolas"/>
                <w:noProof/>
                <w:sz w:val="20"/>
                <w:szCs w:val="20"/>
                <w:shd w:val="clear" w:color="auto" w:fill="EFEFEF"/>
              </w:rPr>
              <w:t xml:space="preserve">Dienste.*</w:t>
            </w:r>
            <w:r>
              <w:t xml:space="preserve">, Protokollkanal, Ressourcen, Oberfläche</w:t>
            </w:r>
          </w:p>
        </w:tc>
      </w:tr>
      <w:tr>
        <w:tc>
          <w:tcPr>
            <w:tcW w:w="0" w:type="auto"/>
          </w:tcPr>
          <w:p>
            <w:pPr>
              <w:spacing w:after="0" w:line="240" w:lineRule="auto"/>
            </w:pPr>
            <w:r>
              <w:rPr>
                <w:b/>
              </w:rPr>
              <w:t xml:space="preserve">Eingangsbau</w:t>
            </w:r>
          </w:p>
        </w:tc>
        <w:tc>
          <w:tcPr>
            <w:tcW w:w="0" w:type="auto"/>
          </w:tcPr>
          <w:p>
            <w:pPr>
              <w:spacing w:after="0" w:line="240" w:lineRule="auto"/>
            </w:pPr>
            <w:r>
              <w:t xml:space="preserve">„Wie sehen die 8 760 Randbedingungen dieses Gebäudes aus?"</w:t>
            </w:r>
          </w:p>
        </w:tc>
        <w:tc>
          <w:tcPr>
            <w:tcW w:w="0" w:type="auto"/>
          </w:tcPr>
          <w:p>
            <w:pPr>
              <w:spacing w:after="0" w:line="240" w:lineRule="auto"/>
            </w:pPr>
            <w:r>
              <w:t xml:space="preserve">die Oberfläche; er liest fertige Modelle, nie die Datenbank selbst</w:t>
            </w:r>
          </w:p>
        </w:tc>
      </w:tr>
      <w:tr>
        <w:tc>
          <w:tcPr>
            <w:tcW w:w="0" w:type="auto"/>
          </w:tcPr>
          <w:p>
            <w:pPr>
              <w:spacing w:after="0" w:line="240" w:lineRule="auto"/>
            </w:pPr>
            <w:r>
              <w:rPr>
                <w:b/>
              </w:rPr>
              <w:t xml:space="preserve">Geschwisterprüfung</w:t>
            </w:r>
          </w:p>
        </w:tc>
        <w:tc>
          <w:tcPr>
            <w:tcW w:w="0" w:type="auto"/>
          </w:tcPr>
          <w:p>
            <w:pPr>
              <w:spacing w:after="0" w:line="240" w:lineRule="auto"/>
            </w:pPr>
            <w:r>
              <w:t xml:space="preserve">„Passen Flächen, Hülle, Trennflächen und Luftströme zueinander?"</w:t>
            </w:r>
          </w:p>
        </w:tc>
        <w:tc>
          <w:tcPr>
            <w:tcW w:w="0" w:type="auto"/>
          </w:tcPr>
          <w:p>
            <w:pPr>
              <w:spacing w:after="0" w:line="240" w:lineRule="auto"/>
            </w:pPr>
            <w:r>
              <w:t xml:space="preserve">Anzeigetexte — sie liefert Meldungsschlüssel und invariante Werte</w:t>
            </w:r>
          </w:p>
        </w:tc>
      </w:tr>
      <w:tr>
        <w:tc>
          <w:tcPr>
            <w:tcW w:w="0" w:type="auto"/>
          </w:tcPr>
          <w:p>
            <w:pPr>
              <w:spacing w:after="0" w:line="240" w:lineRule="auto"/>
            </w:pPr>
            <w:r>
              <w:rPr>
                <w:b/>
              </w:rPr>
              <w:t xml:space="preserve">Kern-Controller</w:t>
            </w:r>
          </w:p>
        </w:tc>
        <w:tc>
          <w:tcPr>
            <w:tcW w:w="0" w:type="auto"/>
          </w:tcPr>
          <w:p>
            <w:pPr>
              <w:spacing w:after="0" w:line="240" w:lineRule="auto"/>
            </w:pPr>
            <w:r>
              <w:t xml:space="preserve">„Welche Zeilen stehen in der Datenbank, und wie kommen meine hinein?"</w:t>
            </w:r>
          </w:p>
        </w:tc>
        <w:tc>
          <w:tcPr>
            <w:tcW w:w="0" w:type="auto"/>
          </w:tcPr>
          <w:p>
            <w:pPr>
              <w:spacing w:after="0" w:line="240" w:lineRule="auto"/>
            </w:pPr>
            <w:r>
              <w:t xml:space="preserve">WinForms, Razor, </w:t>
            </w:r>
            <w:r>
              <w:rPr>
                <w:rFonts w:ascii="Consolas" w:hAnsi="Consolas" w:cs="Consolas"/>
                <w:noProof/>
                <w:sz w:val="20"/>
                <w:szCs w:val="20"/>
                <w:shd w:val="clear" w:color="auto" w:fill="EFEFEF"/>
              </w:rPr>
              <w:t xml:space="preserve">MessageBox</w:t>
            </w:r>
            <w:r>
              <w:t xml:space="preserve">, Pfade außerhalb von </w:t>
            </w:r>
            <w:r>
              <w:rPr>
                <w:rFonts w:ascii="Consolas" w:hAnsi="Consolas" w:cs="Consolas"/>
                <w:noProof/>
                <w:sz w:val="20"/>
                <w:szCs w:val="20"/>
                <w:shd w:val="clear" w:color="auto" w:fill="EFEFEF"/>
              </w:rPr>
              <w:t xml:space="preserve">Dienste.*</w:t>
            </w:r>
          </w:p>
        </w:tc>
      </w:tr>
      <w:tr>
        <w:tc>
          <w:tcPr>
            <w:tcW w:w="0" w:type="auto"/>
          </w:tcPr>
          <w:p>
            <w:pPr>
              <w:spacing w:after="0" w:line="240" w:lineRule="auto"/>
            </w:pPr>
            <w:r>
              <w:rPr>
                <w:b/>
              </w:rPr>
              <w:t xml:space="preserve">Hülle</w:t>
            </w:r>
          </w:p>
        </w:tc>
        <w:tc>
          <w:tcPr>
            <w:tcW w:w="0" w:type="auto"/>
          </w:tcPr>
          <w:p>
            <w:pPr>
              <w:spacing w:after="0" w:line="240" w:lineRule="auto"/>
            </w:pPr>
            <w:r>
              <w:t xml:space="preserve">„Wie sieht das DTO dieser Maske aus, welcher Delegat wird gebraucht?"</w:t>
            </w:r>
          </w:p>
        </w:tc>
        <w:tc>
          <w:tcPr>
            <w:tcW w:w="0" w:type="auto"/>
          </w:tcPr>
          <w:p>
            <w:pPr>
              <w:spacing w:after="0" w:line="240" w:lineRule="auto"/>
            </w:pPr>
            <w:r>
              <w:t xml:space="preserve">Fachlogik — sie rechnet nicht, sie ordnet</w:t>
            </w:r>
          </w:p>
        </w:tc>
      </w:tr>
      <w:tr>
        <w:tc>
          <w:tcPr>
            <w:tcW w:w="0" w:type="auto"/>
          </w:tcPr>
          <w:p>
            <w:pPr>
              <w:spacing w:after="0" w:line="240" w:lineRule="auto"/>
            </w:pPr>
            <w:r>
              <w:rPr>
                <w:b/>
              </w:rPr>
              <w:t xml:space="preserve">Razor-Komponente</w:t>
            </w:r>
          </w:p>
        </w:tc>
        <w:tc>
          <w:tcPr>
            <w:tcW w:w="0" w:type="auto"/>
          </w:tcPr>
          <w:p>
            <w:pPr>
              <w:spacing w:after="0" w:line="240" w:lineRule="auto"/>
            </w:pPr>
            <w:r>
              <w:t xml:space="preserve">„Wie wird das dargestellt und bedient?"</w:t>
            </w:r>
          </w:p>
        </w:tc>
        <w:tc>
          <w:tcPr>
            <w:tcW w:w="0" w:type="auto"/>
          </w:tcPr>
          <w:p>
            <w:pPr>
              <w:spacing w:after="0" w:line="240" w:lineRule="auto"/>
            </w:pPr>
            <w:r>
              <w:t xml:space="preserve">Datenbank </w:t>
            </w:r>
            <w:r>
              <w:rPr>
                <w:b/>
              </w:rPr>
              <w:t xml:space="preserve">und</w:t>
            </w:r>
            <w:r>
              <w:t xml:space="preserve"> die Fachklassen des Kerns; sie gibt einen Ergebnis-Record zurück</w:t>
            </w:r>
          </w:p>
        </w:tc>
      </w:tr>
      <w:tr>
        <w:tc>
          <w:tcPr>
            <w:tcW w:w="0" w:type="auto"/>
          </w:tcPr>
          <w:p>
            <w:pPr>
              <w:spacing w:after="0" w:line="240" w:lineRule="auto"/>
            </w:pPr>
            <w:r>
              <w:rPr>
                <w:b/>
              </w:rPr>
              <w:t xml:space="preserve">Zonengeometrie-Modell</w:t>
            </w:r>
            <w:r>
              <w:t xml:space="preserve"> (Kern, plattformfrei)</w:t>
            </w:r>
          </w:p>
        </w:tc>
        <w:tc>
          <w:tcPr>
            <w:tcW w:w="0" w:type="auto"/>
          </w:tcPr>
          <w:p>
            <w:pPr>
              <w:spacing w:after="0" w:line="240" w:lineRule="auto"/>
            </w:pPr>
            <w:r>
              <w:t xml:space="preserve">„Wo liegt welche Zone — welches Polygon, welche Höhe, welches Geschoss, welche Kante trägt welches Bauteil?"</w:t>
            </w:r>
          </w:p>
        </w:tc>
        <w:tc>
          <w:tcPr>
            <w:tcW w:w="0" w:type="auto"/>
          </w:tcPr>
          <w:p>
            <w:pPr>
              <w:spacing w:after="0" w:line="240" w:lineRule="auto"/>
            </w:pPr>
            <w:r>
              <w:t xml:space="preserve">Datenbank, Oberfläche, Dateiformate. Es hat </w:t>
            </w:r>
            <w:r>
              <w:rPr>
                <w:b/>
              </w:rPr>
              <w:t xml:space="preserve">drei Abnehmer</w:t>
            </w:r>
            <w:r>
              <w:t xml:space="preserve"> und rechnet für alle drei dasselbe</w:t>
            </w:r>
          </w:p>
        </w:tc>
      </w:tr>
      <w:tr>
        <w:tc>
          <w:tcPr>
            <w:tcW w:w="0" w:type="auto"/>
          </w:tcPr>
          <w:p>
            <w:pPr>
              <w:spacing w:after="0" w:line="240" w:lineRule="auto"/>
            </w:pPr>
            <w:r>
              <w:rPr>
                <w:b/>
              </w:rPr>
              <w:t xml:space="preserve">Leser und Schreiber</w:t>
            </w:r>
          </w:p>
        </w:tc>
        <w:tc>
          <w:tcPr>
            <w:tcW w:w="0" w:type="auto"/>
          </w:tcPr>
          <w:p>
            <w:pPr>
              <w:spacing w:after="0" w:line="240" w:lineRule="auto"/>
            </w:pPr>
            <w:r>
              <w:t xml:space="preserve">„Was steht in dieser Datei, und wie schreibe ich diese Datei?"</w:t>
            </w:r>
          </w:p>
        </w:tc>
        <w:tc>
          <w:tcPr>
            <w:tcW w:w="0" w:type="auto"/>
          </w:tcPr>
          <w:p>
            <w:pPr>
              <w:spacing w:after="0" w:line="240" w:lineRule="auto"/>
            </w:pPr>
            <w:r>
              <w:t xml:space="preserve">das Zielmodell der Datenbank </w:t>
            </w:r>
            <w:r>
              <w:rPr>
                <w:b/>
              </w:rPr>
              <w:t xml:space="preserve">und den Controller</w:t>
            </w:r>
            <w:r>
              <w:t xml:space="preserve">; die Geometrie </w:t>
            </w:r>
            <w:r>
              <w:rPr>
                <w:b/>
              </w:rPr>
              <w:t xml:space="preserve">lesen</w:t>
            </w:r>
            <w:r>
              <w:t xml:space="preserve"> sie aus dem Zonengeometrie-Modell</w:t>
            </w:r>
          </w:p>
        </w:tc>
      </w:tr>
      <w:tr>
        <w:tc>
          <w:tcPr>
            <w:tcW w:w="0" w:type="auto"/>
          </w:tcPr>
          <w:p>
            <w:pPr>
              <w:spacing w:after="0" w:line="240" w:lineRule="auto"/>
            </w:pPr>
            <w:r>
              <w:rPr>
                <w:b/>
              </w:rPr>
              <w:t xml:space="preserve">Bericht, Kennzahlen und Referenzlauf-Export</w:t>
            </w:r>
          </w:p>
        </w:tc>
        <w:tc>
          <w:tcPr>
            <w:tcW w:w="0" w:type="auto"/>
          </w:tcPr>
          <w:p>
            <w:pPr>
              <w:spacing w:after="0" w:line="240" w:lineRule="auto"/>
            </w:pPr>
            <w:r>
              <w:t xml:space="preserve">„Welche Zahl je Gebäude bzw. je Zone geht hinaus, unter welchem Schlüssel und in welcher Einheit?"</w:t>
            </w:r>
          </w:p>
        </w:tc>
        <w:tc>
          <w:tcPr>
            <w:tcW w:w="0" w:type="auto"/>
          </w:tcPr>
          <w:p>
            <w:pPr>
              <w:spacing w:after="0" w:line="240" w:lineRule="auto"/>
            </w:pPr>
            <w:r>
              <w:t xml:space="preserve">die Datenbank als Ziel — sie lesen die Physik, die Physik kennt sie nicht</w:t>
            </w:r>
          </w:p>
        </w:tc>
      </w:tr>
      <w:tr>
        <w:tc>
          <w:tcPr>
            <w:tcW w:w="0" w:type="auto"/>
          </w:tcPr>
          <w:p>
            <w:pPr>
              <w:spacing w:after="0" w:line="240" w:lineRule="auto"/>
            </w:pPr>
            <w:r>
              <w:rPr>
                <w:b/>
              </w:rPr>
              <w:t xml:space="preserve">Schema-Klasse</w:t>
            </w:r>
          </w:p>
        </w:tc>
        <w:tc>
          <w:tcPr>
            <w:tcW w:w="0" w:type="auto"/>
          </w:tcPr>
          <w:p>
            <w:pPr>
              <w:spacing w:after="0" w:line="240" w:lineRule="auto"/>
            </w:pPr>
            <w:r>
              <w:t xml:space="preserve">„Welche Spalten und Tabellen gehören zu dieser Familie?"</w:t>
            </w:r>
          </w:p>
        </w:tc>
        <w:tc>
          <w:tcPr>
            <w:tcW w:w="0" w:type="auto"/>
          </w:tcPr>
          <w:p>
            <w:pPr>
              <w:spacing w:after="0" w:line="240" w:lineRule="auto"/>
            </w:pPr>
            <w:r>
              <w:t xml:space="preserve">Fachrechnung</w:t>
            </w:r>
          </w:p>
        </w:tc>
      </w:tr>
      <w:tr>
        <w:tc>
          <w:tcPr>
            <w:tcW w:w="0" w:type="auto"/>
          </w:tcPr>
          <w:p>
            <w:pPr>
              <w:spacing w:after="0" w:line="240" w:lineRule="auto"/>
            </w:pPr>
            <w:r>
              <w:rPr>
                <w:b/>
              </w:rPr>
              <w:t xml:space="preserve">Schale</w:t>
            </w:r>
          </w:p>
        </w:tc>
        <w:tc>
          <w:tcPr>
            <w:tcW w:w="0" w:type="auto"/>
          </w:tcPr>
          <w:p>
            <w:pPr>
              <w:spacing w:after="0" w:line="240" w:lineRule="auto"/>
            </w:pPr>
            <w:r>
              <w:t xml:space="preserve">„Wie sieht ein Fenster aus, wo liegt eine Datei, welches Paket ist da?"</w:t>
            </w:r>
          </w:p>
        </w:tc>
        <w:tc>
          <w:tcPr>
            <w:tcW w:w="0" w:type="auto"/>
          </w:tcPr>
          <w:p>
            <w:pPr>
              <w:spacing w:after="0" w:line="240" w:lineRule="auto"/>
            </w:pPr>
            <w:r>
              <w:t xml:space="preserve">alles Fachliche</w:t>
            </w:r>
          </w:p>
        </w:tc>
      </w:tr>
    </w:tbl>
    <w:p>
      <w:pPr>
        <w:spacing w:after="120"/>
      </w:pPr>
    </w:p>
    <w:p>
      <w:pPr>
        <w:pStyle w:val="Heading2"/>
      </w:pPr>
      <w:r>
        <w:t xml:space="preserve">2.5 Datenfluss des Laufs</w:t>
      </w:r>
    </w:p>
    <w:p>
      <w:pPr>
        <w:pStyle w:val="Diagrammbild"/>
      </w:pPr>
      <w:r>
        <w:drawing>
          <wp:inline xmlns:wp="http://schemas.openxmlformats.org/drawingml/2006/wordprocessingDrawing" distT="0" distB="0" distL="0" distR="0">
            <wp:extent cx="6120130" cy="3752405"/>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2.png"/>
                    <pic:cNvPicPr/>
                  </pic:nvPicPr>
                  <pic:blipFill>
                    <a:blip xmlns:r="http://schemas.openxmlformats.org/officeDocument/2006/relationships" r:embed="Re8ad5ebd62b0475b"/>
                    <a:stretch>
                      <a:fillRect/>
                    </a:stretch>
                  </pic:blipFill>
                  <pic:spPr>
                    <a:xfrm>
                      <a:off x="0" y="0"/>
                      <a:ext cx="6120130" cy="3752405"/>
                    </a:xfrm>
                    <a:prstGeom prst="rect">
                      <a:avLst/>
                    </a:prstGeom>
                  </pic:spPr>
                </pic:pic>
              </a:graphicData>
            </a:graphic>
          </wp:inline>
        </w:drawing>
      </w:r>
    </w:p>
    <w:p>
      <w:pPr>
        <w:pStyle w:val="Bildunterschrift"/>
      </w:pPr>
      <w:r>
        <w:rPr>
          <w:i/>
          <w:iCs/>
        </w:rPr>
        <w:t xml:space="preserve">Bild 2: 2.5 Datenfluss des Laufs</w:t>
      </w:r>
    </w:p>
    <w:p>
      <w:r>
        <w:t xml:space="preserve">Vier Sätze halten diesen Fluss zusammen. Der Puffer bleibt ein </w:t>
      </w:r>
      <w:r>
        <w:rPr>
          <w:rFonts w:ascii="Consolas" w:hAnsi="Consolas" w:cs="Consolas"/>
          <w:noProof/>
          <w:sz w:val="20"/>
          <w:szCs w:val="20"/>
          <w:shd w:val="clear" w:color="auto" w:fill="EFEFEF"/>
        </w:rPr>
        <w:t xml:space="preserve">double[8760]</w:t>
      </w:r>
      <w:r>
        <w:t xml:space="preserve"> in </w:t>
      </w:r>
      <w:r>
        <w:rPr>
          <w:b/>
        </w:rPr>
        <w:t xml:space="preserve">Watt</w:t>
      </w:r>
      <w:r>
        <w:t xml:space="preserve">; die Umrechnung nach kW geschieht dort, wo sie heute geschieht. Die </w:t>
      </w:r>
      <w:r>
        <w:rPr>
          <w:b/>
        </w:rPr>
        <w:t xml:space="preserve">Auskunft ruft den Rechenweg des Laufs</w:t>
      </w:r>
      <w:r>
        <w:t xml:space="preserve"> und schreibt ihn nicht ab — das ist die Bedingung dafür, dass Vorschau und Bericht nie auseinanderlaufen; neu ist allein ein vierter Parameter für das erzwungene Modell, der nur auf der gelesenen Instanz wirkt und nichts schreibt. Beide Verzweigungspunkte verzweigen </w:t>
      </w:r>
      <w:r>
        <w:rPr>
          <w:b/>
        </w:rPr>
        <w:t xml:space="preserve">gemeinsam</w:t>
      </w:r>
      <w:r>
        <w:t xml:space="preserve">, sonst mischte die Verhältnisrechnung zwei Modelle. Und eine Vorbedingung des Bestandswegs darf das Stundenmodell nicht erben: ein Stundenmodell-Gebäude scheitert nicht an einer fehlenden Tagesverteilung, die es nicht braucht.</w:t>
      </w:r>
    </w:p>
    <w:p>
      <w:pPr>
        <w:pStyle w:val="Heading2"/>
      </w:pPr>
      <w:r>
        <w:t xml:space="preserve">2.6 Speicherung</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Ablage</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Gebäudeeingaben</w:t>
            </w:r>
          </w:p>
        </w:tc>
        <w:tc>
          <w:tcPr>
            <w:tcW w:w="0" w:type="auto"/>
          </w:tcPr>
          <w:p>
            <w:pPr>
              <w:spacing w:after="0" w:line="240" w:lineRule="auto"/>
            </w:pPr>
            <w:r>
              <w:rPr>
                <w:rFonts w:ascii="Consolas" w:hAnsi="Consolas" w:cs="Consolas"/>
                <w:noProof/>
                <w:sz w:val="20"/>
                <w:szCs w:val="20"/>
                <w:shd w:val="clear" w:color="auto" w:fill="EFEFEF"/>
              </w:rPr>
              <w:t xml:space="preserve">Tab_Gebaeude</w:t>
            </w:r>
            <w:r>
              <w:t xml:space="preserve"> und </w:t>
            </w:r>
            <w:r>
              <w:rPr>
                <w:rFonts w:ascii="Consolas" w:hAnsi="Consolas" w:cs="Consolas"/>
                <w:noProof/>
                <w:sz w:val="20"/>
                <w:szCs w:val="20"/>
                <w:shd w:val="clear" w:color="auto" w:fill="EFEFEF"/>
              </w:rPr>
              <w:t xml:space="preserve">Tab_Gebaeude_STAMM</w:t>
            </w:r>
          </w:p>
        </w:tc>
        <w:tc>
          <w:tcPr>
            <w:tcW w:w="0" w:type="auto"/>
          </w:tcPr>
          <w:p>
            <w:pPr>
              <w:spacing w:after="0" w:line="240" w:lineRule="auto"/>
            </w:pPr>
            <w:r>
              <w:t xml:space="preserve">Eingaben gehören zum Projekt und zum Katalog</w:t>
            </w:r>
          </w:p>
        </w:tc>
      </w:tr>
      <w:tr>
        <w:tc>
          <w:tcPr>
            <w:tcW w:w="0" w:type="auto"/>
          </w:tcPr>
          <w:p>
            <w:pPr>
              <w:spacing w:after="0" w:line="240" w:lineRule="auto"/>
            </w:pPr>
            <w:r>
              <w:t xml:space="preserve">Stündliche Klimagrößen (Gegenstrahlung, Wind, Luftfeuchte)</w:t>
            </w:r>
          </w:p>
        </w:tc>
        <w:tc>
          <w:tcPr>
            <w:tcW w:w="0" w:type="auto"/>
          </w:tcPr>
          <w:p>
            <w:pPr>
              <w:spacing w:after="0" w:line="240" w:lineRule="auto"/>
            </w:pPr>
            <w:r>
              <w:rPr>
                <w:rFonts w:ascii="Consolas" w:hAnsi="Consolas" w:cs="Consolas"/>
                <w:noProof/>
                <w:sz w:val="20"/>
                <w:szCs w:val="20"/>
                <w:shd w:val="clear" w:color="auto" w:fill="EFEFEF"/>
              </w:rPr>
              <w:t xml:space="preserve">Tab_Solar</w:t>
            </w:r>
            <w:r>
              <w:t xml:space="preserve"> und </w:t>
            </w:r>
            <w:r>
              <w:rPr>
                <w:rFonts w:ascii="Consolas" w:hAnsi="Consolas" w:cs="Consolas"/>
                <w:noProof/>
                <w:sz w:val="20"/>
                <w:szCs w:val="20"/>
                <w:shd w:val="clear" w:color="auto" w:fill="EFEFEF"/>
              </w:rPr>
              <w:t xml:space="preserve">Tab_Solar_STAMM</w:t>
            </w:r>
          </w:p>
        </w:tc>
        <w:tc>
          <w:tcPr>
            <w:tcW w:w="0" w:type="auto"/>
          </w:tcPr>
          <w:p>
            <w:pPr>
              <w:spacing w:after="0" w:line="240" w:lineRule="auto"/>
            </w:pPr>
            <w:r>
              <w:rPr>
                <w:b/>
              </w:rPr>
              <w:t xml:space="preserve">Eingaben</w:t>
            </w:r>
            <w:r>
              <w:t xml:space="preserve">, wie die vorhandenen Klimareihen</w:t>
            </w:r>
          </w:p>
        </w:tc>
      </w:tr>
      <w:tr>
        <w:tc>
          <w:tcPr>
            <w:tcW w:w="0" w:type="auto"/>
          </w:tcPr>
          <w:p>
            <w:pPr>
              <w:spacing w:after="0" w:line="240" w:lineRule="auto"/>
            </w:pPr>
            <w:r>
              <w:t xml:space="preserve">Bauteilkatalog (Baustoffe, Aufbauten, Schichten)</w:t>
            </w:r>
          </w:p>
        </w:tc>
        <w:tc>
          <w:tcPr>
            <w:tcW w:w="0" w:type="auto"/>
          </w:tcPr>
          <w:p>
            <w:pPr>
              <w:spacing w:after="0" w:line="240" w:lineRule="auto"/>
            </w:pPr>
            <w:r>
              <w:t xml:space="preserve">je Familie Katalog </w:t>
            </w:r>
            <w:r>
              <w:rPr>
                <w:b/>
              </w:rPr>
              <w:t xml:space="preserve">und</w:t>
            </w:r>
            <w:r>
              <w:t xml:space="preserve"> Projektkopie</w:t>
            </w:r>
          </w:p>
        </w:tc>
        <w:tc>
          <w:tcPr>
            <w:tcW w:w="0" w:type="auto"/>
          </w:tcPr>
          <w:p>
            <w:pPr>
              <w:spacing w:after="0" w:line="240" w:lineRule="auto"/>
            </w:pPr>
            <w:r>
              <w:t xml:space="preserve">Auslieferungskatalog und projekteigene Abwandlung</w:t>
            </w:r>
          </w:p>
        </w:tc>
      </w:tr>
      <w:tr>
        <w:tc>
          <w:tcPr>
            <w:tcW w:w="0" w:type="auto"/>
          </w:tcPr>
          <w:p>
            <w:pPr>
              <w:spacing w:after="0" w:line="240" w:lineRule="auto"/>
            </w:pPr>
            <w:r>
              <w:t xml:space="preserve">Zonen, Bauteile, Luftströme</w:t>
            </w:r>
          </w:p>
        </w:tc>
        <w:tc>
          <w:tcPr>
            <w:tcW w:w="0" w:type="auto"/>
          </w:tcPr>
          <w:p>
            <w:pPr>
              <w:spacing w:after="0" w:line="240" w:lineRule="auto"/>
            </w:pPr>
            <w:r>
              <w:t xml:space="preserve">Projekttabellen am Gebäude</w:t>
            </w:r>
          </w:p>
        </w:tc>
        <w:tc>
          <w:tcPr>
            <w:tcW w:w="0" w:type="auto"/>
          </w:tcPr>
          <w:p>
            <w:pPr>
              <w:spacing w:after="0" w:line="240" w:lineRule="auto"/>
            </w:pPr>
            <w:r>
              <w:t xml:space="preserve">eine Zone ist Projektware; einen Zonenkatalog gibt es nicht</w:t>
            </w:r>
          </w:p>
        </w:tc>
      </w:tr>
      <w:tr>
        <w:tc>
          <w:tcPr>
            <w:tcW w:w="0" w:type="auto"/>
          </w:tcPr>
          <w:p>
            <w:pPr>
              <w:spacing w:after="0" w:line="240" w:lineRule="auto"/>
            </w:pPr>
            <w:r>
              <w:t xml:space="preserve">Importherkunft (Quelle je Lauf, Paarung je Zeile)</w:t>
            </w:r>
          </w:p>
        </w:tc>
        <w:tc>
          <w:tcPr>
            <w:tcW w:w="0" w:type="auto"/>
          </w:tcPr>
          <w:p>
            <w:pPr>
              <w:spacing w:after="0" w:line="240" w:lineRule="auto"/>
            </w:pPr>
            <w:r>
              <w:t xml:space="preserve">zwei Projekttabellen</w:t>
            </w:r>
          </w:p>
        </w:tc>
        <w:tc>
          <w:tcPr>
            <w:tcW w:w="0" w:type="auto"/>
          </w:tcPr>
          <w:p>
            <w:pPr>
              <w:spacing w:after="0" w:line="240" w:lineRule="auto"/>
            </w:pPr>
            <w:r>
              <w:t xml:space="preserve">ohne sie findet der Round-Trip nichts wieder</w:t>
            </w:r>
          </w:p>
        </w:tc>
      </w:tr>
      <w:tr>
        <w:tc>
          <w:tcPr>
            <w:tcW w:w="0" w:type="auto"/>
          </w:tcPr>
          <w:p>
            <w:pPr>
              <w:spacing w:after="0" w:line="240" w:lineRule="auto"/>
            </w:pPr>
            <w:r>
              <w:rPr>
                <w:b/>
              </w:rPr>
              <w:t xml:space="preserve">Ergebnis-Zeitreihen</w:t>
            </w:r>
          </w:p>
        </w:tc>
        <w:tc>
          <w:tcPr>
            <w:tcW w:w="0" w:type="auto"/>
          </w:tcPr>
          <w:p>
            <w:pPr>
              <w:spacing w:after="0" w:line="240" w:lineRule="auto"/>
            </w:pPr>
            <w:r>
              <w:rPr>
                <w:b/>
              </w:rPr>
              <w:t xml:space="preserve">nicht in die Datenbank</w:t>
            </w:r>
          </w:p>
        </w:tc>
        <w:tc>
          <w:tcPr>
            <w:tcW w:w="0" w:type="auto"/>
          </w:tcPr>
          <w:p>
            <w:pPr>
              <w:spacing w:after="0" w:line="240" w:lineRule="auto"/>
            </w:pPr>
            <w:r>
              <w:t xml:space="preserve">siehe unten</w:t>
            </w:r>
          </w:p>
        </w:tc>
      </w:tr>
      <w:tr>
        <w:tc>
          <w:tcPr>
            <w:tcW w:w="0" w:type="auto"/>
          </w:tcPr>
          <w:p>
            <w:pPr>
              <w:spacing w:after="0" w:line="240" w:lineRule="auto"/>
            </w:pPr>
            <w:r>
              <w:t xml:space="preserve">Ergebnis-Kennzahlen je Gebäude</w:t>
            </w:r>
          </w:p>
        </w:tc>
        <w:tc>
          <w:tcPr>
            <w:tcW w:w="0" w:type="auto"/>
          </w:tcPr>
          <w:p>
            <w:pPr>
              <w:spacing w:after="0" w:line="240" w:lineRule="auto"/>
            </w:pPr>
            <w:r>
              <w:t xml:space="preserve">CSV des Laufs und Bericht</w:t>
            </w:r>
          </w:p>
        </w:tc>
        <w:tc>
          <w:tcPr>
            <w:tcW w:w="0" w:type="auto"/>
          </w:tcPr>
          <w:p>
            <w:pPr>
              <w:spacing w:after="0" w:line="240" w:lineRule="auto"/>
            </w:pPr>
            <w:r>
              <w:t xml:space="preserve">die Ergebnistabelle des Bestands ist einzeilig je Lauf</w:t>
            </w:r>
          </w:p>
        </w:tc>
      </w:tr>
    </w:tbl>
    <w:p>
      <w:pPr>
        <w:spacing w:after="120"/>
      </w:pPr>
    </w:p>
    <w:p>
      <w:r>
        <w:rPr>
          <w:b/>
        </w:rPr>
        <w:t xml:space="preserve">Warum keine Ergebnisreihe in die Datenbank kommt</w:t>
      </w:r>
      <w:r>
        <w:t xml:space="preserve"> — drei Gründe, jeder für sich tragend: keine der siebzehn Ergebnistabellen hält heute eine Stundenreihe, Stundenreihen liegen im Bestand ausschließlich als Eingaben; vier Reihen je Zone persistiert wären bei einem Projekt mit 150 Zonen rund </w:t>
      </w:r>
      <w:r>
        <w:rPr>
          <w:b/>
        </w:rPr>
        <w:t xml:space="preserve">5,3 Millionen Zeilen und etwa 150 MB je Lauf</w:t>
      </w:r>
      <w:r>
        <w:t xml:space="preserve">, womit die Sicherung im laufenden Betrieb praktisch unbrauchbar wäre; und der Nachweisweg braucht sie nicht, weil der Referenzlauf CSV vergleicht. Alles, was persistiert wird, bleibt im ungünstigen Fall bei rund </w:t>
      </w:r>
      <w:r>
        <w:rPr>
          <w:b/>
        </w:rPr>
        <w:t xml:space="preserve">3 500 Zeilen je Projekt</w:t>
      </w:r>
      <w:r>
        <w:t xml:space="preserve">, also 0,2 bis 0,4 MB.</w:t>
      </w:r>
    </w:p>
    <w:p>
      <w:pPr>
        <w:pStyle w:val="Heading2"/>
      </w:pPr>
      <w:r>
        <w:t xml:space="preserve">2.7 Skalierung und Leistung</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r>
      <w:tr>
        <w:tc>
          <w:tcPr>
            <w:tcW w:w="0" w:type="auto"/>
          </w:tcPr>
          <w:p>
            <w:pPr>
              <w:spacing w:after="0" w:line="240" w:lineRule="auto"/>
            </w:pPr>
            <w:r>
              <w:t xml:space="preserve">Voller Basislauf heute (13 Projekte, 15 Gebäudezeilen)</w:t>
            </w:r>
          </w:p>
        </w:tc>
        <w:tc>
          <w:tcPr>
            <w:tcW w:w="0" w:type="auto"/>
          </w:tcPr>
          <w:p>
            <w:pPr>
              <w:spacing w:after="0" w:line="240" w:lineRule="auto"/>
            </w:pPr>
            <w:r>
              <w:rPr>
                <w:b/>
              </w:rPr>
              <w:t xml:space="preserve">4 s</w:t>
            </w:r>
          </w:p>
        </w:tc>
      </w:tr>
      <w:tr>
        <w:tc>
          <w:tcPr>
            <w:tcW w:w="0" w:type="auto"/>
          </w:tcPr>
          <w:p>
            <w:pPr>
              <w:spacing w:after="0" w:line="240" w:lineRule="auto"/>
            </w:pPr>
            <w:r>
              <w:t xml:space="preserve">Ein Gebäudejahr im Stundenmodell, eingeschwungen</w:t>
            </w:r>
          </w:p>
        </w:tc>
        <w:tc>
          <w:tcPr>
            <w:tcW w:w="0" w:type="auto"/>
          </w:tcPr>
          <w:p>
            <w:pPr>
              <w:spacing w:after="0" w:line="240" w:lineRule="auto"/>
            </w:pPr>
            <w:r>
              <w:rPr>
                <w:b/>
              </w:rPr>
              <w:t xml:space="preserve">Median 5,09 ms</w:t>
            </w:r>
            <w:r>
              <w:t xml:space="preserve">, Spanne 4,5–9,1 ms über 15 Gebäude, 9 480 Schritte einschließlich Vorlauf</w:t>
            </w:r>
          </w:p>
        </w:tc>
      </w:tr>
      <w:tr>
        <w:tc>
          <w:tcPr>
            <w:tcW w:w="0" w:type="auto"/>
          </w:tcPr>
          <w:p>
            <w:pPr>
              <w:spacing w:after="0" w:line="240" w:lineRule="auto"/>
            </w:pPr>
            <w:r>
              <w:t xml:space="preserve">Planungsgröße</w:t>
            </w:r>
          </w:p>
        </w:tc>
        <w:tc>
          <w:tcPr>
            <w:tcW w:w="0" w:type="auto"/>
          </w:tcPr>
          <w:p>
            <w:pPr>
              <w:spacing w:after="0" w:line="240" w:lineRule="auto"/>
            </w:pPr>
            <w:r>
              <w:rPr>
                <w:b/>
              </w:rPr>
              <w:t xml:space="preserve">10 ms</w:t>
            </w:r>
            <w:r>
              <w:t xml:space="preserve"> je Gebäude und Jahr, dazu einmalig rund 0,25 s Anlauf je Prozess</w:t>
            </w:r>
          </w:p>
        </w:tc>
      </w:tr>
      <w:tr>
        <w:tc>
          <w:tcPr>
            <w:tcW w:w="0" w:type="auto"/>
          </w:tcPr>
          <w:p>
            <w:pPr>
              <w:spacing w:after="0" w:line="240" w:lineRule="auto"/>
            </w:pPr>
            <w:r>
              <w:t xml:space="preserve">Zuwachs im CI-Lauf (5 Projekte, 4 Gebäude)</w:t>
            </w:r>
          </w:p>
        </w:tc>
        <w:tc>
          <w:tcPr>
            <w:tcW w:w="0" w:type="auto"/>
          </w:tcPr>
          <w:p>
            <w:pPr>
              <w:spacing w:after="0" w:line="240" w:lineRule="auto"/>
            </w:pPr>
            <w:r>
              <w:t xml:space="preserve">0,02 s bei 5 ms, </w:t>
            </w:r>
            <w:r>
              <w:rPr>
                <w:b/>
              </w:rPr>
              <w:t xml:space="preserve">0,04 s</w:t>
            </w:r>
            <w:r>
              <w:t xml:space="preserve"> bei 10 ms</w:t>
            </w:r>
          </w:p>
        </w:tc>
      </w:tr>
      <w:tr>
        <w:tc>
          <w:tcPr>
            <w:tcW w:w="0" w:type="auto"/>
          </w:tcPr>
          <w:p>
            <w:pPr>
              <w:spacing w:after="0" w:line="240" w:lineRule="auto"/>
            </w:pPr>
            <w:r>
              <w:t xml:space="preserve">Zuwachs im Basislauf (13 Projekte, 15 Gebäude)</w:t>
            </w:r>
          </w:p>
        </w:tc>
        <w:tc>
          <w:tcPr>
            <w:tcW w:w="0" w:type="auto"/>
          </w:tcPr>
          <w:p>
            <w:pPr>
              <w:spacing w:after="0" w:line="240" w:lineRule="auto"/>
            </w:pPr>
            <w:r>
              <w:t xml:space="preserve">0,08 s bei 5 ms, </w:t>
            </w:r>
            <w:r>
              <w:rPr>
                <w:b/>
              </w:rPr>
              <w:t xml:space="preserve">0,15 s</w:t>
            </w:r>
            <w:r>
              <w:t xml:space="preserve"> bei 10 ms</w:t>
            </w:r>
          </w:p>
        </w:tc>
      </w:tr>
      <w:tr>
        <w:tc>
          <w:tcPr>
            <w:tcW w:w="0" w:type="auto"/>
          </w:tcPr>
          <w:p>
            <w:pPr>
              <w:spacing w:after="0" w:line="240" w:lineRule="auto"/>
            </w:pPr>
            <w:r>
              <w:t xml:space="preserve">Ein Projekt mit 100 Gebäuden</w:t>
            </w:r>
          </w:p>
        </w:tc>
        <w:tc>
          <w:tcPr>
            <w:tcW w:w="0" w:type="auto"/>
          </w:tcPr>
          <w:p>
            <w:pPr>
              <w:spacing w:after="0" w:line="240" w:lineRule="auto"/>
            </w:pPr>
            <w:r>
              <w:t xml:space="preserve">0,5 bis 1,0 s</w:t>
            </w:r>
          </w:p>
        </w:tc>
      </w:tr>
      <w:tr>
        <w:tc>
          <w:tcPr>
            <w:tcW w:w="0" w:type="auto"/>
          </w:tcPr>
          <w:p>
            <w:pPr>
              <w:spacing w:after="0" w:line="240" w:lineRule="auto"/>
            </w:pPr>
            <w:r>
              <w:t xml:space="preserve">Zonen</w:t>
            </w:r>
          </w:p>
        </w:tc>
        <w:tc>
          <w:tcPr>
            <w:tcW w:w="0" w:type="auto"/>
          </w:tcPr>
          <w:p>
            <w:pPr>
              <w:spacing w:after="0" w:line="240" w:lineRule="auto"/>
            </w:pPr>
            <w:r>
              <w:t xml:space="preserve">N × 5 ms je Zone, dazu die Durchläufe der Kopplung je Stunde </w:t>
            </w:r>
            <w:r>
              <w:rPr>
                <w:b/>
              </w:rPr>
              <w:t xml:space="preserve">und der ungekoppelte adiabate Vorlauf</w:t>
            </w:r>
            <w:r>
              <w:t xml:space="preserve">, aus dem die 4-K-Zuordnung fällt (ein Durchlauf je Zone, rund 0,25 s bei 50 Zonen)</w:t>
            </w:r>
          </w:p>
        </w:tc>
      </w:tr>
      <w:tr>
        <w:tc>
          <w:tcPr>
            <w:tcW w:w="0" w:type="auto"/>
          </w:tcPr>
          <w:p>
            <w:pPr>
              <w:spacing w:after="0" w:line="240" w:lineRule="auto"/>
            </w:pPr>
            <w:r>
              <w:rPr>
                <w:b/>
              </w:rPr>
              <w:t xml:space="preserve">Ein Gebäudejahr mit 50 Zonen, alles zusammen</w:t>
            </w:r>
          </w:p>
        </w:tc>
        <w:tc>
          <w:tcPr>
            <w:tcW w:w="0" w:type="auto"/>
          </w:tcPr>
          <w:p>
            <w:pPr>
              <w:spacing w:after="0" w:line="240" w:lineRule="auto"/>
            </w:pPr>
            <w:r>
              <w:rPr>
                <w:b/>
              </w:rPr>
              <w:t xml:space="preserve">1,1–2,0 s</w:t>
            </w:r>
            <w:r>
              <w:t xml:space="preserve"> — weit über der Planungsgröße, </w:t>
            </w:r>
            <w:r>
              <w:rPr>
                <w:b/>
              </w:rPr>
              <w:t xml:space="preserve">benannt ausgenommen</w:t>
            </w:r>
            <w:r>
              <w:t xml:space="preserve"> (N3), weil es nur bei Mehrzonengebäuden anfällt</w:t>
            </w:r>
          </w:p>
        </w:tc>
      </w:tr>
      <w:tr>
        <w:tc>
          <w:tcPr>
            <w:tcW w:w="0" w:type="auto"/>
          </w:tcPr>
          <w:p>
            <w:pPr>
              <w:spacing w:after="0" w:line="240" w:lineRule="auto"/>
            </w:pPr>
            <w:r>
              <w:t xml:space="preserve">Neue Zeilen je Zonenprojekt</w:t>
            </w:r>
          </w:p>
        </w:tc>
        <w:tc>
          <w:tcPr>
            <w:tcW w:w="0" w:type="auto"/>
          </w:tcPr>
          <w:p>
            <w:pPr>
              <w:spacing w:after="0" w:line="240" w:lineRule="auto"/>
            </w:pPr>
            <w:r>
              <w:t xml:space="preserve">unter </w:t>
            </w:r>
            <w:r>
              <w:rPr>
                <w:b/>
              </w:rPr>
              <w:t xml:space="preserve">3 500</w:t>
            </w:r>
          </w:p>
        </w:tc>
      </w:tr>
      <w:tr>
        <w:tc>
          <w:tcPr>
            <w:tcW w:w="0" w:type="auto"/>
          </w:tcPr>
          <w:p>
            <w:pPr>
              <w:spacing w:after="0" w:line="240" w:lineRule="auto"/>
            </w:pPr>
            <w:r>
              <w:t xml:space="preserve">Arbeitsspeicher beim IFC-Lesen</w:t>
            </w:r>
          </w:p>
        </w:tc>
        <w:tc>
          <w:tcPr>
            <w:tcW w:w="0" w:type="auto"/>
          </w:tcPr>
          <w:p>
            <w:pPr>
              <w:spacing w:after="0" w:line="240" w:lineRule="auto"/>
            </w:pPr>
            <w:r>
              <w:t xml:space="preserve">rund </w:t>
            </w:r>
            <w:r>
              <w:rPr>
                <w:b/>
              </w:rPr>
              <w:t xml:space="preserve">10–20 MB je MB</w:t>
            </w:r>
            <w:r>
              <w:t xml:space="preserve"> Quelltext</w:t>
            </w:r>
          </w:p>
        </w:tc>
      </w:tr>
    </w:tbl>
    <w:p>
      <w:pPr>
        <w:spacing w:after="120"/>
      </w:pPr>
    </w:p>
    <w:p>
      <w:r>
        <w:rPr>
          <w:b/>
        </w:rPr>
        <w:t xml:space="preserve">Die Rechenzeit ist nicht die knappe Größe — die CI-Minuten sind es.</w:t>
      </w:r>
      <w:r>
        <w:t xml:space="preserve"> Ein Gebäudemodell, das den Referenzlauf um 0,08 s verlängert, liegt im Rauschen; ein Gebäudemodell, das eine </w:t>
      </w:r>
      <w:r>
        <w:rPr>
          <w:b/>
        </w:rPr>
        <w:t xml:space="preserve">unbedingte</w:t>
      </w:r>
      <w:r>
        <w:t xml:space="preserve"> neue Ergebnisdatei erzeugt, kostet einen Neueinfrierschritt und damit ein Vielfaches an Läufen.</w:t>
      </w:r>
    </w:p>
    <w:p>
      <w:r>
        <w:t xml:space="preserve">Die Grenzen und was beim Erreichen geschieht: </w:t>
      </w:r>
      <w:r>
        <w:rPr>
          <w:b/>
        </w:rPr>
        <w:t xml:space="preserve">100 Gebäude je Projekt</w:t>
      </w:r>
      <w:r>
        <w:t xml:space="preserve"> (hart, zwei feste Felder der Gebäudeschleife — wird im Bestandsschritt GB behoben); </w:t>
      </w:r>
      <w:r>
        <w:rPr>
          <w:b/>
        </w:rPr>
        <w:t xml:space="preserve">Importdateigröße</w:t>
      </w:r>
      <w:r>
        <w:t xml:space="preserve"> IFC 50 MB Windows und 20 MB iOS, gbXML 25 MB und 10 MB, benannte Ablehnung vor dem Lesen, die iOS-Zahlen sind zu messen; </w:t>
      </w:r>
      <w:r>
        <w:rPr>
          <w:b/>
        </w:rPr>
        <w:t xml:space="preserve">50 Zonen je Gebäude</w:t>
      </w:r>
      <w:r>
        <w:t xml:space="preserve"> als Vorgabe mit Warnung und Rückfrage im Import, darüber benannte Ablehnung in der Rechnung — die Zahl ist eine Setzung aus der Rechenzeit, kein Messergebnis; </w:t>
      </w:r>
      <w:r>
        <w:rPr>
          <w:b/>
        </w:rPr>
        <w:t xml:space="preserve">Durchläufe der Zonenkopplung je Stunde</w:t>
      </w:r>
      <w:r>
        <w:t xml:space="preserve"> hart begrenzt, mit Abbruch und Warnung, nie stillschweigender Übernahme eines nicht konvergierten Werts.</w:t>
      </w:r>
    </w:p>
    <w:p>
      <w:pPr>
        <w:pStyle w:val="Heading2"/>
      </w:pPr>
      <w:r>
        <w:t xml:space="preserve">2.8 Abwägungen</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Entscheidung</w:t>
            </w:r>
          </w:p>
        </w:tc>
        <w:tc>
          <w:tcPr>
            <w:tcW w:w="0" w:type="auto"/>
            <w:shd w:val="clear" w:color="auto" w:fill="D9D9D9"/>
          </w:tcPr>
          <w:p>
            <w:pPr>
              <w:spacing w:after="0" w:line="240" w:lineRule="auto"/>
              <w:rPr>
                <w:b/>
              </w:rPr>
            </w:pPr>
            <w:r>
              <w:rPr>
                <w:b/>
              </w:rPr>
              <w:t xml:space="preserve">Alternativen</w:t>
            </w:r>
          </w:p>
        </w:tc>
        <w:tc>
          <w:tcPr>
            <w:tcW w:w="0" w:type="auto"/>
            <w:shd w:val="clear" w:color="auto" w:fill="D9D9D9"/>
          </w:tcPr>
          <w:p>
            <w:pPr>
              <w:spacing w:after="0" w:line="240" w:lineRule="auto"/>
              <w:rPr>
                <w:b/>
              </w:rPr>
            </w:pPr>
            <w:r>
              <w:rPr>
                <w:b/>
              </w:rPr>
              <w:t xml:space="preserve">Grund für den gewählten Weg</w:t>
            </w:r>
          </w:p>
        </w:tc>
        <w:tc>
          <w:tcPr>
            <w:tcW w:w="0" w:type="auto"/>
            <w:shd w:val="clear" w:color="auto" w:fill="D9D9D9"/>
          </w:tcPr>
          <w:p>
            <w:pPr>
              <w:spacing w:after="0" w:line="240" w:lineRule="auto"/>
              <w:rPr>
                <w:b/>
              </w:rPr>
            </w:pPr>
            <w:r>
              <w:rPr>
                <w:b/>
              </w:rPr>
              <w:t xml:space="preserve">Entscheid</w:t>
            </w:r>
          </w:p>
        </w:tc>
      </w:tr>
      <w:tr>
        <w:tc>
          <w:tcPr>
            <w:tcW w:w="0" w:type="auto"/>
          </w:tcPr>
          <w:p>
            <w:pPr>
              <w:spacing w:after="0" w:line="240" w:lineRule="auto"/>
            </w:pPr>
            <w:r>
              <w:rPr>
                <w:b/>
              </w:rPr>
              <w:t xml:space="preserve">1</w:t>
            </w:r>
          </w:p>
        </w:tc>
        <w:tc>
          <w:tcPr>
            <w:tcW w:w="0" w:type="auto"/>
          </w:tcPr>
          <w:p>
            <w:pPr>
              <w:spacing w:after="0" w:line="240" w:lineRule="auto"/>
            </w:pPr>
            <w:r>
              <w:rPr>
                <w:b/>
              </w:rPr>
              <w:t xml:space="preserve">Stundenmodell als Vorgabemodell für alle Gebäude</w:t>
            </w:r>
          </w:p>
        </w:tc>
        <w:tc>
          <w:tcPr>
            <w:tcW w:w="0" w:type="auto"/>
          </w:tcPr>
          <w:p>
            <w:pPr>
              <w:spacing w:after="0" w:line="240" w:lineRule="auto"/>
            </w:pPr>
            <w:r>
              <w:t xml:space="preserve">(b) Tagesmodell bleibt Vorgabe; (c) Material übernehmen; (d) externe Simulationsmaschine</w:t>
            </w:r>
          </w:p>
        </w:tc>
        <w:tc>
          <w:tcPr>
            <w:tcW w:w="0" w:type="auto"/>
          </w:tcPr>
          <w:p>
            <w:pPr>
              <w:spacing w:after="0" w:line="240" w:lineRule="auto"/>
            </w:pPr>
            <w:r>
              <w:t xml:space="preserve">(b) hielte zwei Rechenwege, zwei Kennzahlensätze und zwei Wiki-Seiten dauerhaft; (c) baut auf einem belegten Strukturfehler und ungeklärter Lizenz; (d) bricht Plattformfreiheit und Laufzeitgröße</w:t>
            </w:r>
          </w:p>
        </w:tc>
        <w:tc>
          <w:tcPr>
            <w:tcW w:w="0" w:type="auto"/>
          </w:tcPr>
          <w:p>
            <w:pPr>
              <w:spacing w:after="0" w:line="240" w:lineRule="auto"/>
            </w:pPr>
            <w:r>
              <w:t xml:space="preserve">E1, </w:t>
            </w:r>
            <w:r>
              <w:rPr>
                <w:rFonts w:ascii="Consolas" w:hAnsi="Consolas" w:cs="Consolas"/>
                <w:noProof/>
                <w:sz w:val="20"/>
                <w:szCs w:val="20"/>
                <w:shd w:val="clear" w:color="auto" w:fill="EFEFEF"/>
              </w:rPr>
              <w:t xml:space="preserve">ADR-002</w:t>
            </w:r>
          </w:p>
        </w:tc>
      </w:tr>
      <w:tr>
        <w:tc>
          <w:tcPr>
            <w:tcW w:w="0" w:type="auto"/>
          </w:tcPr>
          <w:p>
            <w:pPr>
              <w:spacing w:after="0" w:line="240" w:lineRule="auto"/>
            </w:pPr>
            <w:r>
              <w:rPr>
                <w:b/>
              </w:rPr>
              <w:t xml:space="preserve">2</w:t>
            </w:r>
          </w:p>
        </w:tc>
        <w:tc>
          <w:tcPr>
            <w:tcW w:w="0" w:type="auto"/>
          </w:tcPr>
          <w:p>
            <w:pPr>
              <w:spacing w:after="0" w:line="240" w:lineRule="auto"/>
            </w:pPr>
            <w:r>
              <w:rPr>
                <w:b/>
              </w:rPr>
              <w:t xml:space="preserve">Eine Naht statt zweier Rechenwege</w:t>
            </w:r>
          </w:p>
        </w:tc>
        <w:tc>
          <w:tcPr>
            <w:tcW w:w="0" w:type="auto"/>
          </w:tcPr>
          <w:p>
            <w:pPr>
              <w:spacing w:after="0" w:line="240" w:lineRule="auto"/>
            </w:pPr>
            <w:r>
              <w:t xml:space="preserve">(b) zweiter Bedarfsweg; (c) Verzweigung beim Aufrufer</w:t>
            </w:r>
          </w:p>
        </w:tc>
        <w:tc>
          <w:tcPr>
            <w:tcW w:w="0" w:type="auto"/>
          </w:tcPr>
          <w:p>
            <w:pPr>
              <w:spacing w:after="0" w:line="240" w:lineRule="auto"/>
            </w:pPr>
            <w:r>
              <w:t xml:space="preserve">(b) verdoppelt Puffer, Kanal, Dauerlinie, Energieprobe; (c) verdoppelt sie an jedem Aufrufer — und es gibt zwei</w:t>
            </w:r>
          </w:p>
        </w:tc>
        <w:tc>
          <w:tcPr>
            <w:tcW w:w="0" w:type="auto"/>
          </w:tcPr>
          <w:p>
            <w:pPr>
              <w:spacing w:after="0" w:line="240" w:lineRule="auto"/>
            </w:pPr>
            <w:r>
              <w:rPr>
                <w:rFonts w:ascii="Consolas" w:hAnsi="Consolas" w:cs="Consolas"/>
                <w:noProof/>
                <w:sz w:val="20"/>
                <w:szCs w:val="20"/>
                <w:shd w:val="clear" w:color="auto" w:fill="EFEFEF"/>
              </w:rPr>
              <w:t xml:space="preserve">ADR-002</w:t>
            </w:r>
          </w:p>
        </w:tc>
      </w:tr>
      <w:tr>
        <w:tc>
          <w:tcPr>
            <w:tcW w:w="0" w:type="auto"/>
          </w:tcPr>
          <w:p>
            <w:pPr>
              <w:spacing w:after="0" w:line="240" w:lineRule="auto"/>
            </w:pPr>
            <w:r>
              <w:rPr>
                <w:b/>
              </w:rPr>
              <w:t xml:space="preserve">3</w:t>
            </w:r>
          </w:p>
        </w:tc>
        <w:tc>
          <w:tcPr>
            <w:tcW w:w="0" w:type="auto"/>
          </w:tcPr>
          <w:p>
            <w:pPr>
              <w:spacing w:after="0" w:line="240" w:lineRule="auto"/>
            </w:pPr>
            <w:r>
              <w:rPr>
                <w:b/>
              </w:rPr>
              <w:t xml:space="preserve">xBIM im Speichermodell, am Kern gebunden, aber hinter einer Naht</w:t>
            </w:r>
          </w:p>
        </w:tc>
        <w:tc>
          <w:tcPr>
            <w:tcW w:w="0" w:type="auto"/>
          </w:tcPr>
          <w:p>
            <w:pPr>
              <w:spacing w:after="0" w:line="240" w:lineRule="auto"/>
            </w:pPr>
            <w:r>
              <w:t xml:space="preserve">(b) sofort eigenes Projekt mit Fabrik; (c) ohne Naht binden</w:t>
            </w:r>
          </w:p>
        </w:tc>
        <w:tc>
          <w:tcPr>
            <w:tcW w:w="0" w:type="auto"/>
          </w:tcPr>
          <w:p>
            <w:pPr>
              <w:spacing w:after="0" w:line="240" w:lineRule="auto"/>
            </w:pPr>
            <w:r>
              <w:t xml:space="preserve">(b) nähme iOS den Import von vornherein; (c) macht jeden späteren Umzug zum Umbau</w:t>
            </w:r>
          </w:p>
        </w:tc>
        <w:tc>
          <w:tcPr>
            <w:tcW w:w="0" w:type="auto"/>
          </w:tcPr>
          <w:p>
            <w:pPr>
              <w:spacing w:after="0" w:line="240" w:lineRule="auto"/>
            </w:pPr>
            <w:r>
              <w:t xml:space="preserve">E3, </w:t>
            </w:r>
            <w:r>
              <w:rPr>
                <w:rFonts w:ascii="Consolas" w:hAnsi="Consolas" w:cs="Consolas"/>
                <w:noProof/>
                <w:sz w:val="20"/>
                <w:szCs w:val="20"/>
                <w:shd w:val="clear" w:color="auto" w:fill="EFEFEF"/>
              </w:rPr>
              <w:t xml:space="preserve">ADR-003</w:t>
            </w:r>
          </w:p>
        </w:tc>
      </w:tr>
      <w:tr>
        <w:tc>
          <w:tcPr>
            <w:tcW w:w="0" w:type="auto"/>
          </w:tcPr>
          <w:p>
            <w:pPr>
              <w:spacing w:after="0" w:line="240" w:lineRule="auto"/>
            </w:pPr>
            <w:r>
              <w:rPr>
                <w:b/>
              </w:rPr>
              <w:t xml:space="preserve">4</w:t>
            </w:r>
          </w:p>
        </w:tc>
        <w:tc>
          <w:tcPr>
            <w:tcW w:w="0" w:type="auto"/>
          </w:tcPr>
          <w:p>
            <w:pPr>
              <w:spacing w:after="0" w:line="240" w:lineRule="auto"/>
            </w:pPr>
            <w:r>
              <w:rPr>
                <w:b/>
              </w:rPr>
              <w:t xml:space="preserve">gbXML über einen handgeschriebenen Leseweg</w:t>
            </w:r>
          </w:p>
        </w:tc>
        <w:tc>
          <w:tcPr>
            <w:tcW w:w="0" w:type="auto"/>
          </w:tcPr>
          <w:p>
            <w:pPr>
              <w:spacing w:after="0" w:line="240" w:lineRule="auto"/>
            </w:pPr>
            <w:r>
              <w:t xml:space="preserve">(b) erzeugtes Modell mit Serialisierer; (c) Fremdbibliothek</w:t>
            </w:r>
          </w:p>
        </w:tc>
        <w:tc>
          <w:tcPr>
            <w:tcW w:w="0" w:type="auto"/>
          </w:tcPr>
          <w:p>
            <w:pPr>
              <w:spacing w:after="0" w:line="240" w:lineRule="auto"/>
            </w:pPr>
            <w:r>
              <w:t xml:space="preserve">(b) liefert Kindinhalte als typlose Felder und erzeugt Laufzeitcode, den iOS nicht trägt; (c) gibt es für .NET nicht</w:t>
            </w:r>
          </w:p>
        </w:tc>
        <w:tc>
          <w:tcPr>
            <w:tcW w:w="0" w:type="auto"/>
          </w:tcPr>
          <w:p>
            <w:pPr>
              <w:spacing w:after="0" w:line="240" w:lineRule="auto"/>
            </w:pPr>
            <w:r>
              <w:rPr>
                <w:rFonts w:ascii="Consolas" w:hAnsi="Consolas" w:cs="Consolas"/>
                <w:noProof/>
                <w:sz w:val="20"/>
                <w:szCs w:val="20"/>
                <w:shd w:val="clear" w:color="auto" w:fill="EFEFEF"/>
              </w:rPr>
              <w:t xml:space="preserve">ADR-004</w:t>
            </w:r>
            <w:r>
              <w:t xml:space="preserve">, vorgeschlagen</w:t>
            </w:r>
          </w:p>
        </w:tc>
      </w:tr>
      <w:tr>
        <w:tc>
          <w:tcPr>
            <w:tcW w:w="0" w:type="auto"/>
          </w:tcPr>
          <w:p>
            <w:pPr>
              <w:spacing w:after="0" w:line="240" w:lineRule="auto"/>
            </w:pPr>
            <w:r>
              <w:rPr>
                <w:b/>
              </w:rPr>
              <w:t xml:space="preserve">5</w:t>
            </w:r>
          </w:p>
        </w:tc>
        <w:tc>
          <w:tcPr>
            <w:tcW w:w="0" w:type="auto"/>
          </w:tcPr>
          <w:p>
            <w:pPr>
              <w:spacing w:after="0" w:line="240" w:lineRule="auto"/>
            </w:pPr>
            <w:r>
              <w:rPr>
                <w:b/>
              </w:rPr>
              <w:t xml:space="preserve">Zonenkopplung über die Nachbarraum-Randbedingung, iterativ je Stunde</w:t>
            </w:r>
          </w:p>
        </w:tc>
        <w:tc>
          <w:tcPr>
            <w:tcW w:w="0" w:type="auto"/>
          </w:tcPr>
          <w:p>
            <w:pPr>
              <w:spacing w:after="0" w:line="240" w:lineRule="auto"/>
            </w:pPr>
            <w:r>
              <w:t xml:space="preserve">(b) Kopplung über die Vorstunde; (c) Gesamtsystem über alle Zonen</w:t>
            </w:r>
          </w:p>
        </w:tc>
        <w:tc>
          <w:tcPr>
            <w:tcW w:w="0" w:type="auto"/>
          </w:tcPr>
          <w:p>
            <w:pPr>
              <w:spacing w:after="0" w:line="240" w:lineRule="auto"/>
            </w:pPr>
            <w:r>
              <w:t xml:space="preserve">(b) trägt den Luftaustausch zwischen Zonen nicht; (c) ist exakt, aber teuer genau dort, wo je Stunde das Regelungsmuster festgehalten wird</w:t>
            </w:r>
          </w:p>
        </w:tc>
        <w:tc>
          <w:tcPr>
            <w:tcW w:w="0" w:type="auto"/>
          </w:tcPr>
          <w:p>
            <w:pPr>
              <w:spacing w:after="0" w:line="240" w:lineRule="auto"/>
            </w:pPr>
            <w:r>
              <w:rPr>
                <w:rFonts w:ascii="Consolas" w:hAnsi="Consolas" w:cs="Consolas"/>
                <w:noProof/>
                <w:sz w:val="20"/>
                <w:szCs w:val="20"/>
                <w:shd w:val="clear" w:color="auto" w:fill="EFEFEF"/>
              </w:rPr>
              <w:t xml:space="preserve">ADR-005</w:t>
            </w:r>
            <w:r>
              <w:t xml:space="preserve">, vorgeschlagen</w:t>
            </w:r>
          </w:p>
        </w:tc>
      </w:tr>
      <w:tr>
        <w:tc>
          <w:tcPr>
            <w:tcW w:w="0" w:type="auto"/>
          </w:tcPr>
          <w:p>
            <w:pPr>
              <w:spacing w:after="0" w:line="240" w:lineRule="auto"/>
            </w:pPr>
            <w:r>
              <w:rPr>
                <w:b/>
              </w:rPr>
              <w:t xml:space="preserve">6</w:t>
            </w:r>
          </w:p>
        </w:tc>
        <w:tc>
          <w:tcPr>
            <w:tcW w:w="0" w:type="auto"/>
          </w:tcPr>
          <w:p>
            <w:pPr>
              <w:spacing w:after="0" w:line="240" w:lineRule="auto"/>
            </w:pPr>
            <w:r>
              <w:rPr>
                <w:b/>
              </w:rPr>
              <w:t xml:space="preserve">Schema über nummerierte Schritte, eine Quelle je Tabellenfamilie</w:t>
            </w:r>
          </w:p>
        </w:tc>
        <w:tc>
          <w:tcPr>
            <w:tcW w:w="0" w:type="auto"/>
          </w:tcPr>
          <w:p>
            <w:pPr>
              <w:spacing w:after="0" w:line="240" w:lineRule="auto"/>
            </w:pPr>
            <w:r>
              <w:t xml:space="preserve">(b) tolerante Migration beim Start; (c) Schema aus dem Grundskript nachziehen</w:t>
            </w:r>
          </w:p>
        </w:tc>
        <w:tc>
          <w:tcPr>
            <w:tcW w:w="0" w:type="auto"/>
          </w:tcPr>
          <w:p>
            <w:pPr>
              <w:spacing w:after="0" w:line="240" w:lineRule="auto"/>
            </w:pPr>
            <w:r>
              <w:t xml:space="preserve">(b) ist im Bestand ausdrücklich kein Muster; (c) erzeugte zwei Quellen derselben Definition</w:t>
            </w:r>
          </w:p>
        </w:tc>
        <w:tc>
          <w:tcPr>
            <w:tcW w:w="0" w:type="auto"/>
          </w:tcPr>
          <w:p>
            <w:pPr>
              <w:spacing w:after="0" w:line="240" w:lineRule="auto"/>
            </w:pPr>
            <w:r>
              <w:rPr>
                <w:rFonts w:ascii="Consolas" w:hAnsi="Consolas" w:cs="Consolas"/>
                <w:noProof/>
                <w:sz w:val="20"/>
                <w:szCs w:val="20"/>
                <w:shd w:val="clear" w:color="auto" w:fill="EFEFEF"/>
              </w:rPr>
              <w:t xml:space="preserve">ADR-001</w:t>
            </w:r>
          </w:p>
        </w:tc>
      </w:tr>
      <w:tr>
        <w:tc>
          <w:tcPr>
            <w:tcW w:w="0" w:type="auto"/>
          </w:tcPr>
          <w:p>
            <w:pPr>
              <w:spacing w:after="0" w:line="240" w:lineRule="auto"/>
            </w:pPr>
            <w:r>
              <w:rPr>
                <w:b/>
              </w:rPr>
              <w:t xml:space="preserve">7</w:t>
            </w:r>
          </w:p>
        </w:tc>
        <w:tc>
          <w:tcPr>
            <w:tcW w:w="0" w:type="auto"/>
          </w:tcPr>
          <w:p>
            <w:pPr>
              <w:spacing w:after="0" w:line="240" w:lineRule="auto"/>
            </w:pPr>
            <w:r>
              <w:rPr>
                <w:b/>
              </w:rPr>
              <w:t xml:space="preserve">Ergebnisreihen als CSV des Laufs, nicht als Tabelle</w:t>
            </w:r>
          </w:p>
        </w:tc>
        <w:tc>
          <w:tcPr>
            <w:tcW w:w="0" w:type="auto"/>
          </w:tcPr>
          <w:p>
            <w:pPr>
              <w:spacing w:after="0" w:line="240" w:lineRule="auto"/>
            </w:pPr>
            <w:r>
              <w:t xml:space="preserve">(b) Stundenreihen je Zone persistieren; (c) verdichtet ablegen</w:t>
            </w:r>
          </w:p>
        </w:tc>
        <w:tc>
          <w:tcPr>
            <w:tcW w:w="0" w:type="auto"/>
          </w:tcPr>
          <w:p>
            <w:pPr>
              <w:spacing w:after="0" w:line="240" w:lineRule="auto"/>
            </w:pPr>
            <w:r>
              <w:t xml:space="preserve">(b) kostet 5,3 Mio. Zeilen und 150 MB je Lauf; (c) verliert genau das, was der Vergleich braucht</w:t>
            </w:r>
          </w:p>
        </w:tc>
        <w:tc>
          <w:tcPr>
            <w:tcW w:w="0" w:type="auto"/>
          </w:tcPr>
          <w:p>
            <w:pPr>
              <w:spacing w:after="0" w:line="240" w:lineRule="auto"/>
            </w:pPr>
            <w:r>
              <w:t xml:space="preserve">Befund V</w:t>
            </w:r>
          </w:p>
        </w:tc>
      </w:tr>
      <w:tr>
        <w:tc>
          <w:tcPr>
            <w:tcW w:w="0" w:type="auto"/>
          </w:tcPr>
          <w:p>
            <w:pPr>
              <w:spacing w:after="0" w:line="240" w:lineRule="auto"/>
            </w:pPr>
            <w:r>
              <w:rPr>
                <w:b/>
              </w:rPr>
              <w:t xml:space="preserve">8</w:t>
            </w:r>
          </w:p>
        </w:tc>
        <w:tc>
          <w:tcPr>
            <w:tcW w:w="0" w:type="auto"/>
          </w:tcPr>
          <w:p>
            <w:pPr>
              <w:spacing w:after="0" w:line="240" w:lineRule="auto"/>
            </w:pPr>
            <w:r>
              <w:rPr>
                <w:b/>
              </w:rPr>
              <w:t xml:space="preserve">Ein Zuordnungsgerüst für beide Formate</w:t>
            </w:r>
          </w:p>
        </w:tc>
        <w:tc>
          <w:tcPr>
            <w:tcW w:w="0" w:type="auto"/>
          </w:tcPr>
          <w:p>
            <w:pPr>
              <w:spacing w:after="0" w:line="240" w:lineRule="auto"/>
            </w:pPr>
            <w:r>
              <w:t xml:space="preserve">(b) zwei getrennte Importprogramme</w:t>
            </w:r>
          </w:p>
        </w:tc>
        <w:tc>
          <w:tcPr>
            <w:tcW w:w="0" w:type="auto"/>
          </w:tcPr>
          <w:p>
            <w:pPr>
              <w:spacing w:after="0" w:line="240" w:lineRule="auto"/>
            </w:pPr>
            <w:r>
              <w:t xml:space="preserve">(b) macht jede Änderung an Zuordnung, Fortschritt, Ablehnung und Sammelmeldung zweimal nötig</w:t>
            </w:r>
          </w:p>
        </w:tc>
        <w:tc>
          <w:tcPr>
            <w:tcW w:w="0" w:type="auto"/>
          </w:tcPr>
          <w:p>
            <w:pPr>
              <w:spacing w:after="0" w:line="240" w:lineRule="auto"/>
            </w:pPr>
            <w:r>
              <w:t xml:space="preserve">Datenaustausch 2.1</w:t>
            </w:r>
          </w:p>
        </w:tc>
      </w:tr>
      <w:tr>
        <w:tc>
          <w:tcPr>
            <w:tcW w:w="0" w:type="auto"/>
          </w:tcPr>
          <w:p>
            <w:pPr>
              <w:spacing w:after="0" w:line="240" w:lineRule="auto"/>
            </w:pPr>
            <w:r>
              <w:rPr>
                <w:b/>
              </w:rPr>
              <w:t xml:space="preserve">9</w:t>
            </w:r>
          </w:p>
        </w:tc>
        <w:tc>
          <w:tcPr>
            <w:tcW w:w="0" w:type="auto"/>
          </w:tcPr>
          <w:p>
            <w:pPr>
              <w:spacing w:after="0" w:line="240" w:lineRule="auto"/>
            </w:pPr>
            <w:r>
              <w:rPr>
                <w:b/>
              </w:rPr>
              <w:t xml:space="preserve">Zonen entstehen erst nach ausdrücklicher Übernahme, nie implizit</w:t>
            </w:r>
          </w:p>
        </w:tc>
        <w:tc>
          <w:tcPr>
            <w:tcW w:w="0" w:type="auto"/>
          </w:tcPr>
          <w:p>
            <w:pPr>
              <w:spacing w:after="0" w:line="240" w:lineRule="auto"/>
            </w:pPr>
            <w:r>
              <w:t xml:space="preserve">(b) je Gebäude beim Anlegen eine Zone erzeugen</w:t>
            </w:r>
          </w:p>
        </w:tc>
        <w:tc>
          <w:tcPr>
            <w:tcW w:w="0" w:type="auto"/>
          </w:tcPr>
          <w:p>
            <w:pPr>
              <w:spacing w:after="0" w:line="240" w:lineRule="auto"/>
            </w:pPr>
            <w:r>
              <w:t xml:space="preserve">(b) schaltete jedes Bestandsgebäude ungefragt auf den Bauteilweg</w:t>
            </w:r>
          </w:p>
        </w:tc>
        <w:tc>
          <w:tcPr>
            <w:tcW w:w="0" w:type="auto"/>
          </w:tcPr>
          <w:p>
            <w:pPr>
              <w:spacing w:after="0" w:line="240" w:lineRule="auto"/>
            </w:pPr>
            <w:r>
              <w:t xml:space="preserve">Mehrzonenkonzept 1.2</w:t>
            </w:r>
          </w:p>
        </w:tc>
      </w:tr>
      <w:tr>
        <w:tc>
          <w:tcPr>
            <w:tcW w:w="0" w:type="auto"/>
          </w:tcPr>
          <w:p>
            <w:pPr>
              <w:spacing w:after="0" w:line="240" w:lineRule="auto"/>
            </w:pPr>
            <w:r>
              <w:rPr>
                <w:b/>
              </w:rPr>
              <w:t xml:space="preserve">10</w:t>
            </w:r>
          </w:p>
        </w:tc>
        <w:tc>
          <w:tcPr>
            <w:tcW w:w="0" w:type="auto"/>
          </w:tcPr>
          <w:p>
            <w:pPr>
              <w:spacing w:after="0" w:line="240" w:lineRule="auto"/>
            </w:pPr>
            <w:r>
              <w:rPr>
                <w:b/>
              </w:rPr>
              <w:t xml:space="preserve">Der Kühlbedarf ist eine Reihe, kein Kanal</w:t>
            </w:r>
          </w:p>
        </w:tc>
        <w:tc>
          <w:tcPr>
            <w:tcW w:w="0" w:type="auto"/>
          </w:tcPr>
          <w:p>
            <w:pPr>
              <w:spacing w:after="0" w:line="240" w:lineRule="auto"/>
            </w:pPr>
            <w:r>
              <w:t xml:space="preserve">(b) vierter Kanal</w:t>
            </w:r>
          </w:p>
        </w:tc>
        <w:tc>
          <w:tcPr>
            <w:tcW w:w="0" w:type="auto"/>
          </w:tcPr>
          <w:p>
            <w:pPr>
              <w:spacing w:after="0" w:line="240" w:lineRule="auto"/>
            </w:pPr>
            <w:r>
              <w:t xml:space="preserve">(b) zöge Erzeuger, Speicher, Wirtschaftlichkeit und Bericht mit — ein eigenes Vorhaben</w:t>
            </w:r>
          </w:p>
        </w:tc>
        <w:tc>
          <w:tcPr>
            <w:tcW w:w="0" w:type="auto"/>
          </w:tcPr>
          <w:p>
            <w:pPr>
              <w:spacing w:after="0" w:line="240" w:lineRule="auto"/>
            </w:pPr>
            <w:r>
              <w:t xml:space="preserve">Konzept 15, B9</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Dokumentation/aktuell/Systementwurf_Gebaeudesimulation_EPOS-Plan.md</w:t>
      </w:r>
      <w:r>
        <w:t xml:space="preserve"> (Kapitel 0 bis 12; Anforderungen in 1, Bilder in 2 und 3, Speicherung in 5, Leistung in 7, Abwägungen in 10).</w:t>
      </w:r>
    </w:p>
    <w:p>
      <w:pPr>
        <w:pStyle w:val="Trennlinie"/>
      </w:pPr>
    </w:p>
    <w:p>
      <w:pPr>
        <w:pStyle w:val="Heading1"/>
      </w:pPr>
      <w:r>
        <w:t xml:space="preserve">3 Softwarearchitektur</w:t>
      </w:r>
    </w:p>
    <w:p>
      <w:pPr>
        <w:pStyle w:val="Quote"/>
      </w:pPr>
      <w:r>
        <w:t xml:space="preserve">Auch dieses Kapitel steht auf einem </w:t>
      </w:r>
      <w:r>
        <w:rPr>
          <w:b/>
        </w:rPr>
        <w:t xml:space="preserve">Entwurf Rev. 1</w:t>
      </w:r>
      <w:r>
        <w:t xml:space="preserve">. Klassennamen und Zählungen sind Vorschläge des Architekturpapiers; wo sie von den Konzeptpapieren abweichen, steht der Vermerk.</w:t>
      </w:r>
    </w:p>
    <w:p>
      <w:pPr>
        <w:pStyle w:val="Heading2"/>
      </w:pPr>
      <w:r>
        <w:t xml:space="preserve">3.1 Schichten und Abhängigkeitsregel</w:t>
      </w:r>
    </w:p>
    <w:p>
      <w:r>
        <w:t xml:space="preserve">Die Richtung jeder Kante bleibt, wie sie ist: </w:t>
      </w:r>
      <w:r>
        <w:rPr>
          <w:b/>
        </w:rPr>
        <w:t xml:space="preserve">der Kern kennt keine Oberfläche, die Oberfläche keine Datenbank, die Hüllen kennen beide, die zwei Schalen kennen alles.</w:t>
      </w:r>
      <w:r>
        <w:t xml:space="preserve"> </w:t>
      </w:r>
      <w:r>
        <w:rPr>
          <w:rFonts w:ascii="Consolas" w:hAnsi="Consolas" w:cs="Consolas"/>
          <w:noProof/>
          <w:sz w:val="20"/>
          <w:szCs w:val="20"/>
          <w:shd w:val="clear" w:color="auto" w:fill="EFEFEF"/>
        </w:rPr>
        <w:t xml:space="preserve">EnableWindowsTargeting=false</w:t>
      </w:r>
      <w:r>
        <w:t xml:space="preserve"> in </w:t>
      </w:r>
      <w:r>
        <w:rPr>
          <w:b/>
        </w:rPr>
        <w:t xml:space="preserve">sechs</w:t>
      </w:r>
      <w:r>
        <w:t xml:space="preserve"> Projektdateien macht einen Rückwärtsbezug zum Übersetzungsfehler statt zum Laufzeitfehler auf dem iPad — die einzige Schranke, die vor dem Bau greift: in den vier Auslieferungsprojekten </w:t>
      </w:r>
      <w:r>
        <w:rPr>
          <w:rFonts w:ascii="Consolas" w:hAnsi="Consolas" w:cs="Consolas"/>
          <w:noProof/>
          <w:sz w:val="20"/>
          <w:szCs w:val="20"/>
          <w:shd w:val="clear" w:color="auto" w:fill="EFEFEF"/>
        </w:rPr>
        <w:t xml:space="preserve">EPOS.Kern</w:t>
      </w:r>
      <w:r>
        <w:t xml:space="preserve">, </w:t>
      </w:r>
      <w:r>
        <w:rPr>
          <w:rFonts w:ascii="Consolas" w:hAnsi="Consolas" w:cs="Consolas"/>
          <w:noProof/>
          <w:sz w:val="20"/>
          <w:szCs w:val="20"/>
          <w:shd w:val="clear" w:color="auto" w:fill="EFEFEF"/>
        </w:rPr>
        <w:t xml:space="preserve">EPOS.UI</w:t>
      </w:r>
      <w:r>
        <w:t xml:space="preserve">, </w:t>
      </w:r>
      <w:r>
        <w:rPr>
          <w:rFonts w:ascii="Consolas" w:hAnsi="Consolas" w:cs="Consolas"/>
          <w:noProof/>
          <w:sz w:val="20"/>
          <w:szCs w:val="20"/>
          <w:shd w:val="clear" w:color="auto" w:fill="EFEFEF"/>
        </w:rPr>
        <w:t xml:space="preserve">EPOS.UI.Daten</w:t>
      </w:r>
      <w:r>
        <w:t xml:space="preserve"> und </w:t>
      </w:r>
      <w:r>
        <w:rPr>
          <w:rFonts w:ascii="Consolas" w:hAnsi="Consolas" w:cs="Consolas"/>
          <w:noProof/>
          <w:sz w:val="20"/>
          <w:szCs w:val="20"/>
          <w:shd w:val="clear" w:color="auto" w:fill="EFEFEF"/>
        </w:rPr>
        <w:t xml:space="preserve">EPOS.Referenzlauf</w:t>
      </w:r>
      <w:r>
        <w:t xml:space="preserve"> und in den zwei Prüfständen </w:t>
      </w:r>
      <w:r>
        <w:rPr>
          <w:rFonts w:ascii="Consolas" w:hAnsi="Consolas" w:cs="Consolas"/>
          <w:noProof/>
          <w:sz w:val="20"/>
          <w:szCs w:val="20"/>
          <w:shd w:val="clear" w:color="auto" w:fill="EFEFEF"/>
        </w:rPr>
        <w:t xml:space="preserve">Proben/ChartProben</w:t>
      </w:r>
      <w:r>
        <w:t xml:space="preserve"> und </w:t>
      </w:r>
      <w:r>
        <w:rPr>
          <w:rFonts w:ascii="Consolas" w:hAnsi="Consolas" w:cs="Consolas"/>
          <w:noProof/>
          <w:sz w:val="20"/>
          <w:szCs w:val="20"/>
          <w:shd w:val="clear" w:color="auto" w:fill="EFEFEF"/>
        </w:rPr>
        <w:t xml:space="preserve">Proben/ErststartProben</w:t>
      </w:r>
      <w:r>
        <w:t xml:space="preserv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Projekt</w:t>
            </w:r>
          </w:p>
        </w:tc>
        <w:tc>
          <w:tcPr>
            <w:tcW w:w="0" w:type="auto"/>
            <w:shd w:val="clear" w:color="auto" w:fill="D9D9D9"/>
          </w:tcPr>
          <w:p>
            <w:pPr>
              <w:spacing w:after="0" w:line="240" w:lineRule="auto"/>
              <w:rPr>
                <w:b/>
              </w:rPr>
            </w:pPr>
            <w:r>
              <w:rPr>
                <w:b/>
              </w:rPr>
              <w:t xml:space="preserve">Was die Gebäudesimulation dort ablegt</w:t>
            </w:r>
          </w:p>
        </w:tc>
        <w:tc>
          <w:tcPr>
            <w:tcW w:w="0" w:type="auto"/>
            <w:shd w:val="clear" w:color="auto" w:fill="D9D9D9"/>
          </w:tcPr>
          <w:p>
            <w:pPr>
              <w:spacing w:after="0" w:line="240" w:lineRule="auto"/>
              <w:rPr>
                <w:b/>
              </w:rPr>
            </w:pPr>
            <w:r>
              <w:rPr>
                <w:b/>
              </w:rPr>
              <w:t xml:space="preserve">Was dort </w:t>
            </w:r>
            <w:r>
              <w:rPr>
                <w:b/>
              </w:rPr>
              <w:t xml:space="preserve">nicht</w:t>
            </w:r>
            <w:r>
              <w:rPr>
                <w:b/>
              </w:rPr>
              <w:t xml:space="preserve"> liegen darf</w:t>
            </w:r>
          </w:p>
        </w:tc>
      </w:tr>
      <w:tr>
        <w:tc>
          <w:tcPr>
            <w:tcW w:w="0" w:type="auto"/>
          </w:tcPr>
          <w:p>
            <w:pPr>
              <w:spacing w:after="0" w:line="240" w:lineRule="auto"/>
            </w:pPr>
            <w:r>
              <w:rPr>
                <w:rFonts w:ascii="Consolas" w:hAnsi="Consolas" w:cs="Consolas"/>
                <w:noProof/>
                <w:sz w:val="20"/>
                <w:szCs w:val="20"/>
                <w:shd w:val="clear" w:color="auto" w:fill="EFEFEF"/>
              </w:rPr>
              <w:t xml:space="preserve">EPOS.Kern</w:t>
            </w:r>
          </w:p>
        </w:tc>
        <w:tc>
          <w:tcPr>
            <w:tcW w:w="0" w:type="auto"/>
          </w:tcPr>
          <w:p>
            <w:pPr>
              <w:spacing w:after="0" w:line="240" w:lineRule="auto"/>
            </w:pPr>
            <w:r>
              <w:t xml:space="preserve">Löser, Ersatzparameter, Eingang, Ergebnis, Prüfungen, Zonenkopplung; Schema-Klassen; Leser und Schreiber beider Formate; vier neue Controller samt Modellen; Ressourcenschlüssel</w:t>
            </w:r>
          </w:p>
        </w:tc>
        <w:tc>
          <w:tcPr>
            <w:tcW w:w="0" w:type="auto"/>
          </w:tcPr>
          <w:p>
            <w:pPr>
              <w:spacing w:after="0" w:line="240" w:lineRule="auto"/>
            </w:pPr>
            <w:r>
              <w:rPr>
                <w:rFonts w:ascii="Consolas" w:hAnsi="Consolas" w:cs="Consolas"/>
                <w:noProof/>
                <w:sz w:val="20"/>
                <w:szCs w:val="20"/>
                <w:shd w:val="clear" w:color="auto" w:fill="EFEFEF"/>
              </w:rPr>
              <w:t xml:space="preserve">MessageBox</w:t>
            </w:r>
            <w:r>
              <w:t xml:space="preserve">, </w:t>
            </w:r>
            <w:r>
              <w:rPr>
                <w:rFonts w:ascii="Consolas" w:hAnsi="Consolas" w:cs="Consolas"/>
                <w:noProof/>
                <w:sz w:val="20"/>
                <w:szCs w:val="20"/>
                <w:shd w:val="clear" w:color="auto" w:fill="EFEFEF"/>
              </w:rPr>
              <w:t xml:space="preserve">Registry</w:t>
            </w:r>
            <w:r>
              <w:t xml:space="preserve">, </w:t>
            </w:r>
            <w:r>
              <w:rPr>
                <w:rFonts w:ascii="Consolas" w:hAnsi="Consolas" w:cs="Consolas"/>
                <w:noProof/>
                <w:sz w:val="20"/>
                <w:szCs w:val="20"/>
                <w:shd w:val="clear" w:color="auto" w:fill="EFEFEF"/>
              </w:rPr>
              <w:t xml:space="preserve">Program.*</w:t>
            </w:r>
            <w:r>
              <w:t xml:space="preserve">, WinForms, </w:t>
            </w:r>
            <w:r>
              <w:rPr>
                <w:rFonts w:ascii="Consolas" w:hAnsi="Consolas" w:cs="Consolas"/>
                <w:noProof/>
                <w:sz w:val="20"/>
                <w:szCs w:val="20"/>
                <w:shd w:val="clear" w:color="auto" w:fill="EFEFEF"/>
              </w:rPr>
              <w:t xml:space="preserve">OleDb</w:t>
            </w:r>
            <w:r>
              <w:t xml:space="preserve">, zusammengesetzter SQL-Text</w:t>
            </w:r>
          </w:p>
        </w:tc>
      </w:tr>
      <w:tr>
        <w:tc>
          <w:tcPr>
            <w:tcW w:w="0" w:type="auto"/>
          </w:tcPr>
          <w:p>
            <w:pPr>
              <w:spacing w:after="0" w:line="240" w:lineRule="auto"/>
            </w:pPr>
            <w:r>
              <w:rPr>
                <w:rFonts w:ascii="Consolas" w:hAnsi="Consolas" w:cs="Consolas"/>
                <w:noProof/>
                <w:sz w:val="20"/>
                <w:szCs w:val="20"/>
                <w:shd w:val="clear" w:color="auto" w:fill="EFEFEF"/>
              </w:rPr>
              <w:t xml:space="preserve">EPOS.UI</w:t>
            </w:r>
          </w:p>
        </w:tc>
        <w:tc>
          <w:tcPr>
            <w:tcW w:w="0" w:type="auto"/>
          </w:tcPr>
          <w:p>
            <w:pPr>
              <w:spacing w:after="0" w:line="240" w:lineRule="auto"/>
            </w:pPr>
            <w:r>
              <w:rPr>
                <w:b/>
              </w:rPr>
              <w:t xml:space="preserve">sechs</w:t>
            </w:r>
            <w:r>
              <w:t xml:space="preserve"> neue Razor-Komponenten samt </w:t>
            </w:r>
            <w:r>
              <w:rPr>
                <w:rFonts w:ascii="Consolas" w:hAnsi="Consolas" w:cs="Consolas"/>
                <w:noProof/>
                <w:sz w:val="20"/>
                <w:szCs w:val="20"/>
                <w:shd w:val="clear" w:color="auto" w:fill="EFEFEF"/>
              </w:rPr>
              <w:t xml:space="preserve">*Daten.cs</w:t>
            </w:r>
            <w:r>
              <w:t xml:space="preserve"> und </w:t>
            </w:r>
            <w:r>
              <w:rPr>
                <w:rFonts w:ascii="Consolas" w:hAnsi="Consolas" w:cs="Consolas"/>
                <w:noProof/>
                <w:sz w:val="20"/>
                <w:szCs w:val="20"/>
                <w:shd w:val="clear" w:color="auto" w:fill="EFEFEF"/>
              </w:rPr>
              <w:t xml:space="preserve">*Texte</w:t>
            </w:r>
            <w:r>
              <w:t xml:space="preserve">, dazu </w:t>
            </w:r>
            <w:r>
              <w:rPr>
                <w:rFonts w:ascii="Consolas" w:hAnsi="Consolas" w:cs="Consolas"/>
                <w:noProof/>
                <w:sz w:val="20"/>
                <w:szCs w:val="20"/>
                <w:shd w:val="clear" w:color="auto" w:fill="EFEFEF"/>
              </w:rPr>
              <w:t xml:space="preserve">GebaeudeAnsicht.razor</w:t>
            </w:r>
            <w:r>
              <w:t xml:space="preserve">; zwei Menüzeilen; Maskenschlüssel; </w:t>
            </w:r>
            <w:r>
              <w:rPr>
                <w:rFonts w:ascii="Consolas" w:hAnsi="Consolas" w:cs="Consolas"/>
                <w:noProof/>
                <w:sz w:val="20"/>
                <w:szCs w:val="20"/>
                <w:shd w:val="clear" w:color="auto" w:fill="EFEFEF"/>
              </w:rPr>
              <w:t xml:space="preserve">three.js</w:t>
            </w:r>
            <w:r>
              <w:t xml:space="preserve"> lokal unter </w:t>
            </w:r>
            <w:r>
              <w:rPr>
                <w:rFonts w:ascii="Consolas" w:hAnsi="Consolas" w:cs="Consolas"/>
                <w:noProof/>
                <w:sz w:val="20"/>
                <w:szCs w:val="20"/>
                <w:shd w:val="clear" w:color="auto" w:fill="EFEFEF"/>
              </w:rPr>
              <w:t xml:space="preserve">wwwroot</w:t>
            </w:r>
          </w:p>
        </w:tc>
        <w:tc>
          <w:tcPr>
            <w:tcW w:w="0" w:type="auto"/>
          </w:tcPr>
          <w:p>
            <w:pPr>
              <w:spacing w:after="0" w:line="240" w:lineRule="auto"/>
            </w:pPr>
            <w:r>
              <w:rPr>
                <w:rFonts w:ascii="Consolas" w:hAnsi="Consolas" w:cs="Consolas"/>
                <w:noProof/>
                <w:sz w:val="20"/>
                <w:szCs w:val="20"/>
                <w:shd w:val="clear" w:color="auto" w:fill="EFEFEF"/>
              </w:rPr>
              <w:t xml:space="preserve">DataRepository</w:t>
            </w:r>
            <w:r>
              <w:t xml:space="preserve">, </w:t>
            </w:r>
            <w:r>
              <w:rPr>
                <w:rFonts w:ascii="Consolas" w:hAnsi="Consolas" w:cs="Consolas"/>
                <w:noProof/>
                <w:sz w:val="20"/>
                <w:szCs w:val="20"/>
                <w:shd w:val="clear" w:color="auto" w:fill="EFEFEF"/>
              </w:rPr>
              <w:t xml:space="preserve">DbParam</w:t>
            </w:r>
            <w:r>
              <w:t xml:space="preserve">, SQL, </w:t>
            </w:r>
            <w:r>
              <w:rPr>
                <w:b/>
              </w:rPr>
              <w:t xml:space="preserve">jede Fachklasse des Kerns</w:t>
            </w:r>
          </w:p>
        </w:tc>
      </w:tr>
      <w:tr>
        <w:tc>
          <w:tcPr>
            <w:tcW w:w="0" w:type="auto"/>
          </w:tcPr>
          <w:p>
            <w:pPr>
              <w:spacing w:after="0" w:line="240" w:lineRule="auto"/>
            </w:pPr>
            <w:r>
              <w:rPr>
                <w:rFonts w:ascii="Consolas" w:hAnsi="Consolas" w:cs="Consolas"/>
                <w:noProof/>
                <w:sz w:val="20"/>
                <w:szCs w:val="20"/>
                <w:shd w:val="clear" w:color="auto" w:fill="EFEFEF"/>
              </w:rPr>
              <w:t xml:space="preserve">EPOS.UI.Daten</w:t>
            </w:r>
          </w:p>
        </w:tc>
        <w:tc>
          <w:tcPr>
            <w:tcW w:w="0" w:type="auto"/>
          </w:tcPr>
          <w:p>
            <w:pPr>
              <w:spacing w:after="0" w:line="240" w:lineRule="auto"/>
            </w:pPr>
            <w:r>
              <w:rPr>
                <w:b/>
              </w:rPr>
              <w:t xml:space="preserve">acht</w:t>
            </w:r>
            <w:r>
              <w:t xml:space="preserve"> Hüllen des Gebäudebereichs (neun mit dem Export in G7), die Naht </w:t>
            </w:r>
            <w:r>
              <w:rPr>
                <w:rFonts w:ascii="Consolas" w:hAnsi="Consolas" w:cs="Consolas"/>
                <w:noProof/>
                <w:sz w:val="20"/>
                <w:szCs w:val="20"/>
                <w:shd w:val="clear" w:color="auto" w:fill="EFEFEF"/>
              </w:rPr>
              <w:t xml:space="preserve">Gebaeudewege</w:t>
            </w:r>
          </w:p>
        </w:tc>
        <w:tc>
          <w:tcPr>
            <w:tcW w:w="0" w:type="auto"/>
          </w:tcPr>
          <w:p>
            <w:pPr>
              <w:spacing w:after="0" w:line="240" w:lineRule="auto"/>
            </w:pPr>
            <w:r>
              <w:t xml:space="preserve">ein </w:t>
            </w:r>
            <w:r>
              <w:rPr>
                <w:rFonts w:ascii="Consolas" w:hAnsi="Consolas" w:cs="Consolas"/>
                <w:noProof/>
                <w:sz w:val="20"/>
                <w:szCs w:val="20"/>
                <w:shd w:val="clear" w:color="auto" w:fill="EFEFEF"/>
              </w:rPr>
              <w:t xml:space="preserve">IWin32Window</w:t>
            </w:r>
            <w:r>
              <w:t xml:space="preserve"> in einer Gaben-Signatur, </w:t>
            </w:r>
            <w:r>
              <w:rPr>
                <w:rFonts w:ascii="Consolas" w:hAnsi="Consolas" w:cs="Consolas"/>
                <w:noProof/>
                <w:sz w:val="20"/>
                <w:szCs w:val="20"/>
                <w:shd w:val="clear" w:color="auto" w:fill="EFEFEF"/>
              </w:rPr>
              <w:t xml:space="preserve">Task.Run</w:t>
            </w:r>
            <w:r>
              <w:t xml:space="preserve">, ein modales Systemfenster im Blazor-Ereignis</w:t>
            </w:r>
          </w:p>
        </w:tc>
      </w:tr>
      <w:tr>
        <w:tc>
          <w:tcPr>
            <w:tcW w:w="0" w:type="auto"/>
          </w:tcPr>
          <w:p>
            <w:pPr>
              <w:spacing w:after="0" w:line="240" w:lineRule="auto"/>
            </w:pPr>
            <w:r>
              <w:rPr>
                <w:rFonts w:ascii="Consolas" w:hAnsi="Consolas" w:cs="Consolas"/>
                <w:noProof/>
                <w:sz w:val="20"/>
                <w:szCs w:val="20"/>
                <w:shd w:val="clear" w:color="auto" w:fill="EFEFEF"/>
              </w:rPr>
              <w:t xml:space="preserve">WindowsFormsApplication1</w:t>
            </w:r>
          </w:p>
        </w:tc>
        <w:tc>
          <w:tcPr>
            <w:tcW w:w="0" w:type="auto"/>
          </w:tcPr>
          <w:p>
            <w:pPr>
              <w:spacing w:after="0" w:line="240" w:lineRule="auto"/>
            </w:pPr>
            <w:r>
              <w:rPr>
                <w:b/>
              </w:rPr>
              <w:t xml:space="preserve">zwei</w:t>
            </w:r>
            <w:r>
              <w:t xml:space="preserve"> Fensterdateien, die Belegung von </w:t>
            </w:r>
            <w:r>
              <w:rPr>
                <w:rFonts w:ascii="Consolas" w:hAnsi="Consolas" w:cs="Consolas"/>
                <w:noProof/>
                <w:sz w:val="20"/>
                <w:szCs w:val="20"/>
                <w:shd w:val="clear" w:color="auto" w:fill="EFEFEF"/>
              </w:rPr>
              <w:t xml:space="preserve">Gebaeudewege</w:t>
            </w:r>
            <w:r>
              <w:t xml:space="preserve"> in </w:t>
            </w:r>
            <w:r>
              <w:rPr>
                <w:rFonts w:ascii="Consolas" w:hAnsi="Consolas" w:cs="Consolas"/>
                <w:noProof/>
                <w:sz w:val="20"/>
                <w:szCs w:val="20"/>
                <w:shd w:val="clear" w:color="auto" w:fill="EFEFEF"/>
              </w:rPr>
              <w:t xml:space="preserve">Program.Main</w:t>
            </w:r>
            <w:r>
              <w:t xml:space="preserve">, der Migrationsschritt</w:t>
            </w:r>
          </w:p>
        </w:tc>
        <w:tc>
          <w:tcPr>
            <w:tcW w:w="0" w:type="auto"/>
          </w:tcPr>
          <w:p>
            <w:pPr>
              <w:spacing w:after="0" w:line="240" w:lineRule="auto"/>
            </w:pPr>
            <w:r>
              <w:t xml:space="preserve">jede Fachmaske, jeder Rechenweg, jedes Inline-SQL</w:t>
            </w:r>
          </w:p>
        </w:tc>
      </w:tr>
      <w:tr>
        <w:tc>
          <w:tcPr>
            <w:tcW w:w="0" w:type="auto"/>
          </w:tcPr>
          <w:p>
            <w:pPr>
              <w:spacing w:after="0" w:line="240" w:lineRule="auto"/>
            </w:pPr>
            <w:r>
              <w:rPr>
                <w:rFonts w:ascii="Consolas" w:hAnsi="Consolas" w:cs="Consolas"/>
                <w:noProof/>
                <w:sz w:val="20"/>
                <w:szCs w:val="20"/>
                <w:shd w:val="clear" w:color="auto" w:fill="EFEFEF"/>
              </w:rPr>
              <w:t xml:space="preserve">EPOS.iOS</w:t>
            </w:r>
          </w:p>
        </w:tc>
        <w:tc>
          <w:tcPr>
            <w:tcW w:w="0" w:type="auto"/>
          </w:tcPr>
          <w:p>
            <w:pPr>
              <w:spacing w:after="0" w:line="240" w:lineRule="auto"/>
            </w:pPr>
            <w:r>
              <w:t xml:space="preserve">neun Adapter unverändert, zwei Einträge im Dateifilter, eine Zeile je Maske in der Navigationsübersetzung</w:t>
            </w:r>
          </w:p>
        </w:tc>
        <w:tc>
          <w:tcPr>
            <w:tcW w:w="0" w:type="auto"/>
          </w:tcPr>
          <w:p>
            <w:pPr>
              <w:spacing w:after="0" w:line="240" w:lineRule="auto"/>
            </w:pPr>
            <w:r>
              <w:t xml:space="preserve">nichts Fachliches</w:t>
            </w:r>
          </w:p>
        </w:tc>
      </w:tr>
      <w:tr>
        <w:tc>
          <w:tcPr>
            <w:tcW w:w="0" w:type="auto"/>
          </w:tcPr>
          <w:p>
            <w:pPr>
              <w:spacing w:after="0" w:line="240" w:lineRule="auto"/>
            </w:pPr>
            <w:r>
              <w:rPr>
                <w:rFonts w:ascii="Consolas" w:hAnsi="Consolas" w:cs="Consolas"/>
                <w:noProof/>
                <w:sz w:val="20"/>
                <w:szCs w:val="20"/>
                <w:shd w:val="clear" w:color="auto" w:fill="EFEFEF"/>
              </w:rPr>
              <w:t xml:space="preserve">EPOS.Referenzlauf</w:t>
            </w:r>
            <w:r>
              <w:t xml:space="preserve">, </w:t>
            </w:r>
            <w:r>
              <w:rPr>
                <w:rFonts w:ascii="Consolas" w:hAnsi="Consolas" w:cs="Consolas"/>
                <w:noProof/>
                <w:sz w:val="20"/>
                <w:szCs w:val="20"/>
                <w:shd w:val="clear" w:color="auto" w:fill="EFEFEF"/>
              </w:rPr>
              <w:t xml:space="preserve">Referenzlauf</w:t>
            </w:r>
          </w:p>
        </w:tc>
        <w:tc>
          <w:tcPr>
            <w:tcW w:w="0" w:type="auto"/>
          </w:tcPr>
          <w:p>
            <w:pPr>
              <w:spacing w:after="0" w:line="240" w:lineRule="auto"/>
            </w:pPr>
            <w:r>
              <w:t xml:space="preserve">drei bedingte Vektordateien je Gebäude, Skalare mit Gebäudepräfix</w:t>
            </w:r>
          </w:p>
        </w:tc>
        <w:tc>
          <w:tcPr>
            <w:tcW w:w="0" w:type="auto"/>
          </w:tcPr>
          <w:p>
            <w:pPr>
              <w:spacing w:after="0" w:line="240" w:lineRule="auto"/>
            </w:pPr>
            <w:r>
              <w:t xml:space="preserve">—</w:t>
            </w:r>
          </w:p>
        </w:tc>
      </w:tr>
      <w:tr>
        <w:tc>
          <w:tcPr>
            <w:tcW w:w="0" w:type="auto"/>
          </w:tcPr>
          <w:p>
            <w:pPr>
              <w:spacing w:after="0" w:line="240" w:lineRule="auto"/>
            </w:pPr>
            <w:r>
              <w:rPr>
                <w:rFonts w:ascii="Consolas" w:hAnsi="Consolas" w:cs="Consolas"/>
                <w:noProof/>
                <w:sz w:val="20"/>
                <w:szCs w:val="20"/>
                <w:shd w:val="clear" w:color="auto" w:fill="EFEFEF"/>
              </w:rPr>
              <w:t xml:space="preserve">SpeicherEngine</w:t>
            </w:r>
            <w:r>
              <w:t xml:space="preserve">, </w:t>
            </w:r>
            <w:r>
              <w:rPr>
                <w:rFonts w:ascii="Consolas" w:hAnsi="Consolas" w:cs="Consolas"/>
                <w:noProof/>
                <w:sz w:val="20"/>
                <w:szCs w:val="20"/>
                <w:shd w:val="clear" w:color="auto" w:fill="EFEFEF"/>
              </w:rPr>
              <w:t xml:space="preserve">SpeicherPlanung</w:t>
            </w:r>
            <w:r>
              <w:t xml:space="preserve">, </w:t>
            </w:r>
            <w:r>
              <w:rPr>
                <w:rFonts w:ascii="Consolas" w:hAnsi="Consolas" w:cs="Consolas"/>
                <w:noProof/>
                <w:sz w:val="20"/>
                <w:szCs w:val="20"/>
                <w:shd w:val="clear" w:color="auto" w:fill="EFEFEF"/>
              </w:rPr>
              <w:t xml:space="preserve">KiKern</w:t>
            </w:r>
          </w:p>
        </w:tc>
        <w:tc>
          <w:tcPr>
            <w:tcW w:w="0" w:type="auto"/>
          </w:tcPr>
          <w:p>
            <w:pPr>
              <w:spacing w:after="0" w:line="240" w:lineRule="auto"/>
            </w:pPr>
            <w:r>
              <w:t xml:space="preserve">nichts</w:t>
            </w:r>
          </w:p>
        </w:tc>
        <w:tc>
          <w:tcPr>
            <w:tcW w:w="0" w:type="auto"/>
          </w:tcPr>
          <w:p>
            <w:pPr>
              <w:spacing w:after="0" w:line="240" w:lineRule="auto"/>
            </w:pPr>
            <w:r>
              <w:t xml:space="preserve">—</w:t>
            </w:r>
          </w:p>
        </w:tc>
      </w:tr>
    </w:tbl>
    <w:p>
      <w:pPr>
        <w:spacing w:after="120"/>
      </w:pPr>
    </w:p>
    <w:p>
      <w:r>
        <w:rPr>
          <w:b/>
        </w:rPr>
        <w:t xml:space="preserve">Eine Asymmetrie, die die Architektur kennen muss:</w:t>
      </w:r>
      <w:r>
        <w:t xml:space="preserve"> </w:t>
      </w:r>
      <w:r>
        <w:rPr>
          <w:rFonts w:ascii="Consolas" w:hAnsi="Consolas" w:cs="Consolas"/>
          <w:noProof/>
          <w:sz w:val="20"/>
          <w:szCs w:val="20"/>
          <w:shd w:val="clear" w:color="auto" w:fill="EFEFEF"/>
        </w:rPr>
        <w:t xml:space="preserve">SchemaMigration</w:t>
      </w:r>
      <w:r>
        <w:t xml:space="preserve"> liegt in der Windows-Schale, die Definitionen im Kern; iOS migriert nicht, sondern kopiert eine Seed-Datenbank, die den Zielstand schon trägt. Eine neue Tabelle braucht deshalb </w:t>
      </w:r>
      <w:r>
        <w:rPr>
          <w:b/>
        </w:rPr>
        <w:t xml:space="preserve">drei</w:t>
      </w:r>
      <w:r>
        <w:t xml:space="preserve"> Eintragungen, nicht eine.</w:t>
      </w:r>
    </w:p>
    <w:p>
      <w:pPr>
        <w:pStyle w:val="Diagrammbild"/>
      </w:pPr>
      <w:r>
        <w:drawing>
          <wp:inline xmlns:wp="http://schemas.openxmlformats.org/drawingml/2006/wordprocessingDrawing" distT="0" distB="0" distL="0" distR="0">
            <wp:extent cx="6120130" cy="3978084"/>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3.png"/>
                    <pic:cNvPicPr/>
                  </pic:nvPicPr>
                  <pic:blipFill>
                    <a:blip xmlns:r="http://schemas.openxmlformats.org/officeDocument/2006/relationships" r:embed="R6e3a868d50cc44e7"/>
                    <a:stretch>
                      <a:fillRect/>
                    </a:stretch>
                  </pic:blipFill>
                  <pic:spPr>
                    <a:xfrm>
                      <a:off x="0" y="0"/>
                      <a:ext cx="6120130" cy="3978084"/>
                    </a:xfrm>
                    <a:prstGeom prst="rect">
                      <a:avLst/>
                    </a:prstGeom>
                  </pic:spPr>
                </pic:pic>
              </a:graphicData>
            </a:graphic>
          </wp:inline>
        </w:drawing>
      </w:r>
    </w:p>
    <w:p>
      <w:pPr>
        <w:pStyle w:val="Bildunterschrift"/>
      </w:pPr>
      <w:r>
        <w:rPr>
          <w:i/>
          <w:iCs/>
        </w:rPr>
        <w:t xml:space="preserve">Bild 3: 3.1 Schichten und Abhängigkeitsregel</w:t>
      </w:r>
    </w:p>
    <w:p>
      <w:pPr>
        <w:pStyle w:val="Heading2"/>
      </w:pPr>
      <w:r>
        <w:t xml:space="preserve">3.2 Kernklassen der Gebäudesimulation</w:t>
      </w:r>
    </w:p>
    <w:p>
      <w:r>
        <w:t xml:space="preserve">Die Physik liegt in </w:t>
      </w:r>
      <w:r>
        <w:rPr>
          <w:b/>
        </w:rPr>
        <w:t xml:space="preserve">einer</w:t>
      </w:r>
      <w:r>
        <w:t xml:space="preserve"> Ablage, </w:t>
      </w:r>
      <w:r>
        <w:rPr>
          <w:rFonts w:ascii="Consolas" w:hAnsi="Consolas" w:cs="Consolas"/>
          <w:noProof/>
          <w:sz w:val="20"/>
          <w:szCs w:val="20"/>
          <w:shd w:val="clear" w:color="auto" w:fill="EFEFEF"/>
        </w:rPr>
        <w:t xml:space="preserve">EPOS.Kern/Allgemein/Simulation/Gebaeude/</w:t>
      </w:r>
      <w:r>
        <w:t xml:space="preserve">, mit </w:t>
      </w:r>
      <w:r>
        <w:rPr>
          <w:b/>
        </w:rPr>
        <w:t xml:space="preserve">vierzehn Bausteinen</w:t>
      </w:r>
      <w:r>
        <w:t xml:space="preserve">, davon neun bis Stufe G1; durchgehend </w:t>
      </w:r>
      <w:r>
        <w:rPr>
          <w:rFonts w:ascii="Consolas" w:hAnsi="Consolas" w:cs="Consolas"/>
          <w:noProof/>
          <w:sz w:val="20"/>
          <w:szCs w:val="20"/>
          <w:shd w:val="clear" w:color="auto" w:fill="EFEFEF"/>
        </w:rPr>
        <w:t xml:space="preserve">double</w:t>
      </w:r>
      <w:r>
        <w:t xml:space="preserve">, Zustand je Instanz. Der Ordner liegt damit von selbst unter dem Wächter, der </w:t>
      </w:r>
      <w:r>
        <w:rPr>
          <w:rFonts w:ascii="Consolas" w:hAnsi="Consolas" w:cs="Consolas"/>
          <w:noProof/>
          <w:sz w:val="20"/>
          <w:szCs w:val="20"/>
          <w:shd w:val="clear" w:color="auto" w:fill="EFEFEF"/>
        </w:rPr>
        <w:t xml:space="preserve">float</w:t>
      </w:r>
      <w:r>
        <w:t xml:space="preserve"> und </w:t>
      </w:r>
      <w:r>
        <w:rPr>
          <w:rFonts w:ascii="Consolas" w:hAnsi="Consolas" w:cs="Consolas"/>
          <w:noProof/>
          <w:sz w:val="20"/>
          <w:szCs w:val="20"/>
          <w:shd w:val="clear" w:color="auto" w:fill="EFEFEF"/>
        </w:rPr>
        <w:t xml:space="preserve">MathF</w:t>
      </w:r>
      <w:r>
        <w:t xml:space="preserve"> unterhalb von </w:t>
      </w:r>
      <w:r>
        <w:rPr>
          <w:rFonts w:ascii="Consolas" w:hAnsi="Consolas" w:cs="Consolas"/>
          <w:noProof/>
          <w:sz w:val="20"/>
          <w:szCs w:val="20"/>
          <w:shd w:val="clear" w:color="auto" w:fill="EFEFEF"/>
        </w:rPr>
        <w:t xml:space="preserve">Simulation/</w:t>
      </w:r>
      <w:r>
        <w:t xml:space="preserve"> verbietet.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Baustein</w:t>
            </w:r>
          </w:p>
        </w:tc>
        <w:tc>
          <w:tcPr>
            <w:tcW w:w="0" w:type="auto"/>
            <w:shd w:val="clear" w:color="auto" w:fill="D9D9D9"/>
          </w:tcPr>
          <w:p>
            <w:pPr>
              <w:spacing w:after="0" w:line="240" w:lineRule="auto"/>
              <w:rPr>
                <w:b/>
              </w:rPr>
            </w:pPr>
            <w:r>
              <w:rPr>
                <w:b/>
              </w:rPr>
              <w:t xml:space="preserve">Ort</w:t>
            </w:r>
          </w:p>
        </w:tc>
        <w:tc>
          <w:tcPr>
            <w:tcW w:w="0" w:type="auto"/>
            <w:shd w:val="clear" w:color="auto" w:fill="D9D9D9"/>
          </w:tcPr>
          <w:p>
            <w:pPr>
              <w:spacing w:after="0" w:line="240" w:lineRule="auto"/>
              <w:rPr>
                <w:b/>
              </w:rPr>
            </w:pPr>
            <w:r>
              <w:rPr>
                <w:b/>
              </w:rPr>
              <w:t xml:space="preserve">Aufgabe</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rPr>
                <w:rFonts w:ascii="Consolas" w:hAnsi="Consolas" w:cs="Consolas"/>
                <w:noProof/>
                <w:sz w:val="20"/>
                <w:szCs w:val="20"/>
                <w:shd w:val="clear" w:color="auto" w:fill="EFEFEF"/>
              </w:rPr>
              <w:t xml:space="preserve">Zonenmodell2K</w:t>
            </w:r>
            <w:r>
              <w:t xml:space="preserve"> (Name nach der Norm; die beiden Konzeptstellen mit </w:t>
            </w:r>
            <w:r>
              <w:rPr>
                <w:rFonts w:ascii="Consolas" w:hAnsi="Consolas" w:cs="Consolas"/>
                <w:noProof/>
                <w:sz w:val="20"/>
                <w:szCs w:val="20"/>
                <w:shd w:val="clear" w:color="auto" w:fill="EFEFEF"/>
              </w:rPr>
              <w:t xml:space="preserve">Zonenmodell7R2C</w:t>
            </w:r>
            <w:r>
              <w:t xml:space="preserve"> sind nachzuziehen)</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der Löser einer Zone: baut die Systemmatrix einmal, rechnet je Blockstunde einen Schritt; Zustand sind zwei </w:t>
            </w:r>
            <w:r>
              <w:rPr>
                <w:rFonts w:ascii="Consolas" w:hAnsi="Consolas" w:cs="Consolas"/>
                <w:noProof/>
                <w:sz w:val="20"/>
                <w:szCs w:val="20"/>
                <w:shd w:val="clear" w:color="auto" w:fill="EFEFEF"/>
              </w:rPr>
              <w:t xml:space="preserve">double</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Stundenrand</w:t>
            </w:r>
          </w:p>
        </w:tc>
        <w:tc>
          <w:tcPr>
            <w:tcW w:w="0" w:type="auto"/>
          </w:tcPr>
          <w:p>
            <w:pPr>
              <w:spacing w:after="0" w:line="240" w:lineRule="auto"/>
            </w:pPr>
            <w:r>
              <w:t xml:space="preserve">in </w:t>
            </w:r>
            <w:r>
              <w:rPr>
                <w:rFonts w:ascii="Consolas" w:hAnsi="Consolas" w:cs="Consolas"/>
                <w:noProof/>
                <w:sz w:val="20"/>
                <w:szCs w:val="20"/>
                <w:shd w:val="clear" w:color="auto" w:fill="EFEFEF"/>
              </w:rPr>
              <w:t xml:space="preserve">Zonenmodell2K.cs</w:t>
            </w:r>
          </w:p>
        </w:tc>
        <w:tc>
          <w:tcPr>
            <w:tcW w:w="0" w:type="auto"/>
          </w:tcPr>
          <w:p>
            <w:pPr>
              <w:spacing w:after="0" w:line="240" w:lineRule="auto"/>
            </w:pPr>
            <w:r>
              <w:t xml:space="preserve">der Vertrag hinein: Außen- und Äquivalenttemperatur, Soll- und Höchstwert, die drei Lasten, Leistungsgrenze, Strahlungsanteil der Heizung</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Stundenergebnis</w:t>
            </w:r>
          </w:p>
        </w:tc>
        <w:tc>
          <w:tcPr>
            <w:tcW w:w="0" w:type="auto"/>
          </w:tcPr>
          <w:p>
            <w:pPr>
              <w:spacing w:after="0" w:line="240" w:lineRule="auto"/>
            </w:pPr>
            <w:r>
              <w:t xml:space="preserve">in </w:t>
            </w:r>
            <w:r>
              <w:rPr>
                <w:rFonts w:ascii="Consolas" w:hAnsi="Consolas" w:cs="Consolas"/>
                <w:noProof/>
                <w:sz w:val="20"/>
                <w:szCs w:val="20"/>
                <w:shd w:val="clear" w:color="auto" w:fill="EFEFEF"/>
              </w:rPr>
              <w:t xml:space="preserve">Zonenmodell2K.cs</w:t>
            </w:r>
          </w:p>
        </w:tc>
        <w:tc>
          <w:tcPr>
            <w:tcW w:w="0" w:type="auto"/>
          </w:tcPr>
          <w:p>
            <w:pPr>
              <w:spacing w:after="0" w:line="240" w:lineRule="auto"/>
            </w:pPr>
            <w:r>
              <w:t xml:space="preserve">der Vertrag heraus: Heiz- und Kühlleistung als </w:t>
            </w:r>
            <w:r>
              <w:rPr>
                <w:b/>
              </w:rPr>
              <w:t xml:space="preserve">Blockmittel</w:t>
            </w:r>
            <w:r>
              <w:t xml:space="preserve">, Luft- und operative Temperatur, die beiden Endzustände</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ErsatzparameterRC</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rPr>
                <w:rFonts w:ascii="Consolas" w:hAnsi="Consolas" w:cs="Consolas"/>
                <w:noProof/>
                <w:sz w:val="20"/>
                <w:szCs w:val="20"/>
                <w:shd w:val="clear" w:color="auto" w:fill="EFEFEF"/>
              </w:rPr>
              <w:t xml:space="preserve">record</w:t>
            </w:r>
            <w:r>
              <w:t xml:space="preserve"> mit den reduzierten RC-Größen; zwei Fabrikwege </w:t>
            </w:r>
            <w:r>
              <w:rPr>
                <w:rFonts w:ascii="Consolas" w:hAnsi="Consolas" w:cs="Consolas"/>
                <w:noProof/>
                <w:sz w:val="20"/>
                <w:szCs w:val="20"/>
                <w:shd w:val="clear" w:color="auto" w:fill="EFEFEF"/>
              </w:rPr>
              <w:t xml:space="preserve">AusKlassenweg</w:t>
            </w:r>
            <w:r>
              <w:t xml:space="preserve"> und </w:t>
            </w:r>
            <w:r>
              <w:rPr>
                <w:rFonts w:ascii="Consolas" w:hAnsi="Consolas" w:cs="Consolas"/>
                <w:noProof/>
                <w:sz w:val="20"/>
                <w:szCs w:val="20"/>
                <w:shd w:val="clear" w:color="auto" w:fill="EFEFEF"/>
              </w:rPr>
              <w:t xml:space="preserve">AusBauteilweg</w:t>
            </w:r>
            <w:r>
              <w:t xml:space="preserve">; harte Prüfungen mit benanntem Fehler statt stillem Rückfall</w:t>
            </w:r>
          </w:p>
        </w:tc>
        <w:tc>
          <w:tcPr>
            <w:tcW w:w="0" w:type="auto"/>
          </w:tcPr>
          <w:p>
            <w:pPr>
              <w:spacing w:after="0" w:line="240" w:lineRule="auto"/>
            </w:pPr>
            <w:r>
              <w:t xml:space="preserve">G0 · G3</w:t>
            </w:r>
          </w:p>
        </w:tc>
      </w:tr>
      <w:tr>
        <w:tc>
          <w:tcPr>
            <w:tcW w:w="0" w:type="auto"/>
          </w:tcPr>
          <w:p>
            <w:pPr>
              <w:spacing w:after="0" w:line="240" w:lineRule="auto"/>
            </w:pPr>
            <w:r>
              <w:rPr>
                <w:rFonts w:ascii="Consolas" w:hAnsi="Consolas" w:cs="Consolas"/>
                <w:noProof/>
                <w:sz w:val="20"/>
                <w:szCs w:val="20"/>
                <w:shd w:val="clear" w:color="auto" w:fill="EFEFEF"/>
              </w:rPr>
              <w:t xml:space="preserve">Bauteilreduktion</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Kettenmatrix je Bauteil über </w:t>
            </w:r>
            <w:r>
              <w:rPr>
                <w:rFonts w:ascii="Consolas" w:hAnsi="Consolas" w:cs="Consolas"/>
                <w:noProof/>
                <w:sz w:val="20"/>
                <w:szCs w:val="20"/>
                <w:shd w:val="clear" w:color="auto" w:fill="EFEFEF"/>
              </w:rPr>
              <w:t xml:space="preserve">System.Numerics.Complex</w:t>
            </w:r>
          </w:p>
        </w:tc>
        <w:tc>
          <w:tcPr>
            <w:tcW w:w="0" w:type="auto"/>
          </w:tcPr>
          <w:p>
            <w:pPr>
              <w:spacing w:after="0" w:line="240" w:lineRule="auto"/>
            </w:pPr>
            <w:r>
              <w:t xml:space="preserve">G0 (leerer Platz) · G3</w:t>
            </w:r>
          </w:p>
        </w:tc>
      </w:tr>
      <w:tr>
        <w:tc>
          <w:tcPr>
            <w:tcW w:w="0" w:type="auto"/>
          </w:tcPr>
          <w:p>
            <w:pPr>
              <w:spacing w:after="0" w:line="240" w:lineRule="auto"/>
            </w:pPr>
            <w:r>
              <w:rPr>
                <w:rFonts w:ascii="Consolas" w:hAnsi="Consolas" w:cs="Consolas"/>
                <w:noProof/>
                <w:sz w:val="20"/>
                <w:szCs w:val="20"/>
                <w:shd w:val="clear" w:color="auto" w:fill="EFEFEF"/>
              </w:rPr>
              <w:t xml:space="preserve">GebaeudeKlimaweg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bereitet die Klimareihen auf: Zeitbezug der Sonnengeometrie, Azimutzuordnung der vier Fensterrichtungen, Erdreichtemperatur, Wochenendkalender</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GebaeudeModellEingang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die 8 760 Randbedingungen samt </w:t>
            </w:r>
            <w:r>
              <w:rPr>
                <w:rFonts w:ascii="Consolas" w:hAnsi="Consolas" w:cs="Consolas"/>
                <w:noProof/>
                <w:sz w:val="20"/>
                <w:szCs w:val="20"/>
                <w:shd w:val="clear" w:color="auto" w:fill="EFEFEF"/>
              </w:rPr>
              <w:t xml:space="preserve">ErsatzparameterRC</w:t>
            </w:r>
            <w:r>
              <w:t xml:space="preserve"> und dem Schalter </w:t>
            </w:r>
            <w:r>
              <w:rPr>
                <w:rFonts w:ascii="Consolas" w:hAnsi="Consolas" w:cs="Consolas"/>
                <w:noProof/>
                <w:sz w:val="20"/>
                <w:szCs w:val="20"/>
                <w:shd w:val="clear" w:color="auto" w:fill="EFEFEF"/>
              </w:rPr>
              <w:t xml:space="preserve">Pruefmodus</w:t>
            </w:r>
            <w:r>
              <w:t xml:space="preserve">; die statische Fabrik </w:t>
            </w:r>
            <w:r>
              <w:rPr>
                <w:rFonts w:ascii="Consolas" w:hAnsi="Consolas" w:cs="Consolas"/>
                <w:noProof/>
                <w:sz w:val="20"/>
                <w:szCs w:val="20"/>
                <w:shd w:val="clear" w:color="auto" w:fill="EFEFEF"/>
              </w:rPr>
              <w:t xml:space="preserve">Bauen</w:t>
            </w:r>
            <w:r>
              <w:t xml:space="preserve"> ist der Eingangsbauer und die eine Stelle, an der </w:t>
            </w:r>
            <w:r>
              <w:rPr>
                <w:rFonts w:ascii="Consolas" w:hAnsi="Consolas" w:cs="Consolas"/>
                <w:noProof/>
                <w:sz w:val="20"/>
                <w:szCs w:val="20"/>
                <w:shd w:val="clear" w:color="auto" w:fill="EFEFEF"/>
              </w:rPr>
              <w:t xml:space="preserve">GebaeudeKlimaweg</w:t>
            </w:r>
            <w:r>
              <w:t xml:space="preserve"> gerufen wird</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GebaeudeModellErgebnis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Reihen und Kennzahlen eines Gebäudes; </w:t>
            </w:r>
            <w:r>
              <w:rPr>
                <w:b/>
              </w:rPr>
              <w:t xml:space="preserve">die Einheit steht im Namen</w:t>
            </w:r>
            <w:r>
              <w:t xml:space="preserve"> — </w:t>
            </w:r>
            <w:r>
              <w:rPr>
                <w:rFonts w:ascii="Consolas" w:hAnsi="Consolas" w:cs="Consolas"/>
                <w:noProof/>
                <w:sz w:val="20"/>
                <w:szCs w:val="20"/>
                <w:shd w:val="clear" w:color="auto" w:fill="EFEFEF"/>
              </w:rPr>
              <w:t xml:space="preserve">HeizlastW</w:t>
            </w:r>
            <w:r>
              <w:t xml:space="preserve"> in Watt, Zeitreihen kWh, Jahressummen MWh, Leistungen kW</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Gebaeudepruefung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die Prüfungen zwischen Geschwistern: Flächensumme, geschlossene Hülle, Trennflächenbilanz, Nachbar existiert, Luftstrombilanz, Zonenzahl; liefert Meldungsschlüssel mit Präfix </w:t>
            </w:r>
            <w:r>
              <w:rPr>
                <w:rFonts w:ascii="Consolas" w:hAnsi="Consolas" w:cs="Consolas"/>
                <w:noProof/>
                <w:sz w:val="20"/>
                <w:szCs w:val="20"/>
                <w:shd w:val="clear" w:color="auto" w:fill="EFEFEF"/>
              </w:rPr>
              <w:t xml:space="preserve">GEBP_</w:t>
            </w:r>
          </w:p>
        </w:tc>
        <w:tc>
          <w:tcPr>
            <w:tcW w:w="0" w:type="auto"/>
          </w:tcPr>
          <w:p>
            <w:pPr>
              <w:spacing w:after="0" w:line="240" w:lineRule="auto"/>
            </w:pPr>
            <w:r>
              <w:t xml:space="preserve">G1 · G6</w:t>
            </w:r>
          </w:p>
        </w:tc>
      </w:tr>
      <w:tr>
        <w:tc>
          <w:tcPr>
            <w:tcW w:w="0" w:type="auto"/>
          </w:tcPr>
          <w:p>
            <w:pPr>
              <w:spacing w:after="0" w:line="240" w:lineRule="auto"/>
            </w:pPr>
            <w:r>
              <w:rPr>
                <w:rFonts w:ascii="Consolas" w:hAnsi="Consolas" w:cs="Consolas"/>
                <w:noProof/>
                <w:sz w:val="20"/>
                <w:szCs w:val="20"/>
                <w:shd w:val="clear" w:color="auto" w:fill="EFEFEF"/>
              </w:rPr>
              <w:t xml:space="preserve">Zonenkopplung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der Durchlauf über die Zonen </w:t>
            </w:r>
            <w:r>
              <w:rPr>
                <w:b/>
              </w:rPr>
              <w:t xml:space="preserve">einer</w:t>
            </w:r>
            <w:r>
              <w:t xml:space="preserve"> Stunde in fester Reihenfolge, mit Abbruchmaßen und Höchstzahl</w:t>
            </w:r>
          </w:p>
        </w:tc>
        <w:tc>
          <w:tcPr>
            <w:tcW w:w="0" w:type="auto"/>
          </w:tcPr>
          <w:p>
            <w:pPr>
              <w:spacing w:after="0" w:line="240" w:lineRule="auto"/>
            </w:pPr>
            <w:r>
              <w:t xml:space="preserve">G6</w:t>
            </w:r>
          </w:p>
        </w:tc>
      </w:tr>
      <w:tr>
        <w:tc>
          <w:tcPr>
            <w:tcW w:w="0" w:type="auto"/>
          </w:tcPr>
          <w:p>
            <w:pPr>
              <w:spacing w:after="0" w:line="240" w:lineRule="auto"/>
            </w:pPr>
            <w:r>
              <w:rPr>
                <w:rFonts w:ascii="Consolas" w:hAnsi="Consolas" w:cs="Consolas"/>
                <w:noProof/>
                <w:sz w:val="20"/>
                <w:szCs w:val="20"/>
                <w:shd w:val="clear" w:color="auto" w:fill="EFEFEF"/>
              </w:rPr>
              <w:t xml:space="preserve">ZonenEingang</w:t>
            </w:r>
            <w:r>
              <w:t xml:space="preserve">, </w:t>
            </w:r>
            <w:r>
              <w:rPr>
                <w:rFonts w:ascii="Consolas" w:hAnsi="Consolas" w:cs="Consolas"/>
                <w:noProof/>
                <w:sz w:val="20"/>
                <w:szCs w:val="20"/>
                <w:shd w:val="clear" w:color="auto" w:fill="EFEFEF"/>
              </w:rPr>
              <w:t xml:space="preserve">ZonenErgebnis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Randbedingungen und Ergebnis je Zone; der Eingang führt sie als geordnete Liste, das Ergebnis summiert die Gebäudesumme</w:t>
            </w:r>
          </w:p>
        </w:tc>
        <w:tc>
          <w:tcPr>
            <w:tcW w:w="0" w:type="auto"/>
          </w:tcPr>
          <w:p>
            <w:pPr>
              <w:spacing w:after="0" w:line="240" w:lineRule="auto"/>
            </w:pPr>
            <w:r>
              <w:t xml:space="preserve">G6</w:t>
            </w:r>
          </w:p>
        </w:tc>
      </w:tr>
      <w:tr>
        <w:tc>
          <w:tcPr>
            <w:tcW w:w="0" w:type="auto"/>
          </w:tcPr>
          <w:p>
            <w:pPr>
              <w:spacing w:after="0" w:line="240" w:lineRule="auto"/>
            </w:pPr>
            <w:r>
              <w:rPr>
                <w:rFonts w:ascii="Consolas" w:hAnsi="Consolas" w:cs="Consolas"/>
                <w:noProof/>
                <w:sz w:val="20"/>
                <w:szCs w:val="20"/>
                <w:shd w:val="clear" w:color="auto" w:fill="EFEFEF"/>
              </w:rPr>
              <w:t xml:space="preserve">Zonengeometrie</w:t>
            </w:r>
            <w:r>
              <w:t xml:space="preserve">, </w:t>
            </w:r>
            <w:r>
              <w:rPr>
                <w:rFonts w:ascii="Consolas" w:hAnsi="Consolas" w:cs="Consolas"/>
                <w:noProof/>
                <w:sz w:val="20"/>
                <w:szCs w:val="20"/>
                <w:shd w:val="clear" w:color="auto" w:fill="EFEFEF"/>
              </w:rPr>
              <w:t xml:space="preserve">Zonenumriss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das </w:t>
            </w:r>
            <w:r>
              <w:rPr>
                <w:b/>
              </w:rPr>
              <w:t xml:space="preserve">Zonengeometrie-Modell</w:t>
            </w:r>
            <w:r>
              <w:t xml:space="preserve"> nach </w:t>
            </w:r>
            <w:r>
              <w:rPr>
                <w:b/>
              </w:rPr>
              <w:t xml:space="preserve">E11</w:t>
            </w:r>
            <w:r>
              <w:t xml:space="preserve">: je Zone ein Grundrisspolygon, eine Höhe, ein Geschoss und die Zuordnung der Bauteile zu den Polygonkanten, zu Boden und zu Decke. Zwei Fabrikwege wie bei </w:t>
            </w:r>
            <w:r>
              <w:rPr>
                <w:rFonts w:ascii="Consolas" w:hAnsi="Consolas" w:cs="Consolas"/>
                <w:noProof/>
                <w:sz w:val="20"/>
                <w:szCs w:val="20"/>
                <w:shd w:val="clear" w:color="auto" w:fill="EFEFEF"/>
              </w:rPr>
              <w:t xml:space="preserve">ErsatzparameterRC</w:t>
            </w:r>
            <w:r>
              <w:t xml:space="preserve">: </w:t>
            </w:r>
            <w:r>
              <w:rPr>
                <w:rFonts w:ascii="Consolas" w:hAnsi="Consolas" w:cs="Consolas"/>
                <w:noProof/>
                <w:sz w:val="20"/>
                <w:szCs w:val="20"/>
                <w:shd w:val="clear" w:color="auto" w:fill="EFEFEF"/>
              </w:rPr>
              <w:t xml:space="preserve">AusRaumgrenzen</w:t>
            </w:r>
            <w:r>
              <w:t xml:space="preserve"> (mit IFC, aus den Raumgrenzen) und </w:t>
            </w:r>
            <w:r>
              <w:rPr>
                <w:rFonts w:ascii="Consolas" w:hAnsi="Consolas" w:cs="Consolas"/>
                <w:noProof/>
                <w:sz w:val="20"/>
                <w:szCs w:val="20"/>
                <w:shd w:val="clear" w:color="auto" w:fill="EFEFEF"/>
              </w:rPr>
              <w:t xml:space="preserve">AusFlaechen</w:t>
            </w:r>
            <w:r>
              <w:t xml:space="preserve"> (ohne IFC, aus Zonenfläche und dem Seitenverhältnis der Bauteilgruppen). </w:t>
            </w:r>
            <w:r>
              <w:rPr>
                <w:b/>
              </w:rPr>
              <w:t xml:space="preserve">Eine Quelle, drei Abnehmer:</w:t>
            </w:r>
            <w:r>
              <w:t xml:space="preserve"> Ansicht, gbXML-Export, IFC-Export</w:t>
            </w:r>
          </w:p>
        </w:tc>
        <w:tc>
          <w:tcPr>
            <w:tcW w:w="0" w:type="auto"/>
          </w:tcPr>
          <w:p>
            <w:pPr>
              <w:spacing w:after="0" w:line="240" w:lineRule="auto"/>
            </w:pPr>
            <w:r>
              <w:t xml:space="preserve">G6c</w:t>
            </w:r>
          </w:p>
        </w:tc>
      </w:tr>
    </w:tbl>
    <w:p>
      <w:pPr>
        <w:spacing w:after="120"/>
      </w:pPr>
    </w:p>
    <w:p>
      <w:r>
        <w:t xml:space="preserve">Vier Festlegungen folgen aus dem Bestand: </w:t>
      </w:r>
      <w:r>
        <w:rPr>
          <w:b/>
        </w:rPr>
        <w:t xml:space="preserve">zwei Fabrikwege, ein Record</w:t>
      </w:r>
      <w:r>
        <w:t xml:space="preserve"> — Klassenweg und Bauteilweg sind Fabrikmethoden desselben </w:t>
      </w:r>
      <w:r>
        <w:rPr>
          <w:rFonts w:ascii="Consolas" w:hAnsi="Consolas" w:cs="Consolas"/>
          <w:noProof/>
          <w:sz w:val="20"/>
          <w:szCs w:val="20"/>
          <w:shd w:val="clear" w:color="auto" w:fill="EFEFEF"/>
        </w:rPr>
        <w:t xml:space="preserve">ErsatzparameterRC</w:t>
      </w:r>
      <w:r>
        <w:t xml:space="preserve">, sonst gäbe es zwei Wahrheiten über dieselben Größen; </w:t>
      </w:r>
      <w:r>
        <w:rPr>
          <w:rFonts w:ascii="Consolas" w:hAnsi="Consolas" w:cs="Consolas"/>
          <w:b/>
          <w:noProof/>
          <w:sz w:val="20"/>
          <w:szCs w:val="20"/>
          <w:shd w:val="clear" w:color="auto" w:fill="EFEFEF"/>
        </w:rPr>
        <w:t xml:space="preserve">Zuruecksetzen</w:t>
      </w:r>
      <w:r>
        <w:rPr>
          <w:b/>
        </w:rPr>
        <w:t xml:space="preserve"> ist Pflicht</w:t>
      </w:r>
      <w:r>
        <w:t xml:space="preserve">, weil ein Verbrauchsgebäude zweimal gerechnet wird; </w:t>
      </w:r>
      <w:r>
        <w:rPr>
          <w:b/>
        </w:rPr>
        <w:t xml:space="preserve">die Einheit im Namen ist bewacht, aber nur halb</w:t>
      </w:r>
      <w:r>
        <w:t xml:space="preserve"> — die neuen Ergebnisklassen müssen namentlich und </w:t>
      </w:r>
      <w:r>
        <w:rPr>
          <w:b/>
        </w:rPr>
        <w:t xml:space="preserve">mit Unterordner</w:t>
      </w:r>
      <w:r>
        <w:t xml:space="preserve"> in die Wächterliste; und der Vertrag des Lösers steht in derselben Datei wie der Löser.</w:t>
      </w:r>
    </w:p>
    <w:p>
      <w:pPr>
        <w:pStyle w:val="Diagrammbild"/>
      </w:pPr>
      <w:r>
        <w:drawing>
          <wp:inline xmlns:wp="http://schemas.openxmlformats.org/drawingml/2006/wordprocessingDrawing" distT="0" distB="0" distL="0" distR="0">
            <wp:extent cx="6120130" cy="2842035"/>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4.png"/>
                    <pic:cNvPicPr/>
                  </pic:nvPicPr>
                  <pic:blipFill>
                    <a:blip xmlns:r="http://schemas.openxmlformats.org/officeDocument/2006/relationships" r:embed="R21cb5790d3f94ef7"/>
                    <a:stretch>
                      <a:fillRect/>
                    </a:stretch>
                  </pic:blipFill>
                  <pic:spPr>
                    <a:xfrm>
                      <a:off x="0" y="0"/>
                      <a:ext cx="6120130" cy="2842035"/>
                    </a:xfrm>
                    <a:prstGeom prst="rect">
                      <a:avLst/>
                    </a:prstGeom>
                  </pic:spPr>
                </pic:pic>
              </a:graphicData>
            </a:graphic>
          </wp:inline>
        </w:drawing>
      </w:r>
    </w:p>
    <w:p>
      <w:pPr>
        <w:pStyle w:val="Bildunterschrift"/>
      </w:pPr>
      <w:r>
        <w:rPr>
          <w:i/>
          <w:iCs/>
        </w:rPr>
        <w:t xml:space="preserve">Bild 4: 3.2 Kernklassen der Gebäudesimulation</w:t>
      </w:r>
    </w:p>
    <w:p>
      <w:pPr>
        <w:pStyle w:val="Heading2"/>
      </w:pPr>
      <w:r>
        <w:t xml:space="preserve">3.3 Nähte und Plattform</w:t>
      </w:r>
    </w:p>
    <w:p>
      <w:r>
        <w:t xml:space="preserve">Drei benannte Nähte tragen alles Plattform- und Formatgebundene, dazu die vierte, vorhandene für Fortschritt und Abbruch.</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Naht</w:t>
            </w:r>
          </w:p>
        </w:tc>
        <w:tc>
          <w:tcPr>
            <w:tcW w:w="0" w:type="auto"/>
            <w:shd w:val="clear" w:color="auto" w:fill="D9D9D9"/>
          </w:tcPr>
          <w:p>
            <w:pPr>
              <w:spacing w:after="0" w:line="240" w:lineRule="auto"/>
              <w:rPr>
                <w:b/>
              </w:rPr>
            </w:pPr>
            <w:r>
              <w:rPr>
                <w:b/>
              </w:rPr>
              <w:t xml:space="preserve">Vertrag</w:t>
            </w:r>
          </w:p>
        </w:tc>
        <w:tc>
          <w:tcPr>
            <w:tcW w:w="0" w:type="auto"/>
            <w:shd w:val="clear" w:color="auto" w:fill="D9D9D9"/>
          </w:tcPr>
          <w:p>
            <w:pPr>
              <w:spacing w:after="0" w:line="240" w:lineRule="auto"/>
              <w:rPr>
                <w:b/>
              </w:rPr>
            </w:pPr>
            <w:r>
              <w:rPr>
                <w:b/>
              </w:rPr>
              <w:t xml:space="preserve">Windows</w:t>
            </w:r>
          </w:p>
        </w:tc>
        <w:tc>
          <w:tcPr>
            <w:tcW w:w="0" w:type="auto"/>
            <w:shd w:val="clear" w:color="auto" w:fill="D9D9D9"/>
          </w:tcPr>
          <w:p>
            <w:pPr>
              <w:spacing w:after="0" w:line="240" w:lineRule="auto"/>
              <w:rPr>
                <w:b/>
              </w:rPr>
            </w:pPr>
            <w:r>
              <w:rPr>
                <w:b/>
              </w:rPr>
              <w:t xml:space="preserve">iOS</w:t>
            </w:r>
          </w:p>
        </w:tc>
        <w:tc>
          <w:tcPr>
            <w:tcW w:w="0" w:type="auto"/>
            <w:shd w:val="clear" w:color="auto" w:fill="D9D9D9"/>
          </w:tcPr>
          <w:p>
            <w:pPr>
              <w:spacing w:after="0" w:line="240" w:lineRule="auto"/>
              <w:rPr>
                <w:b/>
              </w:rPr>
            </w:pPr>
            <w:r>
              <w:rPr>
                <w:b/>
              </w:rPr>
              <w:t xml:space="preserve">Ohne Belegung</w:t>
            </w:r>
          </w:p>
        </w:tc>
      </w:tr>
      <w:tr>
        <w:tc>
          <w:tcPr>
            <w:tcW w:w="0" w:type="auto"/>
          </w:tcPr>
          <w:p>
            <w:pPr>
              <w:spacing w:after="0" w:line="240" w:lineRule="auto"/>
            </w:pPr>
            <w:r>
              <w:rPr>
                <w:rFonts w:ascii="Consolas" w:hAnsi="Consolas" w:cs="Consolas"/>
                <w:noProof/>
                <w:sz w:val="20"/>
                <w:szCs w:val="20"/>
                <w:shd w:val="clear" w:color="auto" w:fill="EFEFEF"/>
              </w:rPr>
              <w:t xml:space="preserve">Gebaeudewege</w:t>
            </w:r>
          </w:p>
        </w:tc>
        <w:tc>
          <w:tcPr>
            <w:tcW w:w="0" w:type="auto"/>
          </w:tcPr>
          <w:p>
            <w:pPr>
              <w:spacing w:after="0" w:line="240" w:lineRule="auto"/>
            </w:pPr>
            <w:r>
              <w:t xml:space="preserve">zwei statische Haken: </w:t>
            </w:r>
            <w:r>
              <w:rPr>
                <w:rFonts w:ascii="Consolas" w:hAnsi="Consolas" w:cs="Consolas"/>
                <w:noProof/>
                <w:sz w:val="20"/>
                <w:szCs w:val="20"/>
                <w:shd w:val="clear" w:color="auto" w:fill="EFEFEF"/>
              </w:rPr>
              <w:t xml:space="preserve">BrauchwasserGaben</w:t>
            </w:r>
            <w:r>
              <w:t xml:space="preserve">, </w:t>
            </w:r>
            <w:r>
              <w:rPr>
                <w:rFonts w:ascii="Consolas" w:hAnsi="Consolas" w:cs="Consolas"/>
                <w:noProof/>
                <w:sz w:val="20"/>
                <w:szCs w:val="20"/>
                <w:shd w:val="clear" w:color="auto" w:fill="EFEFEF"/>
              </w:rPr>
              <w:t xml:space="preserve">GebaeudetypGaben</w:t>
            </w:r>
          </w:p>
        </w:tc>
        <w:tc>
          <w:tcPr>
            <w:tcW w:w="0" w:type="auto"/>
          </w:tcPr>
          <w:p>
            <w:pPr>
              <w:spacing w:after="0" w:line="240" w:lineRule="auto"/>
            </w:pPr>
            <w:r>
              <w:t xml:space="preserve">belegt in </w:t>
            </w:r>
            <w:r>
              <w:rPr>
                <w:rFonts w:ascii="Consolas" w:hAnsi="Consolas" w:cs="Consolas"/>
                <w:noProof/>
                <w:sz w:val="20"/>
                <w:szCs w:val="20"/>
                <w:shd w:val="clear" w:color="auto" w:fill="EFEFEF"/>
              </w:rPr>
              <w:t xml:space="preserve">Program.Main</w:t>
            </w:r>
          </w:p>
        </w:tc>
        <w:tc>
          <w:tcPr>
            <w:tcW w:w="0" w:type="auto"/>
          </w:tcPr>
          <w:p>
            <w:pPr>
              <w:spacing w:after="0" w:line="240" w:lineRule="auto"/>
            </w:pPr>
            <w:r>
              <w:t xml:space="preserve">lässt leer</w:t>
            </w:r>
          </w:p>
        </w:tc>
        <w:tc>
          <w:tcPr>
            <w:tcW w:w="0" w:type="auto"/>
          </w:tcPr>
          <w:p>
            <w:pPr>
              <w:spacing w:after="0" w:line="240" w:lineRule="auto"/>
            </w:pPr>
            <w:r>
              <w:rPr>
                <w:b/>
              </w:rPr>
              <w:t xml:space="preserve">„Kein Delegat ist kein Knopf"</w:t>
            </w:r>
            <w:r>
              <w:t xml:space="preserve"> — der Dialog zeigt den Knopf nicht, die Kernfunktion bleibt vollständig</w:t>
            </w:r>
          </w:p>
        </w:tc>
      </w:tr>
      <w:tr>
        <w:tc>
          <w:tcPr>
            <w:tcW w:w="0" w:type="auto"/>
          </w:tcPr>
          <w:p>
            <w:pPr>
              <w:spacing w:after="0" w:line="240" w:lineRule="auto"/>
            </w:pPr>
            <w:r>
              <w:rPr>
                <w:rFonts w:ascii="Consolas" w:hAnsi="Consolas" w:cs="Consolas"/>
                <w:noProof/>
                <w:sz w:val="20"/>
                <w:szCs w:val="20"/>
                <w:shd w:val="clear" w:color="auto" w:fill="EFEFEF"/>
              </w:rPr>
              <w:t xml:space="preserve">IGebaeudeLeser</w:t>
            </w:r>
          </w:p>
        </w:tc>
        <w:tc>
          <w:tcPr>
            <w:tcW w:w="0" w:type="auto"/>
          </w:tcPr>
          <w:p>
            <w:pPr>
              <w:spacing w:after="0" w:line="240" w:lineRule="auto"/>
            </w:pPr>
            <w:r>
              <w:rPr>
                <w:rFonts w:ascii="Consolas" w:hAnsi="Consolas" w:cs="Consolas"/>
                <w:noProof/>
                <w:sz w:val="20"/>
                <w:szCs w:val="20"/>
                <w:shd w:val="clear" w:color="auto" w:fill="EFEFEF"/>
              </w:rPr>
              <w:t xml:space="preserve">Lesen(strom, profil, melder, abbruch)</w:t>
            </w:r>
            <w:r>
              <w:t xml:space="preserve"> liefert ein Abbild — </w:t>
            </w:r>
            <w:r>
              <w:rPr>
                <w:b/>
              </w:rPr>
              <w:t xml:space="preserve">Strom statt Pfad</w:t>
            </w:r>
            <w:r>
              <w:t xml:space="preserve"> (auf iOS liefert ihn der Dateiwähler, und der </w:t>
            </w:r>
            <w:r>
              <w:rPr>
                <w:rFonts w:ascii="Consolas" w:hAnsi="Consolas" w:cs="Consolas"/>
                <w:noProof/>
                <w:sz w:val="20"/>
                <w:szCs w:val="20"/>
                <w:shd w:val="clear" w:color="auto" w:fill="EFEFEF"/>
              </w:rPr>
              <w:t xml:space="preserve">.ifczip</w:t>
            </w:r>
            <w:r>
              <w:t xml:space="preserve">-Fall muss in den Behälter hineinsehen), </w:t>
            </w:r>
            <w:r>
              <w:rPr>
                <w:b/>
              </w:rPr>
              <w:t xml:space="preserve">Profil in der Signatur</w:t>
            </w:r>
            <w:r>
              <w:t xml:space="preserve">, weil es Dateifilter, Größengrenze, Schemaanzeige und Zonierungsregeln trägt; zwei Ausprägungen für IFC und gbXML</w:t>
            </w:r>
          </w:p>
        </w:tc>
        <w:tc>
          <w:tcPr>
            <w:tcW w:w="0" w:type="auto"/>
          </w:tcPr>
          <w:p>
            <w:pPr>
              <w:spacing w:after="0" w:line="240" w:lineRule="auto"/>
            </w:pPr>
            <w:r>
              <w:t xml:space="preserve">beide</w:t>
            </w:r>
          </w:p>
        </w:tc>
        <w:tc>
          <w:tcPr>
            <w:tcW w:w="0" w:type="auto"/>
          </w:tcPr>
          <w:p>
            <w:pPr>
              <w:spacing w:after="0" w:line="240" w:lineRule="auto"/>
            </w:pPr>
            <w:r>
              <w:t xml:space="preserve">beide</w:t>
            </w:r>
          </w:p>
        </w:tc>
        <w:tc>
          <w:tcPr>
            <w:tcW w:w="0" w:type="auto"/>
          </w:tcPr>
          <w:p>
            <w:pPr>
              <w:spacing w:after="0" w:line="240" w:lineRule="auto"/>
            </w:pPr>
            <w:r>
              <w:t xml:space="preserve">der Ablauf legt eine Meldung der Stufe </w:t>
            </w:r>
            <w:r>
              <w:rPr>
                <w:b/>
              </w:rPr>
              <w:t xml:space="preserve">Fehler</w:t>
            </w:r>
            <w:r>
              <w:t xml:space="preserve"> und endet — nie eine Ausnahme</w:t>
            </w:r>
          </w:p>
        </w:tc>
      </w:tr>
      <w:tr>
        <w:tc>
          <w:tcPr>
            <w:tcW w:w="0" w:type="auto"/>
          </w:tcPr>
          <w:p>
            <w:pPr>
              <w:spacing w:after="0" w:line="240" w:lineRule="auto"/>
            </w:pPr>
            <w:r>
              <w:rPr>
                <w:rFonts w:ascii="Consolas" w:hAnsi="Consolas" w:cs="Consolas"/>
                <w:noProof/>
                <w:sz w:val="20"/>
                <w:szCs w:val="20"/>
                <w:shd w:val="clear" w:color="auto" w:fill="EFEFEF"/>
              </w:rPr>
              <w:t xml:space="preserve">IGebaeudeSchreiber</w:t>
            </w:r>
          </w:p>
        </w:tc>
        <w:tc>
          <w:tcPr>
            <w:tcW w:w="0" w:type="auto"/>
          </w:tcPr>
          <w:p>
            <w:pPr>
              <w:spacing w:after="0" w:line="240" w:lineRule="auto"/>
            </w:pPr>
            <w:r>
              <w:rPr>
                <w:rFonts w:ascii="Consolas" w:hAnsi="Consolas" w:cs="Consolas"/>
                <w:noProof/>
                <w:sz w:val="20"/>
                <w:szCs w:val="20"/>
                <w:shd w:val="clear" w:color="auto" w:fill="EFEFEF"/>
              </w:rPr>
              <w:t xml:space="preserve">Schreiben(satz, stream, profil)</w:t>
            </w:r>
            <w:r>
              <w:t xml:space="preserve"> liefert eine Bilanz; zwei Ausprägungen</w:t>
            </w:r>
          </w:p>
        </w:tc>
        <w:tc>
          <w:tcPr>
            <w:tcW w:w="0" w:type="auto"/>
          </w:tcPr>
          <w:p>
            <w:pPr>
              <w:spacing w:after="0" w:line="240" w:lineRule="auto"/>
            </w:pPr>
            <w:r>
              <w:t xml:space="preserve">beide</w:t>
            </w:r>
          </w:p>
        </w:tc>
        <w:tc>
          <w:tcPr>
            <w:tcW w:w="0" w:type="auto"/>
          </w:tcPr>
          <w:p>
            <w:pPr>
              <w:spacing w:after="0" w:line="240" w:lineRule="auto"/>
            </w:pPr>
            <w:r>
              <w:t xml:space="preserve">beide (</w:t>
            </w:r>
            <w:r>
              <w:rPr>
                <w:rFonts w:ascii="Consolas" w:hAnsi="Consolas" w:cs="Consolas"/>
                <w:noProof/>
                <w:sz w:val="20"/>
                <w:szCs w:val="20"/>
                <w:shd w:val="clear" w:color="auto" w:fill="EFEFEF"/>
              </w:rPr>
              <w:t xml:space="preserve">Stream</w:t>
            </w:r>
            <w:r>
              <w:t xml:space="preserve">, kein Zielwahldialog nötig)</w:t>
            </w:r>
          </w:p>
        </w:tc>
        <w:tc>
          <w:tcPr>
            <w:tcW w:w="0" w:type="auto"/>
          </w:tcPr>
          <w:p>
            <w:pPr>
              <w:spacing w:after="0" w:line="240" w:lineRule="auto"/>
            </w:pPr>
            <w:r>
              <w:t xml:space="preserve">wie oben</w:t>
            </w:r>
          </w:p>
        </w:tc>
      </w:tr>
      <w:tr>
        <w:tc>
          <w:tcPr>
            <w:tcW w:w="0" w:type="auto"/>
          </w:tcPr>
          <w:p>
            <w:pPr>
              <w:spacing w:after="0" w:line="240" w:lineRule="auto"/>
            </w:pPr>
            <w:r>
              <w:rPr>
                <w:rFonts w:ascii="Consolas" w:hAnsi="Consolas" w:cs="Consolas"/>
                <w:noProof/>
                <w:sz w:val="20"/>
                <w:szCs w:val="20"/>
                <w:shd w:val="clear" w:color="auto" w:fill="EFEFEF"/>
              </w:rPr>
              <w:t xml:space="preserve">Dienste.Datei</w:t>
            </w:r>
            <w:r>
              <w:t xml:space="preserve"> (Bestand)</w:t>
            </w:r>
          </w:p>
        </w:tc>
        <w:tc>
          <w:tcPr>
            <w:tcW w:w="0" w:type="auto"/>
          </w:tcPr>
          <w:p>
            <w:pPr>
              <w:spacing w:after="0" w:line="240" w:lineRule="auto"/>
            </w:pPr>
            <w:r>
              <w:rPr>
                <w:rFonts w:ascii="Consolas" w:hAnsi="Consolas" w:cs="Consolas"/>
                <w:noProof/>
                <w:sz w:val="20"/>
                <w:szCs w:val="20"/>
                <w:shd w:val="clear" w:color="auto" w:fill="EFEFEF"/>
              </w:rPr>
              <w:t xml:space="preserve">DateiOeffnenAsync</w:t>
            </w:r>
            <w:r>
              <w:t xml:space="preserve">, </w:t>
            </w:r>
            <w:r>
              <w:rPr>
                <w:rFonts w:ascii="Consolas" w:hAnsi="Consolas" w:cs="Consolas"/>
                <w:noProof/>
                <w:sz w:val="20"/>
                <w:szCs w:val="20"/>
                <w:shd w:val="clear" w:color="auto" w:fill="EFEFEF"/>
              </w:rPr>
              <w:t xml:space="preserve">DateiSpeichernAsync</w:t>
            </w:r>
            <w:r>
              <w:t xml:space="preserve">, </w:t>
            </w:r>
            <w:r>
              <w:rPr>
                <w:rFonts w:ascii="Consolas" w:hAnsi="Consolas" w:cs="Consolas"/>
                <w:noProof/>
                <w:sz w:val="20"/>
                <w:szCs w:val="20"/>
                <w:shd w:val="clear" w:color="auto" w:fill="EFEFEF"/>
              </w:rPr>
              <w:t xml:space="preserve">MitSystemOeffnen</w:t>
            </w:r>
            <w:r>
              <w:t xml:space="preserve"> — </w:t>
            </w:r>
            <w:r>
              <w:rPr>
                <w:b/>
              </w:rPr>
              <w:t xml:space="preserve">asynchron ist Pflicht</w:t>
            </w:r>
          </w:p>
        </w:tc>
        <w:tc>
          <w:tcPr>
            <w:tcW w:w="0" w:type="auto"/>
          </w:tcPr>
          <w:p>
            <w:pPr>
              <w:spacing w:after="0" w:line="240" w:lineRule="auto"/>
            </w:pPr>
            <w:r>
              <w:t xml:space="preserve">Dateiwähler</w:t>
            </w:r>
          </w:p>
        </w:tc>
        <w:tc>
          <w:tcPr>
            <w:tcW w:w="0" w:type="auto"/>
          </w:tcPr>
          <w:p>
            <w:pPr>
              <w:spacing w:after="0" w:line="240" w:lineRule="auto"/>
            </w:pPr>
            <w:r>
              <w:t xml:space="preserve">Dateiwähler, Ablage unter </w:t>
            </w:r>
            <w:r>
              <w:rPr>
                <w:rFonts w:ascii="Consolas" w:hAnsi="Consolas" w:cs="Consolas"/>
                <w:noProof/>
                <w:sz w:val="20"/>
                <w:szCs w:val="20"/>
                <w:shd w:val="clear" w:color="auto" w:fill="EFEFEF"/>
              </w:rPr>
              <w:t xml:space="preserve">Documents</w:t>
            </w:r>
            <w:r>
              <w:t xml:space="preserve">, </w:t>
            </w:r>
            <w:r>
              <w:rPr>
                <w:b/>
              </w:rPr>
              <w:t xml:space="preserve">Teilen-Blatt</w:t>
            </w:r>
            <w:r>
              <w:t xml:space="preserve"> statt „Speichern unter…"</w:t>
            </w:r>
          </w:p>
        </w:tc>
        <w:tc>
          <w:tcPr>
            <w:tcW w:w="0" w:type="auto"/>
          </w:tcPr>
          <w:p>
            <w:pPr>
              <w:spacing w:after="0" w:line="240" w:lineRule="auto"/>
            </w:pPr>
            <w:r>
              <w:t xml:space="preserve">liefert leer, der Aufrufer tut nichts</w:t>
            </w:r>
          </w:p>
        </w:tc>
      </w:tr>
      <w:tr>
        <w:tc>
          <w:tcPr>
            <w:tcW w:w="0" w:type="auto"/>
          </w:tcPr>
          <w:p>
            <w:pPr>
              <w:spacing w:after="0" w:line="240" w:lineRule="auto"/>
            </w:pPr>
            <w:r>
              <w:t xml:space="preserve">Fortschritt und Abbruch (Bestand)</w:t>
            </w:r>
          </w:p>
        </w:tc>
        <w:tc>
          <w:tcPr>
            <w:tcW w:w="0" w:type="auto"/>
          </w:tcPr>
          <w:p>
            <w:pPr>
              <w:spacing w:after="0" w:line="240" w:lineRule="auto"/>
            </w:pPr>
            <w:r>
              <w:t xml:space="preserve">Melder und Abbruchmarke hinein, Bilanz heraus</w:t>
            </w:r>
          </w:p>
        </w:tc>
        <w:tc>
          <w:tcPr>
            <w:tcW w:w="0" w:type="auto"/>
          </w:tcPr>
          <w:p>
            <w:pPr>
              <w:spacing w:after="0" w:line="240" w:lineRule="auto"/>
            </w:pPr>
            <w:r>
              <w:t xml:space="preserve">Fadenwechsel in der Hülle</w:t>
            </w:r>
          </w:p>
        </w:tc>
        <w:tc>
          <w:tcPr>
            <w:tcW w:w="0" w:type="auto"/>
          </w:tcPr>
          <w:p>
            <w:pPr>
              <w:spacing w:after="0" w:line="240" w:lineRule="auto"/>
            </w:pPr>
            <w:r>
              <w:t xml:space="preserve">derselbe Weg</w:t>
            </w:r>
          </w:p>
        </w:tc>
        <w:tc>
          <w:tcPr>
            <w:tcW w:w="0" w:type="auto"/>
          </w:tcPr>
          <w:p>
            <w:pPr>
              <w:spacing w:after="0" w:line="240" w:lineRule="auto"/>
            </w:pPr>
            <w:r>
              <w:t xml:space="preserve">der Lauf läuft still durch — das ist erlaubt</w:t>
            </w:r>
          </w:p>
        </w:tc>
      </w:tr>
    </w:tbl>
    <w:p>
      <w:pPr>
        <w:spacing w:after="120"/>
      </w:pPr>
    </w:p>
    <w:p>
      <w:r>
        <w:t xml:space="preserve">Drei Regeln gelten für jede dieser Nähte. Ein Delegat, der Oberfläche der Plattform öffnet, wird </w:t>
      </w:r>
      <w:r>
        <w:rPr>
          <w:b/>
        </w:rPr>
        <w:t xml:space="preserve">erwartet und nie synchron ausgewertet</w:t>
      </w:r>
      <w:r>
        <w:t xml:space="preserve"> — synchron stürzt die WebView ab. Die </w:t>
      </w:r>
      <w:r>
        <w:rPr>
          <w:b/>
        </w:rPr>
        <w:t xml:space="preserve">Größengrenze ist kein Glied der Plattformnaht, sondern ein Datum des Profils</w:t>
      </w:r>
      <w:r>
        <w:t xml:space="preserve">: vier Zahlen, nicht eine, und die beiden iOS-Zahlen sind zu messen. Und was je Format verschieden ist — Dateifilter, Größengrenze, Schemaanzeige, Liste der Zonierungsregeln —, steht </w:t>
      </w:r>
      <w:r>
        <w:rPr>
          <w:b/>
        </w:rPr>
        <w:t xml:space="preserve">als Daten im Profil</w:t>
      </w:r>
      <w:r>
        <w:t xml:space="preserve">, nicht im Quelltext des Dialogs; ein Wächter hält Formatnamen aus der Komponente heraus.</w:t>
      </w:r>
    </w:p>
    <w:p>
      <w:r>
        <w:rPr>
          <w:b/>
        </w:rPr>
        <w:t xml:space="preserve">Die iOS-Lage in vier Punkten.</w:t>
      </w:r>
      <w:r>
        <w:t xml:space="preserve"> Die </w:t>
      </w:r>
      <w:r>
        <w:rPr>
          <w:rFonts w:ascii="Consolas" w:hAnsi="Consolas" w:cs="Consolas"/>
          <w:noProof/>
          <w:sz w:val="20"/>
          <w:szCs w:val="20"/>
          <w:shd w:val="clear" w:color="auto" w:fill="EFEFEF"/>
        </w:rPr>
        <w:t xml:space="preserve">AppWurzel</w:t>
      </w:r>
      <w:r>
        <w:t xml:space="preserve"> kennt dreizehn freie Ansichten selbst, die übrigen 25 Maskenschlüssel beantwortet die Plattformhülle — unter Windows mit einem modalen Fenster, auf iOS mit </w:t>
      </w:r>
      <w:r>
        <w:rPr>
          <w:rFonts w:ascii="Consolas" w:hAnsi="Consolas" w:cs="Consolas"/>
          <w:noProof/>
          <w:sz w:val="20"/>
          <w:szCs w:val="20"/>
          <w:shd w:val="clear" w:color="auto" w:fill="EFEFEF"/>
        </w:rPr>
        <w:t xml:space="preserve">false</w:t>
      </w:r>
      <w:r>
        <w:t xml:space="preserve">; Gebäude, Klima und alle Importe sind auf dem iPad deshalb heute unerreichbar, nicht weil die Komponenten fehlen, sondern weil ihre Hüllen in der Windows-Schale liegen. Der Hüllenumzug nach </w:t>
      </w:r>
      <w:r>
        <w:rPr>
          <w:rFonts w:ascii="Consolas" w:hAnsi="Consolas" w:cs="Consolas"/>
          <w:noProof/>
          <w:sz w:val="20"/>
          <w:szCs w:val="20"/>
          <w:shd w:val="clear" w:color="auto" w:fill="EFEFEF"/>
        </w:rPr>
        <w:t xml:space="preserve">EPOS.UI.Daten</w:t>
      </w:r>
      <w:r>
        <w:t xml:space="preserve"> ist damit Vorbedingung. Zonen-, Bauteil- und Importdialog </w:t>
      </w:r>
      <w:r>
        <w:rPr>
          <w:b/>
        </w:rPr>
        <w:t xml:space="preserve">müssen</w:t>
      </w:r>
      <w:r>
        <w:t xml:space="preserve"> Überlagerungen sein, vier Ebenen tief. Und für alles, was iOS nicht kann, steht eine </w:t>
      </w:r>
      <w:r>
        <w:rPr>
          <w:b/>
        </w:rPr>
        <w:t xml:space="preserve">benannte Absage</w:t>
      </w:r>
      <w:r>
        <w:t xml:space="preserve"> statt eines stummen </w:t>
      </w:r>
      <w:r>
        <w:rPr>
          <w:rFonts w:ascii="Consolas" w:hAnsi="Consolas" w:cs="Consolas"/>
          <w:noProof/>
          <w:sz w:val="20"/>
          <w:szCs w:val="20"/>
          <w:shd w:val="clear" w:color="auto" w:fill="EFEFEF"/>
        </w:rPr>
        <w:t xml:space="preserve">false</w:t>
      </w:r>
      <w:r>
        <w:t xml:space="preserve">.</w:t>
      </w:r>
    </w:p>
    <w:p>
      <w:pPr>
        <w:pStyle w:val="Heading2"/>
      </w:pPr>
      <w:r>
        <w:t xml:space="preserve">3.4 Zustand, Fäden und Kultur</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Regel</w:t>
            </w:r>
          </w:p>
        </w:tc>
        <w:tc>
          <w:tcPr>
            <w:tcW w:w="0" w:type="auto"/>
            <w:shd w:val="clear" w:color="auto" w:fill="D9D9D9"/>
          </w:tcPr>
          <w:p>
            <w:pPr>
              <w:spacing w:after="0" w:line="240" w:lineRule="auto"/>
              <w:rPr>
                <w:b/>
              </w:rPr>
            </w:pPr>
            <w:r>
              <w:rPr>
                <w:b/>
              </w:rPr>
              <w:t xml:space="preserve">Ausprägung</w:t>
            </w:r>
          </w:p>
        </w:tc>
        <w:tc>
          <w:tcPr>
            <w:tcW w:w="0" w:type="auto"/>
            <w:shd w:val="clear" w:color="auto" w:fill="D9D9D9"/>
          </w:tcPr>
          <w:p>
            <w:pPr>
              <w:spacing w:after="0" w:line="240" w:lineRule="auto"/>
              <w:rPr>
                <w:b/>
              </w:rPr>
            </w:pPr>
            <w:r>
              <w:rPr>
                <w:b/>
              </w:rPr>
              <w:t xml:space="preserve">Warum</w:t>
            </w:r>
          </w:p>
        </w:tc>
      </w:tr>
      <w:tr>
        <w:tc>
          <w:tcPr>
            <w:tcW w:w="0" w:type="auto"/>
          </w:tcPr>
          <w:p>
            <w:pPr>
              <w:spacing w:after="0" w:line="240" w:lineRule="auto"/>
            </w:pPr>
            <w:r>
              <w:rPr>
                <w:b/>
              </w:rPr>
              <w:t xml:space="preserve">Zustand je Instanz, nichts Statisches</w:t>
            </w:r>
          </w:p>
        </w:tc>
        <w:tc>
          <w:tcPr>
            <w:tcW w:w="0" w:type="auto"/>
          </w:tcPr>
          <w:p>
            <w:pPr>
              <w:spacing w:after="0" w:line="240" w:lineRule="auto"/>
            </w:pPr>
            <w:r>
              <w:t xml:space="preserve">ein Löser entsteht je Gebäude bzw. je Zone und wird je Gebäude verworfen</w:t>
            </w:r>
          </w:p>
        </w:tc>
        <w:tc>
          <w:tcPr>
            <w:tcW w:w="0" w:type="auto"/>
          </w:tcPr>
          <w:p>
            <w:pPr>
              <w:spacing w:after="0" w:line="240" w:lineRule="auto"/>
            </w:pPr>
            <w:r>
              <w:t xml:space="preserve">der Bestand hat genau diese Falle: ein statisches Temperaturfeld, und das Ergebnis hängt an der Zeilenreihenfolge. GB behebt es </w:t>
            </w:r>
            <w:r>
              <w:rPr>
                <w:b/>
              </w:rPr>
              <w:t xml:space="preserve">vor</w:t>
            </w:r>
            <w:r>
              <w:t xml:space="preserve"> der ersten Zeile Stundenmodell</w:t>
            </w:r>
          </w:p>
        </w:tc>
      </w:tr>
      <w:tr>
        <w:tc>
          <w:tcPr>
            <w:tcW w:w="0" w:type="auto"/>
          </w:tcPr>
          <w:p>
            <w:pPr>
              <w:spacing w:after="0" w:line="240" w:lineRule="auto"/>
            </w:pPr>
            <w:r>
              <w:rPr>
                <w:b/>
              </w:rPr>
              <w:t xml:space="preserve">Der Vorlauf gehört in den Löser</w:t>
            </w:r>
          </w:p>
        </w:tc>
        <w:tc>
          <w:tcPr>
            <w:tcW w:w="0" w:type="auto"/>
          </w:tcPr>
          <w:p>
            <w:pPr>
              <w:spacing w:after="0" w:line="240" w:lineRule="auto"/>
            </w:pPr>
            <w:r>
              <w:t xml:space="preserve">der Löser fährt seinen Vorlauf selbst, der Aufrufer sieht ihn nicht</w:t>
            </w:r>
          </w:p>
        </w:tc>
        <w:tc>
          <w:tcPr>
            <w:tcW w:w="0" w:type="auto"/>
          </w:tcPr>
          <w:p>
            <w:pPr>
              <w:spacing w:after="0" w:line="240" w:lineRule="auto"/>
            </w:pPr>
            <w:r>
              <w:t xml:space="preserve">wer ihn außen anhängt, hat wieder einen Zustand, der zwischen Gebäuden reisen kann</w:t>
            </w:r>
          </w:p>
        </w:tc>
      </w:tr>
      <w:tr>
        <w:tc>
          <w:tcPr>
            <w:tcW w:w="0" w:type="auto"/>
          </w:tcPr>
          <w:p>
            <w:pPr>
              <w:spacing w:after="0" w:line="240" w:lineRule="auto"/>
            </w:pPr>
            <w:r>
              <w:rPr>
                <w:b/>
              </w:rPr>
              <w:t xml:space="preserve">Zweimal rechnen muss gehen</w:t>
            </w:r>
          </w:p>
        </w:tc>
        <w:tc>
          <w:tcPr>
            <w:tcW w:w="0" w:type="auto"/>
          </w:tcPr>
          <w:p>
            <w:pPr>
              <w:spacing w:after="0" w:line="240" w:lineRule="auto"/>
            </w:pPr>
            <w:r>
              <w:rPr>
                <w:rFonts w:ascii="Consolas" w:hAnsi="Consolas" w:cs="Consolas"/>
                <w:noProof/>
                <w:sz w:val="20"/>
                <w:szCs w:val="20"/>
                <w:shd w:val="clear" w:color="auto" w:fill="EFEFEF"/>
              </w:rPr>
              <w:t xml:space="preserve">Zuruecksetzen</w:t>
            </w:r>
            <w:r>
              <w:t xml:space="preserve"> vor jedem Lauf; die Verbrauchsrückrechnung ruft den Löser ein zweites Mal</w:t>
            </w:r>
          </w:p>
        </w:tc>
        <w:tc>
          <w:tcPr>
            <w:tcW w:w="0" w:type="auto"/>
          </w:tcPr>
          <w:p>
            <w:pPr>
              <w:spacing w:after="0" w:line="240" w:lineRule="auto"/>
            </w:pPr>
            <w:r>
              <w:t xml:space="preserve">sonst mischt die Verhältnisrechnung zwei Zustände</w:t>
            </w:r>
          </w:p>
        </w:tc>
      </w:tr>
      <w:tr>
        <w:tc>
          <w:tcPr>
            <w:tcW w:w="0" w:type="auto"/>
          </w:tcPr>
          <w:p>
            <w:pPr>
              <w:spacing w:after="0" w:line="240" w:lineRule="auto"/>
            </w:pPr>
            <w:r>
              <w:rPr>
                <w:b/>
              </w:rPr>
              <w:t xml:space="preserve">Der Lauf ist einfädig</w:t>
            </w:r>
          </w:p>
        </w:tc>
        <w:tc>
          <w:tcPr>
            <w:tcW w:w="0" w:type="auto"/>
          </w:tcPr>
          <w:p>
            <w:pPr>
              <w:spacing w:after="0" w:line="240" w:lineRule="auto"/>
            </w:pPr>
            <w:r>
              <w:t xml:space="preserve">kein </w:t>
            </w:r>
            <w:r>
              <w:rPr>
                <w:rFonts w:ascii="Consolas" w:hAnsi="Consolas" w:cs="Consolas"/>
                <w:noProof/>
                <w:sz w:val="20"/>
                <w:szCs w:val="20"/>
                <w:shd w:val="clear" w:color="auto" w:fill="EFEFEF"/>
              </w:rPr>
              <w:t xml:space="preserve">Parallel.For</w:t>
            </w:r>
            <w:r>
              <w:t xml:space="preserve"> über die Gebäude, kein </w:t>
            </w:r>
            <w:r>
              <w:rPr>
                <w:rFonts w:ascii="Consolas" w:hAnsi="Consolas" w:cs="Consolas"/>
                <w:noProof/>
                <w:sz w:val="20"/>
                <w:szCs w:val="20"/>
                <w:shd w:val="clear" w:color="auto" w:fill="EFEFEF"/>
              </w:rPr>
              <w:t xml:space="preserve">Task.Run</w:t>
            </w:r>
            <w:r>
              <w:t xml:space="preserve"> in Kern, Engine und Oberfläche — auch nicht im Codeblock einer </w:t>
            </w:r>
            <w:r>
              <w:rPr>
                <w:rFonts w:ascii="Consolas" w:hAnsi="Consolas" w:cs="Consolas"/>
                <w:noProof/>
                <w:sz w:val="20"/>
                <w:szCs w:val="20"/>
                <w:shd w:val="clear" w:color="auto" w:fill="EFEFEF"/>
              </w:rPr>
              <w:t xml:space="preserve">.razor</w:t>
            </w:r>
          </w:p>
        </w:tc>
        <w:tc>
          <w:tcPr>
            <w:tcW w:w="0" w:type="auto"/>
          </w:tcPr>
          <w:p>
            <w:pPr>
              <w:spacing w:after="0" w:line="240" w:lineRule="auto"/>
            </w:pPr>
            <w:r>
              <w:t xml:space="preserve">das Budget gibt keinen Anlass, und Parallelität widerspräche dem Determinismusversprechen</w:t>
            </w:r>
          </w:p>
        </w:tc>
      </w:tr>
      <w:tr>
        <w:tc>
          <w:tcPr>
            <w:tcW w:w="0" w:type="auto"/>
          </w:tcPr>
          <w:p>
            <w:pPr>
              <w:spacing w:after="0" w:line="240" w:lineRule="auto"/>
            </w:pPr>
            <w:r>
              <w:rPr>
                <w:b/>
              </w:rPr>
              <w:t xml:space="preserve">Fadenwechsel nur in der Hülle</w:t>
            </w:r>
          </w:p>
        </w:tc>
        <w:tc>
          <w:tcPr>
            <w:tcW w:w="0" w:type="auto"/>
          </w:tcPr>
          <w:p>
            <w:pPr>
              <w:spacing w:after="0" w:line="240" w:lineRule="auto"/>
            </w:pPr>
            <w:r>
              <w:t xml:space="preserve">der Importfaden entsteht in der Importhülle, nicht im Ablauf und nicht in der Komponente</w:t>
            </w:r>
          </w:p>
        </w:tc>
        <w:tc>
          <w:tcPr>
            <w:tcW w:w="0" w:type="auto"/>
          </w:tcPr>
          <w:p>
            <w:pPr>
              <w:spacing w:after="0" w:line="240" w:lineRule="auto"/>
            </w:pPr>
            <w:r>
              <w:t xml:space="preserve">ein Faden ohne eigene Kultur liest die prozessweite Vorgabe, und die ist veränderlich</w:t>
            </w:r>
          </w:p>
        </w:tc>
      </w:tr>
      <w:tr>
        <w:tc>
          <w:tcPr>
            <w:tcW w:w="0" w:type="auto"/>
          </w:tcPr>
          <w:p>
            <w:pPr>
              <w:spacing w:after="0" w:line="240" w:lineRule="auto"/>
            </w:pPr>
            <w:r>
              <w:rPr>
                <w:b/>
              </w:rPr>
              <w:t xml:space="preserve">Meldungen über den vorhandenen Kanal</w:t>
            </w:r>
          </w:p>
        </w:tc>
        <w:tc>
          <w:tcPr>
            <w:tcW w:w="0" w:type="auto"/>
          </w:tcPr>
          <w:p>
            <w:pPr>
              <w:spacing w:after="0" w:line="240" w:lineRule="auto"/>
            </w:pPr>
            <w:r>
              <w:t xml:space="preserve">Protokollkanal für Laufwarnungen, Prüfmeldung für Fachprüfungen</w:t>
            </w:r>
          </w:p>
        </w:tc>
        <w:tc>
          <w:tcPr>
            <w:tcW w:w="0" w:type="auto"/>
          </w:tcPr>
          <w:p>
            <w:pPr>
              <w:spacing w:after="0" w:line="240" w:lineRule="auto"/>
            </w:pPr>
            <w:r>
              <w:t xml:space="preserve">keine neue Ausnahmeklasse, keine gewachsene Signatur</w:t>
            </w:r>
          </w:p>
        </w:tc>
      </w:tr>
    </w:tbl>
    <w:p>
      <w:pPr>
        <w:spacing w:after="120"/>
      </w:pPr>
    </w:p>
    <w:p>
      <w:r>
        <w:rPr>
          <w:b/>
        </w:rPr>
        <w:t xml:space="preserve">Der Importfaden, vollständig geregelt</w:t>
      </w:r>
      <w:r>
        <w:t xml:space="preserve"> — er ist der einzige lange Lauf: der Ablauf liest die Datei im Arbeitsfaden und berührt die Datenbank dabei </w:t>
      </w:r>
      <w:r>
        <w:rPr>
          <w:b/>
        </w:rPr>
        <w:t xml:space="preserve">nicht</w:t>
      </w:r>
      <w:r>
        <w:t xml:space="preserve">; geschrieben wird erst in der Übernahme, auf dem Faden des Aufrufers; bis zu rund </w:t>
      </w:r>
      <w:r>
        <w:rPr>
          <w:b/>
        </w:rPr>
        <w:t xml:space="preserve">3 500</w:t>
      </w:r>
      <w:r>
        <w:t xml:space="preserve"> Zeilen je Zonenprojekt gehen in </w:t>
      </w:r>
      <w:r>
        <w:rPr>
          <w:b/>
        </w:rPr>
        <w:t xml:space="preserve">einer</w:t>
      </w:r>
      <w:r>
        <w:t xml:space="preserve"> Transaktion hinein; der Abbruch wirkt im Lese- und im Prüfschritt, der Schreibschritt ist nicht abbrechbar; und solange die Übernahme läuft, steht kein Schließkreuz und Esc schließt nicht.</w:t>
      </w:r>
    </w:p>
    <w:p>
      <w:pPr>
        <w:pStyle w:val="Heading2"/>
      </w:pPr>
      <w:r>
        <w:t xml:space="preserve">3.5 Wächter</w:t>
      </w:r>
    </w:p>
    <w:p>
      <w:r>
        <w:t xml:space="preserve">Fünfzehn prüfbare Sätze haben heute einen Wächter: keine Parallelität in Kern und Oberfläche; wer eine Kultur setzt, stellt sie zurück; wer die Testdatenbank benutzt, trägt die Sammelmarke; kein </w:t>
      </w:r>
      <w:r>
        <w:rPr>
          <w:rFonts w:ascii="Consolas" w:hAnsi="Consolas" w:cs="Consolas"/>
          <w:noProof/>
          <w:sz w:val="20"/>
          <w:szCs w:val="20"/>
          <w:shd w:val="clear" w:color="auto" w:fill="EFEFEF"/>
        </w:rPr>
        <w:t xml:space="preserve">float</w:t>
      </w:r>
      <w:r>
        <w:t xml:space="preserve"> unterhalb von </w:t>
      </w:r>
      <w:r>
        <w:rPr>
          <w:rFonts w:ascii="Consolas" w:hAnsi="Consolas" w:cs="Consolas"/>
          <w:noProof/>
          <w:sz w:val="20"/>
          <w:szCs w:val="20"/>
          <w:shd w:val="clear" w:color="auto" w:fill="EFEFEF"/>
        </w:rPr>
        <w:t xml:space="preserve">Simulation/</w:t>
      </w:r>
      <w:r>
        <w:t xml:space="preserve">; jede Jahressumme trägt ihre Einheit im Namen; kein Faktor 1 000 auf einer Energiemenge in Anzeige und Hüllen; jede Marke, auf die eine Rechnung zusteuert, vergleicht über den Rechenrand; Datenzugriff nur über </w:t>
      </w:r>
      <w:r>
        <w:rPr>
          <w:rFonts w:ascii="Consolas" w:hAnsi="Consolas" w:cs="Consolas"/>
          <w:noProof/>
          <w:sz w:val="20"/>
          <w:szCs w:val="20"/>
          <w:shd w:val="clear" w:color="auto" w:fill="EFEFEF"/>
        </w:rPr>
        <w:t xml:space="preserve">DataRepository</w:t>
      </w:r>
      <w:r>
        <w:t xml:space="preserve"> mit </w:t>
      </w:r>
      <w:r>
        <w:rPr>
          <w:rFonts w:ascii="Consolas" w:hAnsi="Consolas" w:cs="Consolas"/>
          <w:noProof/>
          <w:sz w:val="20"/>
          <w:szCs w:val="20"/>
          <w:shd w:val="clear" w:color="auto" w:fill="EFEFEF"/>
        </w:rPr>
        <w:t xml:space="preserve">?</w:t>
      </w:r>
      <w:r>
        <w:t xml:space="preserve">-Parametern; jeder Gaben-Schlüssel trifft ein </w:t>
      </w:r>
      <w:r>
        <w:rPr>
          <w:rFonts w:ascii="Consolas" w:hAnsi="Consolas" w:cs="Consolas"/>
          <w:noProof/>
          <w:sz w:val="20"/>
          <w:szCs w:val="20"/>
          <w:shd w:val="clear" w:color="auto" w:fill="EFEFEF"/>
        </w:rPr>
        <w:t xml:space="preserve">[Parameter]</w:t>
      </w:r>
      <w:r>
        <w:t xml:space="preserve">; kein modales Systemfenster im Blazor-Ereignis; jeder Dialogkopf trägt das Schließkreuz beim Titel; kein CSS-Nesting und keine verlorene Klammer; keine Arbeitsordner und Datenbankkopien im Repositorium; jeder relative Verweis hat ein Ziel; </w:t>
      </w:r>
      <w:r>
        <w:rPr>
          <w:b/>
        </w:rPr>
        <w:t xml:space="preserve">und jede neue Fachtabelle ist </w:t>
      </w:r>
      <w:r>
        <w:rPr>
          <w:rFonts w:ascii="Consolas" w:hAnsi="Consolas" w:cs="Consolas"/>
          <w:b/>
          <w:noProof/>
          <w:sz w:val="20"/>
          <w:szCs w:val="20"/>
          <w:shd w:val="clear" w:color="auto" w:fill="EFEFEF"/>
        </w:rPr>
        <w:t xml:space="preserve">STRICT</w:t>
      </w:r>
      <w:r>
        <w:rPr>
          <w:b/>
        </w:rPr>
        <w:t xml:space="preserve">, ihr Schlüssel </w:t>
      </w:r>
      <w:r>
        <w:rPr>
          <w:rFonts w:ascii="Consolas" w:hAnsi="Consolas" w:cs="Consolas"/>
          <w:b/>
          <w:noProof/>
          <w:sz w:val="20"/>
          <w:szCs w:val="20"/>
          <w:shd w:val="clear" w:color="auto" w:fill="EFEFEF"/>
        </w:rPr>
        <w:t xml:space="preserve">INTEGER PRIMARY KEY AUTOINCREMENT</w:t>
      </w:r>
      <w:r>
        <w:rPr>
          <w:b/>
        </w:rPr>
        <w:t xml:space="preserve">, jede </w:t>
      </w:r>
      <w:r>
        <w:rPr>
          <w:rFonts w:ascii="Consolas" w:hAnsi="Consolas" w:cs="Consolas"/>
          <w:b/>
          <w:noProof/>
          <w:sz w:val="20"/>
          <w:szCs w:val="20"/>
          <w:shd w:val="clear" w:color="auto" w:fill="EFEFEF"/>
        </w:rPr>
        <w:t xml:space="preserve">CREATE</w:t>
      </w:r>
      <w:r>
        <w:rPr>
          <w:b/>
        </w:rPr>
        <w:t xml:space="preserve">-Anweisung und jeder Index tragen </w:t>
      </w:r>
      <w:r>
        <w:rPr>
          <w:rFonts w:ascii="Consolas" w:hAnsi="Consolas" w:cs="Consolas"/>
          <w:b/>
          <w:noProof/>
          <w:sz w:val="20"/>
          <w:szCs w:val="20"/>
          <w:shd w:val="clear" w:color="auto" w:fill="EFEFEF"/>
        </w:rPr>
        <w:t xml:space="preserve">IF NOT EXISTS</w:t>
      </w:r>
      <w:r>
        <w:rPr>
          <w:b/>
        </w:rPr>
        <w:t xml:space="preserve">, Textlängen stehen als </w:t>
      </w:r>
      <w:r>
        <w:rPr>
          <w:rFonts w:ascii="Consolas" w:hAnsi="Consolas" w:cs="Consolas"/>
          <w:b/>
          <w:noProof/>
          <w:sz w:val="20"/>
          <w:szCs w:val="20"/>
          <w:shd w:val="clear" w:color="auto" w:fill="EFEFEF"/>
        </w:rPr>
        <w:t xml:space="preserve">CHECK (length(...))</w:t>
      </w:r>
      <w:r>
        <w:rPr>
          <w:b/>
        </w:rPr>
        <w:t xml:space="preserve">.</w:t>
      </w:r>
    </w:p>
    <w:p>
      <w:r>
        <w:rPr>
          <w:b/>
        </w:rPr>
        <w:t xml:space="preserve">Drei Wächter kommen hinzu, ein vorhandener bekommt neue Einträge: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Neu</w:t>
            </w:r>
          </w:p>
        </w:tc>
        <w:tc>
          <w:tcPr>
            <w:tcW w:w="0" w:type="auto"/>
            <w:shd w:val="clear" w:color="auto" w:fill="D9D9D9"/>
          </w:tcPr>
          <w:p>
            <w:pPr>
              <w:spacing w:after="0" w:line="240" w:lineRule="auto"/>
              <w:rPr>
                <w:b/>
              </w:rPr>
            </w:pPr>
            <w:r>
              <w:rPr>
                <w:b/>
              </w:rPr>
              <w:t xml:space="preserve">Was er prüft</w:t>
            </w:r>
          </w:p>
        </w:tc>
        <w:tc>
          <w:tcPr>
            <w:tcW w:w="0" w:type="auto"/>
            <w:shd w:val="clear" w:color="auto" w:fill="D9D9D9"/>
          </w:tcPr>
          <w:p>
            <w:pPr>
              <w:spacing w:after="0" w:line="240" w:lineRule="auto"/>
              <w:rPr>
                <w:b/>
              </w:rPr>
            </w:pPr>
            <w:r>
              <w:rPr>
                <w:b/>
              </w:rPr>
              <w:t xml:space="preserve">Warum</w:t>
            </w:r>
          </w:p>
        </w:tc>
      </w:tr>
      <w:tr>
        <w:tc>
          <w:tcPr>
            <w:tcW w:w="0" w:type="auto"/>
          </w:tcPr>
          <w:p>
            <w:pPr>
              <w:spacing w:after="0" w:line="240" w:lineRule="auto"/>
            </w:pPr>
            <w:r>
              <w:rPr>
                <w:b/>
              </w:rPr>
              <w:t xml:space="preserve">Sichtquellen-Wache</w:t>
            </w:r>
          </w:p>
        </w:tc>
        <w:tc>
          <w:tcPr>
            <w:tcW w:w="0" w:type="auto"/>
          </w:tcPr>
          <w:p>
            <w:pPr>
              <w:spacing w:after="0" w:line="240" w:lineRule="auto"/>
            </w:pPr>
            <w:r>
              <w:t xml:space="preserve">im ganzen Baum steht </w:t>
            </w:r>
            <w:r>
              <w:rPr>
                <w:b/>
              </w:rPr>
              <w:t xml:space="preserve">kein zweites</w:t>
            </w:r>
            <w:r>
              <w:t xml:space="preserve"> </w:t>
            </w:r>
            <w:r>
              <w:rPr>
                <w:rFonts w:ascii="Consolas" w:hAnsi="Consolas" w:cs="Consolas"/>
                <w:noProof/>
                <w:sz w:val="20"/>
                <w:szCs w:val="20"/>
                <w:shd w:val="clear" w:color="auto" w:fill="EFEFEF"/>
              </w:rPr>
              <w:t xml:space="preserve">CREATE VIEW</w:t>
            </w:r>
            <w:r>
              <w:t xml:space="preserve"> für die Projektgebäude-Sicht; ab </w:t>
            </w:r>
            <w:r>
              <w:rPr>
                <w:b/>
              </w:rPr>
              <w:t xml:space="preserve">M3</w:t>
            </w:r>
            <w:r>
              <w:t xml:space="preserve"> ist die Schema-Klasse die einzige Quelle</w:t>
            </w:r>
          </w:p>
        </w:tc>
        <w:tc>
          <w:tcPr>
            <w:tcW w:w="0" w:type="auto"/>
          </w:tcPr>
          <w:p>
            <w:pPr>
              <w:spacing w:after="0" w:line="240" w:lineRule="auto"/>
            </w:pPr>
            <w:r>
              <w:t xml:space="preserve">SQLite kennt kein </w:t>
            </w:r>
            <w:r>
              <w:rPr>
                <w:rFonts w:ascii="Consolas" w:hAnsi="Consolas" w:cs="Consolas"/>
                <w:noProof/>
                <w:sz w:val="20"/>
                <w:szCs w:val="20"/>
                <w:shd w:val="clear" w:color="auto" w:fill="EFEFEF"/>
              </w:rPr>
              <w:t xml:space="preserve">ALTER VIEW</w:t>
            </w:r>
            <w:r>
              <w:t xml:space="preserve">; zwei Quellen laufen beim ersten Nachtrag auseinander, und der Fehler fiele erst im Leser auf</w:t>
            </w:r>
          </w:p>
        </w:tc>
      </w:tr>
      <w:tr>
        <w:tc>
          <w:tcPr>
            <w:tcW w:w="0" w:type="auto"/>
          </w:tcPr>
          <w:p>
            <w:pPr>
              <w:spacing w:after="0" w:line="240" w:lineRule="auto"/>
            </w:pPr>
            <w:r>
              <w:rPr>
                <w:b/>
              </w:rPr>
              <w:t xml:space="preserve">Determinismusprobe</w:t>
            </w:r>
          </w:p>
        </w:tc>
        <w:tc>
          <w:tcPr>
            <w:tcW w:w="0" w:type="auto"/>
          </w:tcPr>
          <w:p>
            <w:pPr>
              <w:spacing w:after="0" w:line="240" w:lineRule="auto"/>
            </w:pPr>
            <w:r>
              <w:t xml:space="preserve">dasselbe Gebäude zweimal gerechnet liefert byte-gleiche Reihen; ein Projekt mit zwei Gebäuden liefert dasselbe Ergebnis in umgekehrter Zeilenreihenfolge. </w:t>
            </w:r>
            <w:r>
              <w:rPr>
                <w:b/>
              </w:rPr>
              <w:t xml:space="preserve">Ab G6c dazu die Geometrie:</w:t>
            </w:r>
            <w:r>
              <w:t xml:space="preserve"> dieselbe Eingabe ergibt dieselben Polygone in derselben Reihenfolge — und damit einen byte-gleichen Export</w:t>
            </w:r>
          </w:p>
        </w:tc>
        <w:tc>
          <w:tcPr>
            <w:tcW w:w="0" w:type="auto"/>
          </w:tcPr>
          <w:p>
            <w:pPr>
              <w:spacing w:after="0" w:line="240" w:lineRule="auto"/>
            </w:pPr>
            <w:r>
              <w:t xml:space="preserve">die Gegenprobe zur statischen Falle des Bestands und zur Pflicht von </w:t>
            </w:r>
            <w:r>
              <w:rPr>
                <w:rFonts w:ascii="Consolas" w:hAnsi="Consolas" w:cs="Consolas"/>
                <w:noProof/>
                <w:sz w:val="20"/>
                <w:szCs w:val="20"/>
                <w:shd w:val="clear" w:color="auto" w:fill="EFEFEF"/>
              </w:rPr>
              <w:t xml:space="preserve">Zuruecksetzen</w:t>
            </w:r>
            <w:r>
              <w:t xml:space="preserve">; für die Geometrie die Bedingung dafür, dass Ansicht und Export dasselbe Gebäude zeigen</w:t>
            </w:r>
          </w:p>
        </w:tc>
      </w:tr>
      <w:tr>
        <w:tc>
          <w:tcPr>
            <w:tcW w:w="0" w:type="auto"/>
          </w:tcPr>
          <w:p>
            <w:pPr>
              <w:spacing w:after="0" w:line="240" w:lineRule="auto"/>
            </w:pPr>
            <w:r>
              <w:rPr>
                <w:b/>
              </w:rPr>
              <w:t xml:space="preserve">Dialogkatalog des Assistenten</w:t>
            </w:r>
            <w:r>
              <w:t xml:space="preserve"> (vorhandener Wächter, neue Einträge)</w:t>
            </w:r>
          </w:p>
        </w:tc>
        <w:tc>
          <w:tcPr>
            <w:tcW w:w="0" w:type="auto"/>
          </w:tcPr>
          <w:p>
            <w:pPr>
              <w:spacing w:after="0" w:line="240" w:lineRule="auto"/>
            </w:pPr>
            <w:r>
              <w:t xml:space="preserve">jede neue Maske steht im Katalog; die Zahl ist namentlich geprüft — mit den fünf neuen Masken bis G6 sind es </w:t>
            </w:r>
            <w:r>
              <w:rPr>
                <w:b/>
              </w:rPr>
              <w:t xml:space="preserve">zwölf</w:t>
            </w:r>
            <w:r>
              <w:t xml:space="preserve">, mit der Exportmaske in G7 </w:t>
            </w:r>
            <w:r>
              <w:rPr>
                <w:b/>
              </w:rPr>
              <w:t xml:space="preserve">dreizehn</w:t>
            </w:r>
          </w:p>
        </w:tc>
        <w:tc>
          <w:tcPr>
            <w:tcW w:w="0" w:type="auto"/>
          </w:tcPr>
          <w:p>
            <w:pPr>
              <w:spacing w:after="0" w:line="240" w:lineRule="auto"/>
            </w:pPr>
            <w:r>
              <w:t xml:space="preserve">eine neue Maske ohne Eintrag macht den Wächter rot — und lässt die Maske ohne Assistenten</w:t>
            </w:r>
          </w:p>
        </w:tc>
      </w:tr>
      <w:tr>
        <w:tc>
          <w:tcPr>
            <w:tcW w:w="0" w:type="auto"/>
          </w:tcPr>
          <w:p>
            <w:pPr>
              <w:spacing w:after="0" w:line="240" w:lineRule="auto"/>
            </w:pPr>
            <w:r>
              <w:rPr>
                <w:b/>
              </w:rPr>
              <w:t xml:space="preserve">Trennflächenwächter</w:t>
            </w:r>
          </w:p>
        </w:tc>
        <w:tc>
          <w:tcPr>
            <w:tcW w:w="0" w:type="auto"/>
          </w:tcPr>
          <w:p>
            <w:pPr>
              <w:spacing w:after="0" w:line="240" w:lineRule="auto"/>
            </w:pPr>
            <w:r>
              <w:t xml:space="preserve">nicht </w:t>
            </w:r>
            <w:r>
              <w:rPr>
                <w:b/>
              </w:rPr>
              <w:t xml:space="preserve">beide</w:t>
            </w:r>
            <w:r>
              <w:t xml:space="preserve"> Zonen führen dieselbe Trennfläche; die Gegenseite entsteht beim Lesen</w:t>
            </w:r>
          </w:p>
        </w:tc>
        <w:tc>
          <w:tcPr>
            <w:tcW w:w="0" w:type="auto"/>
          </w:tcPr>
          <w:p>
            <w:pPr>
              <w:spacing w:after="0" w:line="240" w:lineRule="auto"/>
            </w:pPr>
            <w:r>
              <w:t xml:space="preserve">zwei Zeilen über dieselbe Fläche sind ein Fehler</w:t>
            </w:r>
          </w:p>
        </w:tc>
      </w:tr>
    </w:tbl>
    <w:p>
      <w:pPr>
        <w:spacing w:after="120"/>
      </w:pPr>
    </w:p>
    <w:p>
      <w:r>
        <w:rPr>
          <w:b/>
        </w:rPr>
        <w:t xml:space="preserve">Die drei Stellen, an denen es erfahrungsgemäß schiefgeht:</w:t>
      </w:r>
      <w:r>
        <w:t xml:space="preserve"> eine neue CSV-Datei im Referenzlauf </w:t>
      </w:r>
      <w:r>
        <w:rPr>
          <w:b/>
        </w:rPr>
        <w:t xml:space="preserve">ohne Bedingung</w:t>
      </w:r>
      <w:r>
        <w:t xml:space="preserve">; ein neuer Schlüssel im Parametersatz </w:t>
      </w:r>
      <w:r>
        <w:rPr>
          <w:b/>
        </w:rPr>
        <w:t xml:space="preserve">ohne </w:t>
      </w:r>
      <w:r>
        <w:rPr>
          <w:rFonts w:ascii="Consolas" w:hAnsi="Consolas" w:cs="Consolas"/>
          <w:b/>
          <w:noProof/>
          <w:sz w:val="20"/>
          <w:szCs w:val="20"/>
          <w:shd w:val="clear" w:color="auto" w:fill="EFEFEF"/>
        </w:rPr>
        <w:t xml:space="preserve">[Parameter]</w:t>
      </w:r>
      <w:r>
        <w:t xml:space="preserve">, der sauber übersetzt und beim ersten Zeichnen beim Anwender ausfällt; und eine neue Spalte, die über den Katalogkopierweg mitläuft und dort </w:t>
      </w:r>
      <w:r>
        <w:rPr>
          <w:b/>
        </w:rPr>
        <w:t xml:space="preserve">NULL zu 0 macht</w:t>
      </w:r>
      <w:r>
        <w:t xml:space="preserve">.</w:t>
      </w:r>
    </w:p>
    <w:p>
      <w:r>
        <w:rPr>
          <w:b/>
        </w:rPr>
        <w:t xml:space="preserve">Eine Berichtigung an der Einheitenregel</w:t>
      </w:r>
      <w:r>
        <w:t xml:space="preserve"> (Architekturpapier, Entwurf): die Hausregel nennt zwei Umrechnungsnähte, der Bestand hat eine dritte im Auskunftscontroller, absichtlich zeichengleich zum Lauf. Die Regel ist auf </w:t>
      </w:r>
      <w:r>
        <w:rPr>
          <w:b/>
        </w:rPr>
        <w:t xml:space="preserve">drei</w:t>
      </w:r>
      <w:r>
        <w:t xml:space="preserve"> Nähte fortzuschreiben, in demselben Merge, in dem der vierte Parameter entsteht; ein zweiter Rechenweg in der Hülle bleibt verboten.</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1.1 bis 1.8) und </w:t>
      </w:r>
      <w:r>
        <w:rPr>
          <w:rFonts w:ascii="Consolas" w:hAnsi="Consolas" w:cs="Consolas"/>
          <w:noProof/>
          <w:sz w:val="20"/>
          <w:szCs w:val="20"/>
          <w:shd w:val="clear" w:color="auto" w:fill="EFEFEF"/>
        </w:rPr>
        <w:t xml:space="preserve">Dokumentation/aktuell/Gebaeudesimulation/2026-09-15_Befund_T_Softwarearchitektur_Bestand.md</w:t>
      </w:r>
      <w:r>
        <w:t xml:space="preserve">.</w:t>
      </w:r>
    </w:p>
    <w:p>
      <w:pPr>
        <w:pStyle w:val="Trennlinie"/>
      </w:pPr>
    </w:p>
    <w:p>
      <w:pPr>
        <w:pStyle w:val="Heading1"/>
      </w:pPr>
      <w:r>
        <w:t xml:space="preserve">4 Datenmodell</w:t>
      </w:r>
    </w:p>
    <w:p>
      <w:r>
        <w:t xml:space="preserve">Der Bestand steuert bei: </w:t>
      </w:r>
      <w:r>
        <w:rPr>
          <w:rFonts w:ascii="Consolas" w:hAnsi="Consolas" w:cs="Consolas"/>
          <w:noProof/>
          <w:sz w:val="20"/>
          <w:szCs w:val="20"/>
          <w:shd w:val="clear" w:color="auto" w:fill="EFEFEF"/>
        </w:rPr>
        <w:t xml:space="preserve">Tab_Gebaeude</w:t>
      </w:r>
      <w:r>
        <w:t xml:space="preserve"> mit 55 Spalten und dem Katalogzwilling </w:t>
      </w:r>
      <w:r>
        <w:rPr>
          <w:rFonts w:ascii="Consolas" w:hAnsi="Consolas" w:cs="Consolas"/>
          <w:noProof/>
          <w:sz w:val="20"/>
          <w:szCs w:val="20"/>
          <w:shd w:val="clear" w:color="auto" w:fill="EFEFEF"/>
        </w:rPr>
        <w:t xml:space="preserve">Tab_Gebaeude_STAMM</w:t>
      </w:r>
      <w:r>
        <w:t xml:space="preserve">, die Zuordnung </w:t>
      </w:r>
      <w:r>
        <w:rPr>
          <w:rFonts w:ascii="Consolas" w:hAnsi="Consolas" w:cs="Consolas"/>
          <w:noProof/>
          <w:sz w:val="20"/>
          <w:szCs w:val="20"/>
          <w:shd w:val="clear" w:color="auto" w:fill="EFEFEF"/>
        </w:rPr>
        <w:t xml:space="preserve">Z_ProjektGebaeude</w:t>
      </w:r>
      <w:r>
        <w:t xml:space="preserve">, die Sicht </w:t>
      </w:r>
      <w:r>
        <w:rPr>
          <w:rFonts w:ascii="Consolas" w:hAnsi="Consolas" w:cs="Consolas"/>
          <w:noProof/>
          <w:sz w:val="20"/>
          <w:szCs w:val="20"/>
          <w:shd w:val="clear" w:color="auto" w:fill="EFEFEF"/>
        </w:rPr>
        <w:t xml:space="preserve">Abfrage_Projektgebaeude</w:t>
      </w:r>
      <w:r>
        <w:t xml:space="preserve"> mit </w:t>
      </w:r>
      <w:r>
        <w:rPr>
          <w:b/>
        </w:rPr>
        <w:t xml:space="preserve">fester</w:t>
      </w:r>
      <w:r>
        <w:t xml:space="preserve"> 58-Spalten-Liste, </w:t>
      </w:r>
      <w:r>
        <w:rPr>
          <w:rFonts w:ascii="Consolas" w:hAnsi="Consolas" w:cs="Consolas"/>
          <w:noProof/>
          <w:sz w:val="20"/>
          <w:szCs w:val="20"/>
          <w:shd w:val="clear" w:color="auto" w:fill="EFEFEF"/>
        </w:rPr>
        <w:t xml:space="preserve">Tab_Solar</w:t>
      </w:r>
      <w:r>
        <w:t xml:space="preserve"> und </w:t>
      </w:r>
      <w:r>
        <w:rPr>
          <w:rFonts w:ascii="Consolas" w:hAnsi="Consolas" w:cs="Consolas"/>
          <w:noProof/>
          <w:sz w:val="20"/>
          <w:szCs w:val="20"/>
          <w:shd w:val="clear" w:color="auto" w:fill="EFEFEF"/>
        </w:rPr>
        <w:t xml:space="preserve">Tab_Klimadaten</w:t>
      </w:r>
      <w:r>
        <w:t xml:space="preserve"> je Klimaregion, </w:t>
      </w:r>
      <w:r>
        <w:rPr>
          <w:rFonts w:ascii="Consolas" w:hAnsi="Consolas" w:cs="Consolas"/>
          <w:noProof/>
          <w:sz w:val="20"/>
          <w:szCs w:val="20"/>
          <w:shd w:val="clear" w:color="auto" w:fill="EFEFEF"/>
        </w:rPr>
        <w:t xml:space="preserve">Tab_DBTagV</w:t>
      </w:r>
      <w:r>
        <w:t xml:space="preserve"> als einzige Kindtabelle des Gebäudes und die </w:t>
      </w:r>
      <w:r>
        <w:rPr>
          <w:rFonts w:ascii="Consolas" w:hAnsi="Consolas" w:cs="Consolas"/>
          <w:noProof/>
          <w:sz w:val="20"/>
          <w:szCs w:val="20"/>
          <w:shd w:val="clear" w:color="auto" w:fill="EFEFEF"/>
        </w:rPr>
        <w:t xml:space="preserve">Tab_Ergebnis*</w:t>
      </w:r>
      <w:r>
        <w:t xml:space="preserve">-Familie mit ausnahmslos Skalaren je Lauf.</w:t>
      </w:r>
    </w:p>
    <w:p>
      <w:r>
        <w:t xml:space="preserve">Hinzu kommen </w:t>
      </w:r>
      <w:r>
        <w:rPr>
          <w:b/>
        </w:rPr>
        <w:t xml:space="preserve">15 Spalten</w:t>
      </w:r>
      <w:r>
        <w:t xml:space="preserve"> an </w:t>
      </w:r>
      <w:r>
        <w:rPr>
          <w:rFonts w:ascii="Consolas" w:hAnsi="Consolas" w:cs="Consolas"/>
          <w:noProof/>
          <w:sz w:val="20"/>
          <w:szCs w:val="20"/>
          <w:shd w:val="clear" w:color="auto" w:fill="EFEFEF"/>
        </w:rPr>
        <w:t xml:space="preserve">Tab_Gebaeude</w:t>
      </w:r>
      <w:r>
        <w:t xml:space="preserve"> und ihrem Zwilling, </w:t>
      </w:r>
      <w:r>
        <w:rPr>
          <w:b/>
        </w:rPr>
        <w:t xml:space="preserve">drei</w:t>
      </w:r>
      <w:r>
        <w:t xml:space="preserve"> an </w:t>
      </w:r>
      <w:r>
        <w:rPr>
          <w:rFonts w:ascii="Consolas" w:hAnsi="Consolas" w:cs="Consolas"/>
          <w:noProof/>
          <w:sz w:val="20"/>
          <w:szCs w:val="20"/>
          <w:shd w:val="clear" w:color="auto" w:fill="EFEFEF"/>
        </w:rPr>
        <w:t xml:space="preserve">Tab_Solar</w:t>
      </w:r>
      <w:r>
        <w:t xml:space="preserve"> und ihrem Zwilling und </w:t>
      </w:r>
      <w:r>
        <w:rPr>
          <w:b/>
        </w:rPr>
        <w:t xml:space="preserve">elf Tabellen</w:t>
      </w:r>
      <w:r>
        <w:t xml:space="preserve"> — neun für Baustoffe, Aufbauten, Schichten, Zonen, Bauteile und Luftströme, zwei für die Importherkunft — bei </w:t>
      </w:r>
      <w:r>
        <w:rPr>
          <w:b/>
        </w:rPr>
        <w:t xml:space="preserve">genau einem</w:t>
      </w:r>
      <w:r>
        <w:t xml:space="preserve"> Sichtneubau. Das Konzept nennt elf Spalten, das Umsetzungskonzept nach dem Gegenlesen </w:t>
      </w:r>
      <w:r>
        <w:rPr>
          <w:b/>
        </w:rPr>
        <w:t xml:space="preserve">zwölf</w:t>
      </w:r>
      <w:r>
        <w:t xml:space="preserve"> (Kellertemperatur ergänzt) plus </w:t>
      </w:r>
      <w:r>
        <w:rPr>
          <w:b/>
        </w:rPr>
        <w:t xml:space="preserve">drei</w:t>
      </w:r>
      <w:r>
        <w:t xml:space="preserve"> G2-Spalten — zusammen die fünfzehn dieses Papiers, in zwei Schritten, die nach U5/A9 verschmolzen werden.</w:t>
      </w:r>
    </w:p>
    <w:p>
      <w:pPr>
        <w:pStyle w:val="Heading2"/>
      </w:pPr>
      <w:r>
        <w:t xml:space="preserve">4.1 Das Zielmodell in Wellen</w:t>
      </w:r>
    </w:p>
    <w:p>
      <w:r>
        <w:t xml:space="preserve">Eine Schema-Klasse je Tabellenfamilie ist die einzige Quelle für vier Leser — Migrationsschritt, Testdatenbankwerkzeug, Kopierweg und Nachweis. Die Papiernamen GB, M2 bis M4 und S-A bis S-G bleiben die verlässliche Adresse zwischen den Papieren; </w:t>
      </w:r>
      <w:r>
        <w:rPr>
          <w:b/>
        </w:rPr>
        <w:t xml:space="preserve">dieses Kapitel vergibt keine Schrittnummern.</w:t>
      </w:r>
      <w:r>
        <w:t xml:space="preserve"> Die Zahlen 77 und 78 aus den älteren Papieren sind überholt: der Zielstand des SQLite-Zweigs steht heute auf 78 — Schritt 77 ist die Volumenbemessung der Pufferspeicher-Vorlage, Schritt 78 der feste Betrag der PV-Position —, die nächste freie Nummer ist </w:t>
      </w:r>
      <w:r>
        <w:rPr>
          <w:b/>
        </w:rPr>
        <w:t xml:space="preserve">79</w:t>
      </w:r>
      <w:r>
        <w:t xml:space="preserve">. Verbindlich sind Reihenfolge und Inhalt; die Nummer vergibt der Schritt bei seiner Beauftragung.</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Welle</w:t>
            </w:r>
          </w:p>
        </w:tc>
        <w:tc>
          <w:tcPr>
            <w:tcW w:w="0" w:type="auto"/>
            <w:shd w:val="clear" w:color="auto" w:fill="D9D9D9"/>
          </w:tcPr>
          <w:p>
            <w:pPr>
              <w:spacing w:after="0" w:line="240" w:lineRule="auto"/>
              <w:rPr>
                <w:b/>
              </w:rPr>
            </w:pPr>
            <w:r>
              <w:rPr>
                <w:b/>
              </w:rPr>
              <w:t xml:space="preserve">Klasse</w:t>
            </w:r>
          </w:p>
        </w:tc>
        <w:tc>
          <w:tcPr>
            <w:tcW w:w="0" w:type="auto"/>
            <w:shd w:val="clear" w:color="auto" w:fill="D9D9D9"/>
          </w:tcPr>
          <w:p>
            <w:pPr>
              <w:spacing w:after="0" w:line="240" w:lineRule="auto"/>
              <w:rPr>
                <w:b/>
              </w:rPr>
            </w:pPr>
            <w:r>
              <w:rPr>
                <w:b/>
              </w:rPr>
              <w:t xml:space="preserve">Tabellen und Spalten</w:t>
            </w:r>
          </w:p>
        </w:tc>
        <w:tc>
          <w:tcPr>
            <w:tcW w:w="0" w:type="auto"/>
            <w:shd w:val="clear" w:color="auto" w:fill="D9D9D9"/>
          </w:tcPr>
          <w:p>
            <w:pPr>
              <w:spacing w:after="0" w:line="240" w:lineRule="auto"/>
              <w:rPr>
                <w:b/>
              </w:rPr>
            </w:pPr>
            <w:r>
              <w:rPr>
                <w:b/>
              </w:rPr>
              <w:t xml:space="preserve">Ergebnisneutral?</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rPr>
                <w:b/>
              </w:rPr>
              <w:t xml:space="preserve">GB</w:t>
            </w:r>
          </w:p>
        </w:tc>
        <w:tc>
          <w:tcPr>
            <w:tcW w:w="0" w:type="auto"/>
          </w:tcPr>
          <w:p>
            <w:pPr>
              <w:spacing w:after="0" w:line="240" w:lineRule="auto"/>
            </w:pPr>
            <w:r>
              <w:t xml:space="preserve">—</w:t>
            </w:r>
          </w:p>
        </w:tc>
        <w:tc>
          <w:tcPr>
            <w:tcW w:w="0" w:type="auto"/>
          </w:tcPr>
          <w:p>
            <w:pPr>
              <w:spacing w:after="0" w:line="240" w:lineRule="auto"/>
            </w:pPr>
            <w:r>
              <w:t xml:space="preserve">kein DDL: Instanzzustand statt statischem Feld, Warnungen in der Ferienmaske, Korrektur der Bauweise eines Testgebäudes, Beseitigung der 100-Gebäude-Grenze, Einfrierregel </w:t>
            </w:r>
            <w:r>
              <w:rPr>
                <w:b/>
              </w:rPr>
              <w:t xml:space="preserve">„gesäte Gebäudedaten"</w:t>
            </w:r>
          </w:p>
        </w:tc>
        <w:tc>
          <w:tcPr>
            <w:tcW w:w="0" w:type="auto"/>
          </w:tcPr>
          <w:p>
            <w:pPr>
              <w:spacing w:after="0" w:line="240" w:lineRule="auto"/>
            </w:pPr>
            <w:r>
              <w:rPr>
                <w:b/>
              </w:rPr>
              <w:t xml:space="preserve">nein</w:t>
            </w:r>
            <w:r>
              <w:t xml:space="preserve"> — zwei Referenzprojekte ändern sich</w:t>
            </w:r>
          </w:p>
        </w:tc>
        <w:tc>
          <w:tcPr>
            <w:tcW w:w="0" w:type="auto"/>
          </w:tcPr>
          <w:p>
            <w:pPr>
              <w:spacing w:after="0" w:line="240" w:lineRule="auto"/>
            </w:pPr>
            <w:r>
              <w:t xml:space="preserve">GB</w:t>
            </w:r>
          </w:p>
        </w:tc>
      </w:tr>
      <w:tr>
        <w:tc>
          <w:tcPr>
            <w:tcW w:w="0" w:type="auto"/>
          </w:tcPr>
          <w:p>
            <w:pPr>
              <w:spacing w:after="0" w:line="240" w:lineRule="auto"/>
            </w:pPr>
            <w:r>
              <w:rPr>
                <w:b/>
              </w:rPr>
              <w:t xml:space="preserve">M2</w:t>
            </w:r>
          </w:p>
        </w:tc>
        <w:tc>
          <w:tcPr>
            <w:tcW w:w="0" w:type="auto"/>
          </w:tcPr>
          <w:p>
            <w:pPr>
              <w:spacing w:after="0" w:line="240" w:lineRule="auto"/>
            </w:pPr>
            <w:r>
              <w:t xml:space="preserve">—</w:t>
            </w:r>
          </w:p>
        </w:tc>
        <w:tc>
          <w:tcPr>
            <w:tcW w:w="0" w:type="auto"/>
          </w:tcPr>
          <w:p>
            <w:pPr>
              <w:spacing w:after="0" w:line="240" w:lineRule="auto"/>
            </w:pPr>
            <w:r>
              <w:t xml:space="preserve">kein DDL: Umbenennung des Ostfensterfeldes im Modell, 15 Stellen</w:t>
            </w:r>
          </w:p>
        </w:tc>
        <w:tc>
          <w:tcPr>
            <w:tcW w:w="0" w:type="auto"/>
          </w:tcPr>
          <w:p>
            <w:pPr>
              <w:spacing w:after="0" w:line="240" w:lineRule="auto"/>
            </w:pPr>
            <w:r>
              <w:rPr>
                <w:b/>
              </w:rPr>
              <w:t xml:space="preserve">ja</w:t>
            </w:r>
            <w:r>
              <w:t xml:space="preserve">, byte-gleich</w:t>
            </w:r>
          </w:p>
        </w:tc>
        <w:tc>
          <w:tcPr>
            <w:tcW w:w="0" w:type="auto"/>
          </w:tcPr>
          <w:p>
            <w:pPr>
              <w:spacing w:after="0" w:line="240" w:lineRule="auto"/>
            </w:pPr>
            <w:r>
              <w:t xml:space="preserve">vor G1</w:t>
            </w:r>
          </w:p>
        </w:tc>
      </w:tr>
      <w:tr>
        <w:tc>
          <w:tcPr>
            <w:tcW w:w="0" w:type="auto"/>
          </w:tcPr>
          <w:p>
            <w:pPr>
              <w:spacing w:after="0" w:line="240" w:lineRule="auto"/>
            </w:pPr>
            <w:r>
              <w:rPr>
                <w:b/>
              </w:rPr>
              <w:t xml:space="preserve">M3</w:t>
            </w:r>
          </w:p>
        </w:tc>
        <w:tc>
          <w:tcPr>
            <w:tcW w:w="0" w:type="auto"/>
          </w:tcPr>
          <w:p>
            <w:pPr>
              <w:spacing w:after="0" w:line="240" w:lineRule="auto"/>
            </w:pPr>
            <w:r>
              <w:rPr>
                <w:rFonts w:ascii="Consolas" w:hAnsi="Consolas" w:cs="Consolas"/>
                <w:noProof/>
                <w:sz w:val="20"/>
                <w:szCs w:val="20"/>
                <w:shd w:val="clear" w:color="auto" w:fill="EFEFEF"/>
              </w:rPr>
              <w:t xml:space="preserve">GebaeudeSchema</w:t>
            </w:r>
          </w:p>
        </w:tc>
        <w:tc>
          <w:tcPr>
            <w:tcW w:w="0" w:type="auto"/>
          </w:tcPr>
          <w:p>
            <w:pPr>
              <w:spacing w:after="0" w:line="240" w:lineRule="auto"/>
            </w:pPr>
            <w:r>
              <w:t xml:space="preserve">15 Spalten × 2 Tabellen, Sicht </w:t>
            </w:r>
            <w:r>
              <w:rPr>
                <w:rFonts w:ascii="Consolas" w:hAnsi="Consolas" w:cs="Consolas"/>
                <w:noProof/>
                <w:sz w:val="20"/>
                <w:szCs w:val="20"/>
                <w:shd w:val="clear" w:color="auto" w:fill="EFEFEF"/>
              </w:rPr>
              <w:t xml:space="preserve">DROP</w:t>
            </w:r>
            <w:r>
              <w:t xml:space="preserve"> + </w:t>
            </w:r>
            <w:r>
              <w:rPr>
                <w:rFonts w:ascii="Consolas" w:hAnsi="Consolas" w:cs="Consolas"/>
                <w:noProof/>
                <w:sz w:val="20"/>
                <w:szCs w:val="20"/>
                <w:shd w:val="clear" w:color="auto" w:fill="EFEFEF"/>
              </w:rPr>
              <w:t xml:space="preserve">CREATE</w:t>
            </w:r>
            <w:r>
              <w:t xml:space="preserve">, Leser auf </w:t>
            </w:r>
            <w:r>
              <w:rPr>
                <w:b/>
              </w:rPr>
              <w:t xml:space="preserve">Namenszugriff</w:t>
            </w:r>
            <w:r>
              <w:t xml:space="preserve">, Persistenzwerte, Katalogkopie NULL-erhaltend</w:t>
            </w:r>
          </w:p>
        </w:tc>
        <w:tc>
          <w:tcPr>
            <w:tcW w:w="0" w:type="auto"/>
          </w:tcPr>
          <w:p>
            <w:pPr>
              <w:spacing w:after="0" w:line="240" w:lineRule="auto"/>
            </w:pPr>
            <w:r>
              <w:rPr>
                <w:b/>
              </w:rPr>
              <w:t xml:space="preserve">ja</w:t>
            </w:r>
            <w:r>
              <w:t xml:space="preserve">, solange kein Leser rechnet</w:t>
            </w:r>
          </w:p>
        </w:tc>
        <w:tc>
          <w:tcPr>
            <w:tcW w:w="0" w:type="auto"/>
          </w:tcPr>
          <w:p>
            <w:pPr>
              <w:spacing w:after="0" w:line="240" w:lineRule="auto"/>
            </w:pPr>
            <w:r>
              <w:t xml:space="preserve">vor G1</w:t>
            </w:r>
          </w:p>
        </w:tc>
      </w:tr>
      <w:tr>
        <w:tc>
          <w:tcPr>
            <w:tcW w:w="0" w:type="auto"/>
          </w:tcPr>
          <w:p>
            <w:pPr>
              <w:spacing w:after="0" w:line="240" w:lineRule="auto"/>
            </w:pPr>
            <w:r>
              <w:rPr>
                <w:b/>
              </w:rPr>
              <w:t xml:space="preserve">S-E</w:t>
            </w:r>
          </w:p>
        </w:tc>
        <w:tc>
          <w:tcPr>
            <w:tcW w:w="0" w:type="auto"/>
          </w:tcPr>
          <w:p>
            <w:pPr>
              <w:spacing w:after="0" w:line="240" w:lineRule="auto"/>
            </w:pPr>
            <w:r>
              <w:t xml:space="preserve">—</w:t>
            </w:r>
          </w:p>
        </w:tc>
        <w:tc>
          <w:tcPr>
            <w:tcW w:w="0" w:type="auto"/>
          </w:tcPr>
          <w:p>
            <w:pPr>
              <w:spacing w:after="0" w:line="240" w:lineRule="auto"/>
            </w:pPr>
            <w:r>
              <w:t xml:space="preserve">kein DDL: Umbau von </w:t>
            </w:r>
            <w:r>
              <w:rPr>
                <w:rFonts w:ascii="Consolas" w:hAnsi="Consolas" w:cs="Consolas"/>
                <w:noProof/>
                <w:sz w:val="20"/>
                <w:szCs w:val="20"/>
                <w:shd w:val="clear" w:color="auto" w:fill="EFEFEF"/>
              </w:rPr>
              <w:t xml:space="preserve">CopyFromStamm</w:t>
            </w:r>
            <w:r>
              <w:t xml:space="preserve">, </w:t>
            </w:r>
            <w:r>
              <w:rPr>
                <w:rFonts w:ascii="Consolas" w:hAnsi="Consolas" w:cs="Consolas"/>
                <w:noProof/>
                <w:sz w:val="20"/>
                <w:szCs w:val="20"/>
                <w:shd w:val="clear" w:color="auto" w:fill="EFEFEF"/>
              </w:rPr>
              <w:t xml:space="preserve">Insert</w:t>
            </w:r>
            <w:r>
              <w:t xml:space="preserve"> und </w:t>
            </w:r>
            <w:r>
              <w:rPr>
                <w:rFonts w:ascii="Consolas" w:hAnsi="Consolas" w:cs="Consolas"/>
                <w:noProof/>
                <w:sz w:val="20"/>
                <w:szCs w:val="20"/>
                <w:shd w:val="clear" w:color="auto" w:fill="EFEFEF"/>
              </w:rPr>
              <w:t xml:space="preserve">Overwrite</w:t>
            </w:r>
            <w:r>
              <w:t xml:space="preserve"> auf NULL-erhaltende Bindung; </w:t>
            </w:r>
            <w:r>
              <w:rPr>
                <w:b/>
              </w:rPr>
              <w:t xml:space="preserve">Sperrpunkt und Bestandteil von M3</w:t>
            </w:r>
            <w:r>
              <w:t xml:space="preserve">, kein eigener Migrationsschritt</w:t>
            </w:r>
          </w:p>
        </w:tc>
        <w:tc>
          <w:tcPr>
            <w:tcW w:w="0" w:type="auto"/>
          </w:tcPr>
          <w:p>
            <w:pPr>
              <w:spacing w:after="0" w:line="240" w:lineRule="auto"/>
            </w:pPr>
            <w:r>
              <w:rPr>
                <w:b/>
              </w:rPr>
              <w:t xml:space="preserve">ja</w:t>
            </w:r>
            <w:r>
              <w:t xml:space="preserve">, byte-gleich</w:t>
            </w:r>
          </w:p>
        </w:tc>
        <w:tc>
          <w:tcPr>
            <w:tcW w:w="0" w:type="auto"/>
          </w:tcPr>
          <w:p>
            <w:pPr>
              <w:spacing w:after="0" w:line="240" w:lineRule="auto"/>
            </w:pPr>
            <w:r>
              <w:t xml:space="preserve">vor G1</w:t>
            </w:r>
          </w:p>
        </w:tc>
      </w:tr>
      <w:tr>
        <w:tc>
          <w:tcPr>
            <w:tcW w:w="0" w:type="auto"/>
          </w:tcPr>
          <w:p>
            <w:pPr>
              <w:spacing w:after="0" w:line="240" w:lineRule="auto"/>
            </w:pPr>
            <w:r>
              <w:rPr>
                <w:b/>
              </w:rPr>
              <w:t xml:space="preserve">M4</w:t>
            </w:r>
          </w:p>
        </w:tc>
        <w:tc>
          <w:tcPr>
            <w:tcW w:w="0" w:type="auto"/>
          </w:tcPr>
          <w:p>
            <w:pPr>
              <w:spacing w:after="0" w:line="240" w:lineRule="auto"/>
            </w:pPr>
            <w:r>
              <w:rPr>
                <w:rFonts w:ascii="Consolas" w:hAnsi="Consolas" w:cs="Consolas"/>
                <w:noProof/>
                <w:sz w:val="20"/>
                <w:szCs w:val="20"/>
                <w:shd w:val="clear" w:color="auto" w:fill="EFEFEF"/>
              </w:rPr>
              <w:t xml:space="preserve">SolarKlimaSchema</w:t>
            </w:r>
          </w:p>
        </w:tc>
        <w:tc>
          <w:tcPr>
            <w:tcW w:w="0" w:type="auto"/>
          </w:tcPr>
          <w:p>
            <w:pPr>
              <w:spacing w:after="0" w:line="240" w:lineRule="auto"/>
            </w:pPr>
            <w:r>
              <w:t xml:space="preserve">3 Spalten × </w:t>
            </w:r>
            <w:r>
              <w:rPr>
                <w:rFonts w:ascii="Consolas" w:hAnsi="Consolas" w:cs="Consolas"/>
                <w:noProof/>
                <w:sz w:val="20"/>
                <w:szCs w:val="20"/>
                <w:shd w:val="clear" w:color="auto" w:fill="EFEFEF"/>
              </w:rPr>
              <w:t xml:space="preserve">Tab_Solar</w:t>
            </w:r>
            <w:r>
              <w:t xml:space="preserve"> und Zwilling, Leseweg der PVGIS-Antwort, Einfrierregel </w:t>
            </w:r>
            <w:r>
              <w:rPr>
                <w:b/>
              </w:rPr>
              <w:t xml:space="preserve">„gesäte Klimareihen"</w:t>
            </w:r>
          </w:p>
        </w:tc>
        <w:tc>
          <w:tcPr>
            <w:tcW w:w="0" w:type="auto"/>
          </w:tcPr>
          <w:p>
            <w:pPr>
              <w:spacing w:after="0" w:line="240" w:lineRule="auto"/>
            </w:pPr>
            <w:r>
              <w:rPr>
                <w:b/>
              </w:rPr>
              <w:t xml:space="preserve">ja</w:t>
            </w:r>
          </w:p>
        </w:tc>
        <w:tc>
          <w:tcPr>
            <w:tcW w:w="0" w:type="auto"/>
          </w:tcPr>
          <w:p>
            <w:pPr>
              <w:spacing w:after="0" w:line="240" w:lineRule="auto"/>
            </w:pPr>
            <w:r>
              <w:t xml:space="preserve">vor G1</w:t>
            </w:r>
          </w:p>
        </w:tc>
      </w:tr>
      <w:tr>
        <w:tc>
          <w:tcPr>
            <w:tcW w:w="0" w:type="auto"/>
          </w:tcPr>
          <w:p>
            <w:pPr>
              <w:spacing w:after="0" w:line="240" w:lineRule="auto"/>
            </w:pPr>
            <w:r>
              <w:rPr>
                <w:b/>
              </w:rPr>
              <w:t xml:space="preserve">S-A</w:t>
            </w:r>
          </w:p>
        </w:tc>
        <w:tc>
          <w:tcPr>
            <w:tcW w:w="0" w:type="auto"/>
          </w:tcPr>
          <w:p>
            <w:pPr>
              <w:spacing w:after="0" w:line="240" w:lineRule="auto"/>
            </w:pPr>
            <w:r>
              <w:rPr>
                <w:rFonts w:ascii="Consolas" w:hAnsi="Consolas" w:cs="Consolas"/>
                <w:noProof/>
                <w:sz w:val="20"/>
                <w:szCs w:val="20"/>
                <w:shd w:val="clear" w:color="auto" w:fill="EFEFEF"/>
              </w:rPr>
              <w:t xml:space="preserve">BaustoffSchema</w:t>
            </w:r>
          </w:p>
        </w:tc>
        <w:tc>
          <w:tcPr>
            <w:tcW w:w="0" w:type="auto"/>
          </w:tcPr>
          <w:p>
            <w:pPr>
              <w:spacing w:after="0" w:line="240" w:lineRule="auto"/>
            </w:pPr>
            <w:r>
              <w:rPr>
                <w:rFonts w:ascii="Consolas" w:hAnsi="Consolas" w:cs="Consolas"/>
                <w:noProof/>
                <w:sz w:val="20"/>
                <w:szCs w:val="20"/>
                <w:shd w:val="clear" w:color="auto" w:fill="EFEFEF"/>
              </w:rPr>
              <w:t xml:space="preserve">Tab_Baustoff_STAMM</w:t>
            </w:r>
            <w:r>
              <w:t xml:space="preserve"> und </w:t>
            </w:r>
            <w:r>
              <w:rPr>
                <w:rFonts w:ascii="Consolas" w:hAnsi="Consolas" w:cs="Consolas"/>
                <w:noProof/>
                <w:sz w:val="20"/>
                <w:szCs w:val="20"/>
                <w:shd w:val="clear" w:color="auto" w:fill="EFEFEF"/>
              </w:rPr>
              <w:t xml:space="preserve">Tab_Baustoff</w:t>
            </w:r>
            <w:r>
              <w:t xml:space="preserve">, Baustoffsaat mit </w:t>
            </w:r>
            <w:r>
              <w:rPr>
                <w:rFonts w:ascii="Consolas" w:hAnsi="Consolas" w:cs="Consolas"/>
                <w:noProof/>
                <w:sz w:val="20"/>
                <w:szCs w:val="20"/>
                <w:shd w:val="clear" w:color="auto" w:fill="EFEFEF"/>
              </w:rPr>
              <w:t xml:space="preserve">ReadOnly = 1</w:t>
            </w:r>
          </w:p>
        </w:tc>
        <w:tc>
          <w:tcPr>
            <w:tcW w:w="0" w:type="auto"/>
          </w:tcPr>
          <w:p>
            <w:pPr>
              <w:spacing w:after="0" w:line="240" w:lineRule="auto"/>
            </w:pPr>
            <w:r>
              <w:rPr>
                <w:b/>
              </w:rPr>
              <w:t xml:space="preserve">ja</w:t>
            </w:r>
          </w:p>
        </w:tc>
        <w:tc>
          <w:tcPr>
            <w:tcW w:w="0" w:type="auto"/>
          </w:tcPr>
          <w:p>
            <w:pPr>
              <w:spacing w:after="0" w:line="240" w:lineRule="auto"/>
            </w:pPr>
            <w:r>
              <w:t xml:space="preserve">G3</w:t>
            </w:r>
          </w:p>
        </w:tc>
      </w:tr>
      <w:tr>
        <w:tc>
          <w:tcPr>
            <w:tcW w:w="0" w:type="auto"/>
          </w:tcPr>
          <w:p>
            <w:pPr>
              <w:spacing w:after="0" w:line="240" w:lineRule="auto"/>
            </w:pPr>
            <w:r>
              <w:rPr>
                <w:b/>
              </w:rPr>
              <w:t xml:space="preserve">S-B</w:t>
            </w:r>
          </w:p>
        </w:tc>
        <w:tc>
          <w:tcPr>
            <w:tcW w:w="0" w:type="auto"/>
          </w:tcPr>
          <w:p>
            <w:pPr>
              <w:spacing w:after="0" w:line="240" w:lineRule="auto"/>
            </w:pPr>
            <w:r>
              <w:rPr>
                <w:rFonts w:ascii="Consolas" w:hAnsi="Consolas" w:cs="Consolas"/>
                <w:noProof/>
                <w:sz w:val="20"/>
                <w:szCs w:val="20"/>
                <w:shd w:val="clear" w:color="auto" w:fill="EFEFEF"/>
              </w:rPr>
              <w:t xml:space="preserve">BauteilaufbauSchema</w:t>
            </w:r>
          </w:p>
        </w:tc>
        <w:tc>
          <w:tcPr>
            <w:tcW w:w="0" w:type="auto"/>
          </w:tcPr>
          <w:p>
            <w:pPr>
              <w:spacing w:after="0" w:line="240" w:lineRule="auto"/>
            </w:pPr>
            <w:r>
              <w:rPr>
                <w:rFonts w:ascii="Consolas" w:hAnsi="Consolas" w:cs="Consolas"/>
                <w:noProof/>
                <w:sz w:val="20"/>
                <w:szCs w:val="20"/>
                <w:shd w:val="clear" w:color="auto" w:fill="EFEFEF"/>
              </w:rPr>
              <w:t xml:space="preserve">Tab_Bauteilaufbau</w:t>
            </w:r>
            <w:r>
              <w:t xml:space="preserve"> und </w:t>
            </w:r>
            <w:r>
              <w:rPr>
                <w:rFonts w:ascii="Consolas" w:hAnsi="Consolas" w:cs="Consolas"/>
                <w:noProof/>
                <w:sz w:val="20"/>
                <w:szCs w:val="20"/>
                <w:shd w:val="clear" w:color="auto" w:fill="EFEFEF"/>
              </w:rPr>
              <w:t xml:space="preserve">Tab_Bauteilschicht</w:t>
            </w:r>
            <w:r>
              <w:t xml:space="preserve"> je mit Zwilling, Index über Aufbau und Reihenfolge</w:t>
            </w:r>
          </w:p>
        </w:tc>
        <w:tc>
          <w:tcPr>
            <w:tcW w:w="0" w:type="auto"/>
          </w:tcPr>
          <w:p>
            <w:pPr>
              <w:spacing w:after="0" w:line="240" w:lineRule="auto"/>
            </w:pPr>
            <w:r>
              <w:rPr>
                <w:b/>
              </w:rPr>
              <w:t xml:space="preserve">ja</w:t>
            </w:r>
          </w:p>
        </w:tc>
        <w:tc>
          <w:tcPr>
            <w:tcW w:w="0" w:type="auto"/>
          </w:tcPr>
          <w:p>
            <w:pPr>
              <w:spacing w:after="0" w:line="240" w:lineRule="auto"/>
            </w:pPr>
            <w:r>
              <w:t xml:space="preserve">G3</w:t>
            </w:r>
          </w:p>
        </w:tc>
      </w:tr>
      <w:tr>
        <w:tc>
          <w:tcPr>
            <w:tcW w:w="0" w:type="auto"/>
          </w:tcPr>
          <w:p>
            <w:pPr>
              <w:spacing w:after="0" w:line="240" w:lineRule="auto"/>
            </w:pPr>
            <w:r>
              <w:rPr>
                <w:b/>
              </w:rPr>
              <w:t xml:space="preserve">S-C</w:t>
            </w:r>
          </w:p>
        </w:tc>
        <w:tc>
          <w:tcPr>
            <w:tcW w:w="0" w:type="auto"/>
          </w:tcPr>
          <w:p>
            <w:pPr>
              <w:spacing w:after="0" w:line="240" w:lineRule="auto"/>
            </w:pPr>
            <w:r>
              <w:rPr>
                <w:rFonts w:ascii="Consolas" w:hAnsi="Consolas" w:cs="Consolas"/>
                <w:noProof/>
                <w:sz w:val="20"/>
                <w:szCs w:val="20"/>
                <w:shd w:val="clear" w:color="auto" w:fill="EFEFEF"/>
              </w:rPr>
              <w:t xml:space="preserve">ZonenSchema.Anweisungen</w:t>
            </w:r>
          </w:p>
        </w:tc>
        <w:tc>
          <w:tcPr>
            <w:tcW w:w="0" w:type="auto"/>
          </w:tcPr>
          <w:p>
            <w:pPr>
              <w:spacing w:after="0" w:line="240" w:lineRule="auto"/>
            </w:pPr>
            <w:r>
              <w:rPr>
                <w:rFonts w:ascii="Consolas" w:hAnsi="Consolas" w:cs="Consolas"/>
                <w:noProof/>
                <w:sz w:val="20"/>
                <w:szCs w:val="20"/>
                <w:shd w:val="clear" w:color="auto" w:fill="EFEFEF"/>
              </w:rPr>
              <w:t xml:space="preserve">Tab_Zone</w:t>
            </w:r>
            <w:r>
              <w:t xml:space="preserve"> und </w:t>
            </w:r>
            <w:r>
              <w:rPr>
                <w:rFonts w:ascii="Consolas" w:hAnsi="Consolas" w:cs="Consolas"/>
                <w:noProof/>
                <w:sz w:val="20"/>
                <w:szCs w:val="20"/>
                <w:shd w:val="clear" w:color="auto" w:fill="EFEFEF"/>
              </w:rPr>
              <w:t xml:space="preserve">Tab_Bauteil</w:t>
            </w:r>
            <w:r>
              <w:t xml:space="preserve">, Indizes über Gebäude/Rang und Zone/Rang</w:t>
            </w:r>
          </w:p>
        </w:tc>
        <w:tc>
          <w:tcPr>
            <w:tcW w:w="0" w:type="auto"/>
          </w:tcPr>
          <w:p>
            <w:pPr>
              <w:spacing w:after="0" w:line="240" w:lineRule="auto"/>
            </w:pPr>
            <w:r>
              <w:rPr>
                <w:b/>
              </w:rPr>
              <w:t xml:space="preserve">ja</w:t>
            </w:r>
            <w:r>
              <w:t xml:space="preserve">, solange kein Rechenweg liest</w:t>
            </w:r>
          </w:p>
        </w:tc>
        <w:tc>
          <w:tcPr>
            <w:tcW w:w="0" w:type="auto"/>
          </w:tcPr>
          <w:p>
            <w:pPr>
              <w:spacing w:after="0" w:line="240" w:lineRule="auto"/>
            </w:pPr>
            <w:r>
              <w:t xml:space="preserve">G3 · G6a</w:t>
            </w:r>
          </w:p>
        </w:tc>
      </w:tr>
      <w:tr>
        <w:tc>
          <w:tcPr>
            <w:tcW w:w="0" w:type="auto"/>
          </w:tcPr>
          <w:p>
            <w:pPr>
              <w:spacing w:after="0" w:line="240" w:lineRule="auto"/>
            </w:pPr>
            <w:r>
              <w:rPr>
                <w:b/>
              </w:rPr>
              <w:t xml:space="preserve">S-D</w:t>
            </w:r>
          </w:p>
        </w:tc>
        <w:tc>
          <w:tcPr>
            <w:tcW w:w="0" w:type="auto"/>
          </w:tcPr>
          <w:p>
            <w:pPr>
              <w:spacing w:after="0" w:line="240" w:lineRule="auto"/>
            </w:pPr>
            <w:r>
              <w:t xml:space="preserve">—</w:t>
            </w:r>
          </w:p>
        </w:tc>
        <w:tc>
          <w:tcPr>
            <w:tcW w:w="0" w:type="auto"/>
          </w:tcPr>
          <w:p>
            <w:pPr>
              <w:spacing w:after="0" w:line="240" w:lineRule="auto"/>
            </w:pPr>
            <w:r>
              <w:t xml:space="preserve">Registerpflege ohne DDL</w:t>
            </w:r>
          </w:p>
        </w:tc>
        <w:tc>
          <w:tcPr>
            <w:tcW w:w="0" w:type="auto"/>
          </w:tcPr>
          <w:p>
            <w:pPr>
              <w:spacing w:after="0" w:line="240" w:lineRule="auto"/>
            </w:pPr>
            <w:r>
              <w:rPr>
                <w:b/>
              </w:rPr>
              <w:t xml:space="preserve">ja</w:t>
            </w:r>
          </w:p>
        </w:tc>
        <w:tc>
          <w:tcPr>
            <w:tcW w:w="0" w:type="auto"/>
          </w:tcPr>
          <w:p>
            <w:pPr>
              <w:spacing w:after="0" w:line="240" w:lineRule="auto"/>
            </w:pPr>
            <w:r>
              <w:t xml:space="preserve">G6a</w:t>
            </w:r>
          </w:p>
        </w:tc>
      </w:tr>
      <w:tr>
        <w:tc>
          <w:tcPr>
            <w:tcW w:w="0" w:type="auto"/>
          </w:tcPr>
          <w:p>
            <w:pPr>
              <w:spacing w:after="0" w:line="240" w:lineRule="auto"/>
            </w:pPr>
            <w:r>
              <w:rPr>
                <w:b/>
              </w:rPr>
              <w:t xml:space="preserve">S-F</w:t>
            </w:r>
          </w:p>
        </w:tc>
        <w:tc>
          <w:tcPr>
            <w:tcW w:w="0" w:type="auto"/>
          </w:tcPr>
          <w:p>
            <w:pPr>
              <w:spacing w:after="0" w:line="240" w:lineRule="auto"/>
            </w:pPr>
            <w:r>
              <w:rPr>
                <w:rFonts w:ascii="Consolas" w:hAnsi="Consolas" w:cs="Consolas"/>
                <w:noProof/>
                <w:sz w:val="20"/>
                <w:szCs w:val="20"/>
                <w:shd w:val="clear" w:color="auto" w:fill="EFEFEF"/>
              </w:rPr>
              <w:t xml:space="preserve">ImportzuordnungSchema</w:t>
            </w:r>
          </w:p>
        </w:tc>
        <w:tc>
          <w:tcPr>
            <w:tcW w:w="0" w:type="auto"/>
          </w:tcPr>
          <w:p>
            <w:pPr>
              <w:spacing w:after="0" w:line="240" w:lineRule="auto"/>
            </w:pPr>
            <w:r>
              <w:rPr>
                <w:rFonts w:ascii="Consolas" w:hAnsi="Consolas" w:cs="Consolas"/>
                <w:noProof/>
                <w:sz w:val="20"/>
                <w:szCs w:val="20"/>
                <w:shd w:val="clear" w:color="auto" w:fill="EFEFEF"/>
              </w:rPr>
              <w:t xml:space="preserve">Tab_Importquelle</w:t>
            </w:r>
            <w:r>
              <w:t xml:space="preserve"> und </w:t>
            </w:r>
            <w:r>
              <w:rPr>
                <w:rFonts w:ascii="Consolas" w:hAnsi="Consolas" w:cs="Consolas"/>
                <w:noProof/>
                <w:sz w:val="20"/>
                <w:szCs w:val="20"/>
                <w:shd w:val="clear" w:color="auto" w:fill="EFEFEF"/>
              </w:rPr>
              <w:t xml:space="preserve">Tab_Importzuordnung</w:t>
            </w:r>
            <w:r>
              <w:t xml:space="preserve">, zwei Indizes; </w:t>
            </w:r>
            <w:r>
              <w:rPr>
                <w:b/>
              </w:rPr>
              <w:t xml:space="preserve">Prüfregel: beide Tabellen sind in der Auslieferungsdatenbank leer</w:t>
            </w:r>
          </w:p>
        </w:tc>
        <w:tc>
          <w:tcPr>
            <w:tcW w:w="0" w:type="auto"/>
          </w:tcPr>
          <w:p>
            <w:pPr>
              <w:spacing w:after="0" w:line="240" w:lineRule="auto"/>
            </w:pPr>
            <w:r>
              <w:rPr>
                <w:b/>
              </w:rPr>
              <w:t xml:space="preserve">ja</w:t>
            </w:r>
          </w:p>
        </w:tc>
        <w:tc>
          <w:tcPr>
            <w:tcW w:w="0" w:type="auto"/>
          </w:tcPr>
          <w:p>
            <w:pPr>
              <w:spacing w:after="0" w:line="240" w:lineRule="auto"/>
            </w:pPr>
            <w:r>
              <w:t xml:space="preserve">G4</w:t>
            </w:r>
          </w:p>
        </w:tc>
      </w:tr>
      <w:tr>
        <w:tc>
          <w:tcPr>
            <w:tcW w:w="0" w:type="auto"/>
          </w:tcPr>
          <w:p>
            <w:pPr>
              <w:spacing w:after="0" w:line="240" w:lineRule="auto"/>
            </w:pPr>
            <w:r>
              <w:rPr>
                <w:b/>
              </w:rPr>
              <w:t xml:space="preserve">S-G</w:t>
            </w:r>
          </w:p>
        </w:tc>
        <w:tc>
          <w:tcPr>
            <w:tcW w:w="0" w:type="auto"/>
          </w:tcPr>
          <w:p>
            <w:pPr>
              <w:spacing w:after="0" w:line="240" w:lineRule="auto"/>
            </w:pPr>
            <w:r>
              <w:rPr>
                <w:rFonts w:ascii="Consolas" w:hAnsi="Consolas" w:cs="Consolas"/>
                <w:noProof/>
                <w:sz w:val="20"/>
                <w:szCs w:val="20"/>
                <w:shd w:val="clear" w:color="auto" w:fill="EFEFEF"/>
              </w:rPr>
              <w:t xml:space="preserve">ZonenSchema.AnweisungenKopplung</w:t>
            </w:r>
          </w:p>
        </w:tc>
        <w:tc>
          <w:tcPr>
            <w:tcW w:w="0" w:type="auto"/>
          </w:tcPr>
          <w:p>
            <w:pPr>
              <w:spacing w:after="0" w:line="240" w:lineRule="auto"/>
            </w:pPr>
            <w:r>
              <w:rPr>
                <w:rFonts w:ascii="Consolas" w:hAnsi="Consolas" w:cs="Consolas"/>
                <w:noProof/>
                <w:sz w:val="20"/>
                <w:szCs w:val="20"/>
                <w:shd w:val="clear" w:color="auto" w:fill="EFEFEF"/>
              </w:rPr>
              <w:t xml:space="preserve">Tab_Zonenluftstrom</w:t>
            </w:r>
            <w:r>
              <w:t xml:space="preserve"> mit </w:t>
            </w:r>
            <w:r>
              <w:rPr>
                <w:rFonts w:ascii="Consolas" w:hAnsi="Consolas" w:cs="Consolas"/>
                <w:noProof/>
                <w:sz w:val="20"/>
                <w:szCs w:val="20"/>
                <w:shd w:val="clear" w:color="auto" w:fill="EFEFEF"/>
              </w:rPr>
              <w:t xml:space="preserve">CHECK</w:t>
            </w:r>
            <w:r>
              <w:t xml:space="preserve"> und eindeutigem Index, </w:t>
            </w:r>
            <w:r>
              <w:rPr>
                <w:rFonts w:ascii="Consolas" w:hAnsi="Consolas" w:cs="Consolas"/>
                <w:noProof/>
                <w:sz w:val="20"/>
                <w:szCs w:val="20"/>
                <w:shd w:val="clear" w:color="auto" w:fill="EFEFEF"/>
              </w:rPr>
              <w:t xml:space="preserve">ID_Nachbarzone</w:t>
            </w:r>
            <w:r>
              <w:t xml:space="preserve"> am Bauteil</w:t>
            </w:r>
          </w:p>
        </w:tc>
        <w:tc>
          <w:tcPr>
            <w:tcW w:w="0" w:type="auto"/>
          </w:tcPr>
          <w:p>
            <w:pPr>
              <w:spacing w:after="0" w:line="240" w:lineRule="auto"/>
            </w:pPr>
            <w:r>
              <w:rPr>
                <w:b/>
              </w:rPr>
              <w:t xml:space="preserve">ja</w:t>
            </w:r>
          </w:p>
        </w:tc>
        <w:tc>
          <w:tcPr>
            <w:tcW w:w="0" w:type="auto"/>
          </w:tcPr>
          <w:p>
            <w:pPr>
              <w:spacing w:after="0" w:line="240" w:lineRule="auto"/>
            </w:pPr>
            <w:r>
              <w:t xml:space="preserve">G6b</w:t>
            </w:r>
          </w:p>
        </w:tc>
      </w:tr>
      <w:tr>
        <w:tc>
          <w:tcPr>
            <w:tcW w:w="0" w:type="auto"/>
          </w:tcPr>
          <w:p>
            <w:pPr>
              <w:spacing w:after="0" w:line="240" w:lineRule="auto"/>
            </w:pPr>
            <w:r>
              <w:rPr>
                <w:b/>
              </w:rPr>
              <w:t xml:space="preserve">G6d</w:t>
            </w:r>
          </w:p>
        </w:tc>
        <w:tc>
          <w:tcPr>
            <w:tcW w:w="0" w:type="auto"/>
          </w:tcPr>
          <w:p>
            <w:pPr>
              <w:spacing w:after="0" w:line="240" w:lineRule="auto"/>
            </w:pPr>
            <w:r>
              <w:t xml:space="preserve">—</w:t>
            </w:r>
          </w:p>
        </w:tc>
        <w:tc>
          <w:tcPr>
            <w:tcW w:w="0" w:type="auto"/>
          </w:tcPr>
          <w:p>
            <w:pPr>
              <w:spacing w:after="0" w:line="240" w:lineRule="auto"/>
            </w:pPr>
            <w:r>
              <w:t xml:space="preserve">kein DDL: Zonendaten in der Testdatenbank säen, Einfrierregel </w:t>
            </w:r>
            <w:r>
              <w:rPr>
                <w:b/>
              </w:rPr>
              <w:t xml:space="preserve">„gesäte Zonendaten"</w:t>
            </w:r>
          </w:p>
        </w:tc>
        <w:tc>
          <w:tcPr>
            <w:tcW w:w="0" w:type="auto"/>
          </w:tcPr>
          <w:p>
            <w:pPr>
              <w:spacing w:after="0" w:line="240" w:lineRule="auto"/>
            </w:pPr>
            <w:r>
              <w:rPr>
                <w:b/>
              </w:rPr>
              <w:t xml:space="preserve">nein</w:t>
            </w:r>
            <w:r>
              <w:t xml:space="preserve"> — das Projekt ändert seine Zahlen</w:t>
            </w:r>
          </w:p>
        </w:tc>
        <w:tc>
          <w:tcPr>
            <w:tcW w:w="0" w:type="auto"/>
          </w:tcPr>
          <w:p>
            <w:pPr>
              <w:spacing w:after="0" w:line="240" w:lineRule="auto"/>
            </w:pPr>
            <w:r>
              <w:t xml:space="preserve">G6d</w:t>
            </w:r>
          </w:p>
        </w:tc>
      </w:tr>
    </w:tbl>
    <w:p>
      <w:pPr>
        <w:spacing w:after="120"/>
      </w:pPr>
    </w:p>
    <w:p>
      <w:r>
        <w:rPr>
          <w:b/>
        </w:rPr>
        <w:t xml:space="preserve">Die Papiernamen sind in allen vier Papieren dieselben:</w:t>
      </w:r>
      <w:r>
        <w:t xml:space="preserve"> </w:t>
      </w:r>
      <w:r>
        <w:rPr>
          <w:b/>
        </w:rPr>
        <w:t xml:space="preserve">S-E</w:t>
      </w:r>
      <w:r>
        <w:t xml:space="preserve"> ist der Umbau von </w:t>
      </w:r>
      <w:r>
        <w:rPr>
          <w:rFonts w:ascii="Consolas" w:hAnsi="Consolas" w:cs="Consolas"/>
          <w:noProof/>
          <w:sz w:val="20"/>
          <w:szCs w:val="20"/>
          <w:shd w:val="clear" w:color="auto" w:fill="EFEFEF"/>
        </w:rPr>
        <w:t xml:space="preserve">CopyFromStamm</w:t>
      </w:r>
      <w:r>
        <w:t xml:space="preserve">, </w:t>
      </w:r>
      <w:r>
        <w:rPr>
          <w:b/>
        </w:rPr>
        <w:t xml:space="preserve">S-F</w:t>
      </w:r>
      <w:r>
        <w:t xml:space="preserve"> die Importzuordnung. Der Kopplungsschritt heißt deshalb </w:t>
      </w:r>
      <w:r>
        <w:rPr>
          <w:b/>
        </w:rPr>
        <w:t xml:space="preserve">S-G</w:t>
      </w:r>
      <w:r>
        <w:t xml:space="preserve"> — hieße er S-E, stünde derselbe Name in drei geltenden Papieren für zwei verschiedene Schritte.</w:t>
      </w:r>
    </w:p>
    <w:p>
      <w:r>
        <w:t xml:space="preserve">Die feste Reihenfolge der Handgriffe: erst Schrittkonstante, Methode und Eintrag in die Schrittliste, dann die Zielversion; innerhalb eines Schritts Tabelle samt Index, dann Verweisspalten, dann Saat, dann Saat-Zuordnung. Jeder Eintrag trägt vier Stücke: Nummer, was der Schritt tut, </w:t>
      </w:r>
      <w:r>
        <w:rPr>
          <w:b/>
        </w:rPr>
        <w:t xml:space="preserve">was ohne ihn schiefginge</w:t>
      </w:r>
      <w:r>
        <w:t xml:space="preserve">, die Methode. Nach jeder neuen SQL-Anweisung läuft der SQL-Dialekt-Prüfer, danach das Testdatenbankwerkzeug.</w:t>
      </w:r>
    </w:p>
    <w:p>
      <w:pPr>
        <w:pStyle w:val="Heading2"/>
      </w:pPr>
      <w:r>
        <w:t xml:space="preserve">4.2 Das Zielmodell im Bild</w:t>
      </w:r>
    </w:p>
    <w:p>
      <w:pPr>
        <w:pStyle w:val="Diagrammbild"/>
      </w:pPr>
      <w:r>
        <w:drawing>
          <wp:inline xmlns:wp="http://schemas.openxmlformats.org/drawingml/2006/wordprocessingDrawing" distT="0" distB="0" distL="0" distR="0">
            <wp:extent cx="5861240" cy="7920000"/>
            <wp:effectExtent l="0" t="0" r="0" b="0"/>
            <wp:docPr id="5"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5.png"/>
                    <pic:cNvPicPr/>
                  </pic:nvPicPr>
                  <pic:blipFill>
                    <a:blip xmlns:r="http://schemas.openxmlformats.org/officeDocument/2006/relationships" r:embed="R5fef474385b14de3"/>
                    <a:stretch>
                      <a:fillRect/>
                    </a:stretch>
                  </pic:blipFill>
                  <pic:spPr>
                    <a:xfrm>
                      <a:off x="0" y="0"/>
                      <a:ext cx="5861240" cy="7920000"/>
                    </a:xfrm>
                    <a:prstGeom prst="rect">
                      <a:avLst/>
                    </a:prstGeom>
                  </pic:spPr>
                </pic:pic>
              </a:graphicData>
            </a:graphic>
          </wp:inline>
        </w:drawing>
      </w:r>
    </w:p>
    <w:p>
      <w:pPr>
        <w:pStyle w:val="Bildunterschrift"/>
      </w:pPr>
      <w:r>
        <w:rPr>
          <w:i/>
          <w:iCs/>
        </w:rPr>
        <w:t xml:space="preserve">Bild 5: 4.2 Das Zielmodell im Bild</w:t>
      </w:r>
    </w:p>
    <w:p>
      <w:r>
        <w:t xml:space="preserve">Der zweite Ausschnitt zeigt Zonenkopplung und Importherkunft:</w:t>
      </w:r>
    </w:p>
    <w:p>
      <w:pPr>
        <w:pStyle w:val="Diagrammbild"/>
      </w:pPr>
      <w:r>
        <w:drawing>
          <wp:inline xmlns:wp="http://schemas.openxmlformats.org/drawingml/2006/wordprocessingDrawing" distT="0" distB="0" distL="0" distR="0">
            <wp:extent cx="6120130" cy="5401015"/>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6.png"/>
                    <pic:cNvPicPr/>
                  </pic:nvPicPr>
                  <pic:blipFill>
                    <a:blip xmlns:r="http://schemas.openxmlformats.org/officeDocument/2006/relationships" r:embed="R2af1cff7e6254371"/>
                    <a:stretch>
                      <a:fillRect/>
                    </a:stretch>
                  </pic:blipFill>
                  <pic:spPr>
                    <a:xfrm>
                      <a:off x="0" y="0"/>
                      <a:ext cx="6120130" cy="5401015"/>
                    </a:xfrm>
                    <a:prstGeom prst="rect">
                      <a:avLst/>
                    </a:prstGeom>
                  </pic:spPr>
                </pic:pic>
              </a:graphicData>
            </a:graphic>
          </wp:inline>
        </w:drawing>
      </w:r>
    </w:p>
    <w:p>
      <w:pPr>
        <w:pStyle w:val="Bildunterschrift"/>
      </w:pPr>
      <w:r>
        <w:rPr>
          <w:i/>
          <w:iCs/>
        </w:rPr>
        <w:t xml:space="preserve">Bild 6: 4.2 Das Zielmodell im Bild</w:t>
      </w:r>
    </w:p>
    <w:p>
      <w:pPr>
        <w:pStyle w:val="Quote"/>
      </w:pPr>
      <w:r>
        <w:rPr>
          <w:b/>
        </w:rPr>
        <w:t xml:space="preserve">Unverändert bleiben</w:t>
      </w:r>
      <w:r>
        <w:t xml:space="preserve"> </w:t>
      </w:r>
      <w:r>
        <w:rPr>
          <w:rFonts w:ascii="Consolas" w:hAnsi="Consolas" w:cs="Consolas"/>
          <w:noProof/>
          <w:sz w:val="20"/>
          <w:szCs w:val="20"/>
          <w:shd w:val="clear" w:color="auto" w:fill="EFEFEF"/>
        </w:rPr>
        <w:t xml:space="preserve">Tab_Projekt</w:t>
      </w:r>
      <w:r>
        <w:t xml:space="preserve">, </w:t>
      </w:r>
      <w:r>
        <w:rPr>
          <w:rFonts w:ascii="Consolas" w:hAnsi="Consolas" w:cs="Consolas"/>
          <w:noProof/>
          <w:sz w:val="20"/>
          <w:szCs w:val="20"/>
          <w:shd w:val="clear" w:color="auto" w:fill="EFEFEF"/>
        </w:rPr>
        <w:t xml:space="preserve">Z_ProjektGebaeude</w:t>
      </w:r>
      <w:r>
        <w:t xml:space="preserve">, </w:t>
      </w:r>
      <w:r>
        <w:rPr>
          <w:rFonts w:ascii="Consolas" w:hAnsi="Consolas" w:cs="Consolas"/>
          <w:noProof/>
          <w:sz w:val="20"/>
          <w:szCs w:val="20"/>
          <w:shd w:val="clear" w:color="auto" w:fill="EFEFEF"/>
        </w:rPr>
        <w:t xml:space="preserve">Tab_Klimaregion</w:t>
      </w:r>
      <w:r>
        <w:t xml:space="preserve">, </w:t>
      </w:r>
      <w:r>
        <w:rPr>
          <w:rFonts w:ascii="Consolas" w:hAnsi="Consolas" w:cs="Consolas"/>
          <w:noProof/>
          <w:sz w:val="20"/>
          <w:szCs w:val="20"/>
          <w:shd w:val="clear" w:color="auto" w:fill="EFEFEF"/>
        </w:rPr>
        <w:t xml:space="preserve">Tab_Klimadaten</w:t>
      </w:r>
      <w:r>
        <w:t xml:space="preserve">, </w:t>
      </w:r>
      <w:r>
        <w:rPr>
          <w:rFonts w:ascii="Consolas" w:hAnsi="Consolas" w:cs="Consolas"/>
          <w:noProof/>
          <w:sz w:val="20"/>
          <w:szCs w:val="20"/>
          <w:shd w:val="clear" w:color="auto" w:fill="EFEFEF"/>
        </w:rPr>
        <w:t xml:space="preserve">Tab_DBTagV</w:t>
      </w:r>
      <w:r>
        <w:t xml:space="preserve"> und die siebzehn Ergebnistabellen. </w:t>
      </w:r>
      <w:r>
        <w:rPr>
          <w:b/>
        </w:rPr>
        <w:t xml:space="preserve">Keine eigene Kopplungstabelle:</w:t>
      </w:r>
      <w:r>
        <w:t xml:space="preserve"> die Trennfläche ist </w:t>
      </w:r>
      <w:r>
        <w:rPr>
          <w:b/>
        </w:rPr>
        <w:t xml:space="preserve">ein</w:t>
      </w:r>
      <w:r>
        <w:t xml:space="preserve"> Bauteil mit der Randbedingung </w:t>
      </w:r>
      <w:r>
        <w:rPr>
          <w:rFonts w:ascii="Consolas" w:hAnsi="Consolas" w:cs="Consolas"/>
          <w:noProof/>
          <w:sz w:val="20"/>
          <w:szCs w:val="20"/>
          <w:shd w:val="clear" w:color="auto" w:fill="EFEFEF"/>
        </w:rPr>
        <w:t xml:space="preserve">ZONE</w:t>
      </w:r>
      <w:r>
        <w:t xml:space="preserve"> und einer Nachbarzone; eine zweite Tabelle wäre eine zweite Wahrheit über dieselbe Fläche.</w:t>
      </w:r>
    </w:p>
    <w:p>
      <w:pPr>
        <w:pStyle w:val="Heading2"/>
      </w:pPr>
      <w:r>
        <w:t xml:space="preserve">4.3 Regeln des Datenmodells</w:t>
      </w:r>
    </w:p>
    <w:p>
      <w:pPr>
        <w:pStyle w:val="ListBullet"/>
        <w:numPr>
          <w:ilvl w:val="0"/>
          <w:numId w:val="3"/>
        </w:numPr>
      </w:pPr>
      <w:r>
        <w:rPr>
          <w:b/>
        </w:rPr>
        <w:t xml:space="preserve">NULL = Vorgabe.</w:t>
      </w:r>
      <w:r>
        <w:t xml:space="preserve"> Auf den neuen Fachwerten steht kein </w:t>
      </w:r>
      <w:r>
        <w:rPr>
          <w:rFonts w:ascii="Consolas" w:hAnsi="Consolas" w:cs="Consolas"/>
          <w:noProof/>
          <w:sz w:val="20"/>
          <w:szCs w:val="20"/>
          <w:shd w:val="clear" w:color="auto" w:fill="EFEFEF"/>
        </w:rPr>
        <w:t xml:space="preserve">DEFAULT</w:t>
      </w:r>
      <w:r>
        <w:t xml:space="preserve">; die Vorgabe setzt der Eingangsbauer. Das ist erst dann wahr, wenn der Katalogkopierweg </w:t>
      </w:r>
      <w:r>
        <w:rPr>
          <w:b/>
        </w:rPr>
        <w:t xml:space="preserve">NULL-erhaltend</w:t>
      </w:r>
      <w:r>
        <w:t xml:space="preserve"> umgebaut ist — heute bildet er jedes </w:t>
      </w:r>
      <w:r>
        <w:rPr>
          <w:rFonts w:ascii="Consolas" w:hAnsi="Consolas" w:cs="Consolas"/>
          <w:noProof/>
          <w:sz w:val="20"/>
          <w:szCs w:val="20"/>
          <w:shd w:val="clear" w:color="auto" w:fill="EFEFEF"/>
        </w:rPr>
        <w:t xml:space="preserve">DBNull</w:t>
      </w:r>
      <w:r>
        <w:t xml:space="preserve"> auf 0,0 bzw. den leeren Text ab. Die sichtbare Probe darauf: jedes leere Parameterfeld zeigt die Vorgabe als Platzhalter oder als Herleitungszeile. </w:t>
      </w:r>
      <w:r>
        <w:rPr>
          <w:b/>
        </w:rPr>
        <w:t xml:space="preserve">Steht dort eine 0, wo eine Vorgabe stehen müsste, ist der Kopierweg noch der alte.</w:t>
      </w:r>
    </w:p>
    <w:p>
      <w:pPr>
        <w:pStyle w:val="ListBullet"/>
        <w:numPr>
          <w:ilvl w:val="0"/>
          <w:numId w:val="3"/>
        </w:numPr>
      </w:pPr>
      <w:r>
        <w:rPr>
          <w:b/>
        </w:rPr>
        <w:t xml:space="preserve">STRICT und Boolean als 0/1.</w:t>
      </w:r>
      <w:r>
        <w:t xml:space="preserve"> Fachtabellen sind </w:t>
      </w:r>
      <w:r>
        <w:rPr>
          <w:rFonts w:ascii="Consolas" w:hAnsi="Consolas" w:cs="Consolas"/>
          <w:noProof/>
          <w:sz w:val="20"/>
          <w:szCs w:val="20"/>
          <w:shd w:val="clear" w:color="auto" w:fill="EFEFEF"/>
        </w:rPr>
        <w:t xml:space="preserve">STRICT</w:t>
      </w:r>
      <w:r>
        <w:t xml:space="preserve">; Schalter tragen </w:t>
      </w:r>
      <w:r>
        <w:rPr>
          <w:rFonts w:ascii="Consolas" w:hAnsi="Consolas" w:cs="Consolas"/>
          <w:noProof/>
          <w:sz w:val="20"/>
          <w:szCs w:val="20"/>
          <w:shd w:val="clear" w:color="auto" w:fill="EFEFEF"/>
        </w:rPr>
        <w:t xml:space="preserve">CHECK (spalte IN (0,1))</w:t>
      </w:r>
      <w:r>
        <w:t xml:space="preserve">, Wertelisten ein </w:t>
      </w:r>
      <w:r>
        <w:rPr>
          <w:rFonts w:ascii="Consolas" w:hAnsi="Consolas" w:cs="Consolas"/>
          <w:noProof/>
          <w:sz w:val="20"/>
          <w:szCs w:val="20"/>
          <w:shd w:val="clear" w:color="auto" w:fill="EFEFEF"/>
        </w:rPr>
        <w:t xml:space="preserve">CHECK</w:t>
      </w:r>
      <w:r>
        <w:t xml:space="preserve"> mit sprachneutralen Großbuchstabenwerten, deren Persistenzwerte zentral geführt werden.</w:t>
      </w:r>
    </w:p>
    <w:p>
      <w:pPr>
        <w:pStyle w:val="ListBullet"/>
        <w:numPr>
          <w:ilvl w:val="0"/>
          <w:numId w:val="3"/>
        </w:numPr>
      </w:pPr>
      <w:r>
        <w:rPr>
          <w:b/>
        </w:rPr>
        <w:t xml:space="preserve">Neue Beziehungen über IDs</w:t>
      </w:r>
      <w:r>
        <w:t xml:space="preserve">, nie über Textfelder. Der einzige geerbte Textverweis ist die Kanalzuordnung; er bleibt benannter Bestand, kein Umbauauftrag.</w:t>
      </w:r>
    </w:p>
    <w:p>
      <w:pPr>
        <w:pStyle w:val="ListBullet"/>
        <w:numPr>
          <w:ilvl w:val="0"/>
          <w:numId w:val="3"/>
        </w:numPr>
      </w:pPr>
      <w:r>
        <w:rPr>
          <w:b/>
        </w:rPr>
        <w:t xml:space="preserve">Der Sichtneubau ist der Engpass.</w:t>
      </w:r>
      <w:r>
        <w:t xml:space="preserve"> SQLite kennt kein </w:t>
      </w:r>
      <w:r>
        <w:rPr>
          <w:rFonts w:ascii="Consolas" w:hAnsi="Consolas" w:cs="Consolas"/>
          <w:noProof/>
          <w:sz w:val="20"/>
          <w:szCs w:val="20"/>
          <w:shd w:val="clear" w:color="auto" w:fill="EFEFEF"/>
        </w:rPr>
        <w:t xml:space="preserve">ALTER VIEW</w:t>
      </w:r>
      <w:r>
        <w:t xml:space="preserve">; die Sicht wird verworfen und neu gebaut, und ab diesem Schritt ist die Schema-Klasse die </w:t>
      </w:r>
      <w:r>
        <w:rPr>
          <w:b/>
        </w:rPr>
        <w:t xml:space="preserve">einzige</w:t>
      </w:r>
      <w:r>
        <w:t xml:space="preserve"> Quelle ihrer Definition. Die Probe </w:t>
      </w:r>
      <w:r>
        <w:rPr>
          <w:b/>
        </w:rPr>
        <w:t xml:space="preserve">ist</w:t>
      </w:r>
      <w:r>
        <w:t xml:space="preserve"> der Sichtneubau: der Leser liefert alle 58 Bestandsfelder unverändert, und die acht nicht-ASCII-Bezeichner werden buchstabengetreu geschrieben.</w:t>
      </w:r>
    </w:p>
    <w:p>
      <w:pPr>
        <w:pStyle w:val="ListBullet"/>
        <w:numPr>
          <w:ilvl w:val="0"/>
          <w:numId w:val="3"/>
        </w:numPr>
      </w:pPr>
      <w:r>
        <w:rPr>
          <w:b/>
        </w:rPr>
        <w:t xml:space="preserve">Herkunft auf drei Ebenen.</w:t>
      </w:r>
      <w:r>
        <w:t xml:space="preserve"> Je </w:t>
      </w:r>
      <w:r>
        <w:rPr>
          <w:b/>
        </w:rPr>
        <w:t xml:space="preserve">Feld</w:t>
      </w:r>
      <w:r>
        <w:t xml:space="preserve"> lebt sie nur im Importlauf und wird bewusst </w:t>
      </w:r>
      <w:r>
        <w:rPr>
          <w:b/>
        </w:rPr>
        <w:t xml:space="preserve">nicht</w:t>
      </w:r>
      <w:r>
        <w:t xml:space="preserve"> persistiert; je </w:t>
      </w:r>
      <w:r>
        <w:rPr>
          <w:b/>
        </w:rPr>
        <w:t xml:space="preserve">Zeile</w:t>
      </w:r>
      <w:r>
        <w:t xml:space="preserve"> steht sie dauerhaft an Zone, Bauteil, Aufbau und Baustoff; je </w:t>
      </w:r>
      <w:r>
        <w:rPr>
          <w:b/>
        </w:rPr>
        <w:t xml:space="preserve">Paarung</w:t>
      </w:r>
      <w:r>
        <w:t xml:space="preserve"> steht sie in der Importzuordnung. </w:t>
      </w:r>
      <w:r>
        <w:rPr>
          <w:rFonts w:ascii="Consolas" w:hAnsi="Consolas" w:cs="Consolas"/>
          <w:noProof/>
          <w:sz w:val="20"/>
          <w:szCs w:val="20"/>
          <w:shd w:val="clear" w:color="auto" w:fill="EFEFEF"/>
        </w:rPr>
        <w:t xml:space="preserve">Tab_Gebaeude</w:t>
      </w:r>
      <w:r>
        <w:t xml:space="preserve"> bekommt sie </w:t>
      </w:r>
      <w:r>
        <w:rPr>
          <w:b/>
        </w:rPr>
        <w:t xml:space="preserve">nicht</w:t>
      </w:r>
      <w:r>
        <w:t xml:space="preserve"> — es hat einen Katalogzwilling, an dem eine Importherkunft nichts bedeutet, und jede weitere Gebäudespalte wäre ein weiterer Sichtneubau.</w:t>
      </w:r>
    </w:p>
    <w:p>
      <w:pPr>
        <w:pStyle w:val="ListBullet"/>
        <w:numPr>
          <w:ilvl w:val="0"/>
          <w:numId w:val="3"/>
        </w:numPr>
      </w:pPr>
      <w:r>
        <w:rPr>
          <w:b/>
        </w:rPr>
        <w:t xml:space="preserve">Die Kaskadenrettung steht dort, wo das Löschen steht.</w:t>
      </w:r>
      <w:r>
        <w:t xml:space="preserve"> Der Gebäude-Schreibweg des Bestands löscht möglicherweise und legt neu an; dann räumt jeder gewöhnliche Speichervorgang die Kinder ab. Der Weg ist </w:t>
      </w:r>
      <w:r>
        <w:rPr>
          <w:b/>
        </w:rPr>
        <w:t xml:space="preserve">vor G3 zu messen</w:t>
      </w:r>
      <w:r>
        <w:t xml:space="preserve">, und die Rettung liegt im Schreibweg des Gebäudes, nicht im Import- oder Zonencontroller, der den Löschweg nicht kennt. Der </w:t>
      </w:r>
      <w:r>
        <w:rPr>
          <w:b/>
        </w:rPr>
        <w:t xml:space="preserve">Zonenschreibweg</w:t>
      </w:r>
      <w:r>
        <w:t xml:space="preserve"> selbst arbeitet dagegen nach </w:t>
      </w:r>
      <w:r>
        <w:rPr>
          <w:b/>
        </w:rPr>
        <w:t xml:space="preserve">A6 mit „Ändern statt Löschen"</w:t>
      </w:r>
      <w:r>
        <w:t xml:space="preserve">: Abgleich über die Ids in der Reihenfolge Entfernen → Ändern → Anlegen, alles in </w:t>
      </w:r>
      <w:r>
        <w:rPr>
          <w:b/>
        </w:rPr>
        <w:t xml:space="preserve">einer</w:t>
      </w:r>
      <w:r>
        <w:t xml:space="preserve"> Transaktion — nur so bleiben die Ids stehen, an denen Importzuordnung und Luftstromtabelle hängen.</w:t>
      </w:r>
    </w:p>
    <w:p>
      <w:pPr>
        <w:pStyle w:val="ListBullet"/>
        <w:numPr>
          <w:ilvl w:val="0"/>
          <w:numId w:val="3"/>
        </w:numPr>
      </w:pPr>
      <w:r>
        <w:rPr>
          <w:b/>
        </w:rPr>
        <w:t xml:space="preserve">Vier Pflegewege je neuer Tabelle:</w:t>
      </w:r>
      <w:r>
        <w:t xml:space="preserve"> Migrationsschritt, Auslieferungsvorlage (Kindkataloge ohne </w:t>
      </w:r>
      <w:r>
        <w:rPr>
          <w:rFonts w:ascii="Consolas" w:hAnsi="Consolas" w:cs="Consolas"/>
          <w:noProof/>
          <w:sz w:val="20"/>
          <w:szCs w:val="20"/>
          <w:shd w:val="clear" w:color="auto" w:fill="EFEFEF"/>
        </w:rPr>
        <w:t xml:space="preserve">ReadOnly</w:t>
      </w:r>
      <w:r>
        <w:t xml:space="preserve"> namentlich führen und auf „nicht leer" prüfen), Reduzierskript der Testdatenbank (Eltern zuerst, acht neue Löschzeilen) und das Projektduplizieren mit dreistufiger Kindkette von Hand.</w:t>
      </w:r>
    </w:p>
    <w:p>
      <w:pPr>
        <w:pStyle w:val="Heading2"/>
      </w:pPr>
      <w:r>
        <w:t xml:space="preserve">4.4 Einfrierplan</w:t>
      </w:r>
    </w:p>
    <w:p>
      <w:r>
        <w:t xml:space="preserve">Drei Schritte berühren die Referenzbasis, und alle drei sind begründet. Alle Tabellen-, Saat- und Sichtschritte dazwischen sind ergebnisneutral — </w:t>
      </w:r>
      <w:r>
        <w:rPr>
          <w:b/>
        </w:rPr>
        <w:t xml:space="preserve">und das ist je Schritt zu belegen, nicht zu behaupten.</w:t>
      </w:r>
    </w:p>
    <w:p>
      <w:pPr>
        <w:pStyle w:val="Diagrammbild"/>
      </w:pPr>
      <w:r>
        <w:drawing>
          <wp:inline xmlns:wp="http://schemas.openxmlformats.org/drawingml/2006/wordprocessingDrawing" distT="0" distB="0" distL="0" distR="0">
            <wp:extent cx="5842324" cy="7920000"/>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7.png"/>
                    <pic:cNvPicPr/>
                  </pic:nvPicPr>
                  <pic:blipFill>
                    <a:blip xmlns:r="http://schemas.openxmlformats.org/officeDocument/2006/relationships" r:embed="Rdf480085593340f9"/>
                    <a:stretch>
                      <a:fillRect/>
                    </a:stretch>
                  </pic:blipFill>
                  <pic:spPr>
                    <a:xfrm>
                      <a:off x="0" y="0"/>
                      <a:ext cx="5842324" cy="7920000"/>
                    </a:xfrm>
                    <a:prstGeom prst="rect">
                      <a:avLst/>
                    </a:prstGeom>
                  </pic:spPr>
                </pic:pic>
              </a:graphicData>
            </a:graphic>
          </wp:inline>
        </w:drawing>
      </w:r>
    </w:p>
    <w:p>
      <w:pPr>
        <w:pStyle w:val="Bildunterschrift"/>
      </w:pPr>
      <w:r>
        <w:rPr>
          <w:i/>
          <w:iCs/>
        </w:rPr>
        <w:t xml:space="preserve">Bild 7: 4.4 Einfrierplan</w:t>
      </w:r>
    </w:p>
    <w:p>
      <w:r>
        <w:t xml:space="preserve">Das Umsetzungskonzept nennt zwei Einfrierschritte (GB und G1+G2), weil es bei G5 endet; mit dem Mehrzonenmodell kommt </w:t>
      </w:r>
      <w:r>
        <w:rPr>
          <w:b/>
        </w:rPr>
        <w:t xml:space="preserve">G6d</w:t>
      </w:r>
      <w:r>
        <w:t xml:space="preserve"> als dritter hinzu.</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Schritt</w:t>
            </w:r>
          </w:p>
        </w:tc>
        <w:tc>
          <w:tcPr>
            <w:tcW w:w="0" w:type="auto"/>
            <w:shd w:val="clear" w:color="auto" w:fill="D9D9D9"/>
          </w:tcPr>
          <w:p>
            <w:pPr>
              <w:spacing w:after="0" w:line="240" w:lineRule="auto"/>
              <w:rPr>
                <w:b/>
              </w:rPr>
            </w:pPr>
            <w:r>
              <w:rPr>
                <w:b/>
              </w:rPr>
              <w:t xml:space="preserve">Nachweis, der zu führen ist</w:t>
            </w:r>
          </w:p>
        </w:tc>
      </w:tr>
      <w:tr>
        <w:tc>
          <w:tcPr>
            <w:tcW w:w="0" w:type="auto"/>
          </w:tcPr>
          <w:p>
            <w:pPr>
              <w:spacing w:after="0" w:line="240" w:lineRule="auto"/>
            </w:pPr>
            <w:r>
              <w:rPr>
                <w:b/>
              </w:rPr>
              <w:t xml:space="preserve">GB</w:t>
            </w:r>
          </w:p>
        </w:tc>
        <w:tc>
          <w:tcPr>
            <w:tcW w:w="0" w:type="auto"/>
          </w:tcPr>
          <w:p>
            <w:pPr>
              <w:spacing w:after="0" w:line="240" w:lineRule="auto"/>
            </w:pPr>
            <w:r>
              <w:t xml:space="preserve">Lauf, Vergleich, Begründung, grüner Kern-Lauf; die zwei betroffenen Projekte namentlich mit alter und neuer Zahl. Diese Basis ist die </w:t>
            </w:r>
            <w:r>
              <w:rPr>
                <w:b/>
              </w:rPr>
              <w:t xml:space="preserve">letzte reine Bestandsbasis</w:t>
            </w:r>
          </w:p>
        </w:tc>
      </w:tr>
      <w:tr>
        <w:tc>
          <w:tcPr>
            <w:tcW w:w="0" w:type="auto"/>
          </w:tcPr>
          <w:p>
            <w:pPr>
              <w:spacing w:after="0" w:line="240" w:lineRule="auto"/>
            </w:pPr>
            <w:r>
              <w:rPr>
                <w:b/>
              </w:rPr>
              <w:t xml:space="preserve">M2</w:t>
            </w:r>
          </w:p>
        </w:tc>
        <w:tc>
          <w:tcPr>
            <w:tcW w:w="0" w:type="auto"/>
          </w:tcPr>
          <w:p>
            <w:pPr>
              <w:spacing w:after="0" w:line="240" w:lineRule="auto"/>
            </w:pPr>
            <w:r>
              <w:t xml:space="preserve">byte-gleich gegen die GB-Basis; eigener Merge, weil jede der 15 Stellen in die solaren Gewinne mündet</w:t>
            </w:r>
          </w:p>
        </w:tc>
      </w:tr>
      <w:tr>
        <w:tc>
          <w:tcPr>
            <w:tcW w:w="0" w:type="auto"/>
          </w:tcPr>
          <w:p>
            <w:pPr>
              <w:spacing w:after="0" w:line="240" w:lineRule="auto"/>
            </w:pPr>
            <w:r>
              <w:rPr>
                <w:b/>
              </w:rPr>
              <w:t xml:space="preserve">M3</w:t>
            </w:r>
          </w:p>
        </w:tc>
        <w:tc>
          <w:tcPr>
            <w:tcW w:w="0" w:type="auto"/>
          </w:tcPr>
          <w:p>
            <w:pPr>
              <w:spacing w:after="0" w:line="240" w:lineRule="auto"/>
            </w:pPr>
            <w:r>
              <w:t xml:space="preserve">byte-gleich; die Probe </w:t>
            </w:r>
            <w:r>
              <w:rPr>
                <w:b/>
              </w:rPr>
              <w:t xml:space="preserve">ist</w:t>
            </w:r>
            <w:r>
              <w:t xml:space="preserve"> der Sichtneubau; SQL-Dialekt-Prüfer grün</w:t>
            </w:r>
          </w:p>
        </w:tc>
      </w:tr>
      <w:tr>
        <w:tc>
          <w:tcPr>
            <w:tcW w:w="0" w:type="auto"/>
          </w:tcPr>
          <w:p>
            <w:pPr>
              <w:spacing w:after="0" w:line="240" w:lineRule="auto"/>
            </w:pPr>
            <w:r>
              <w:rPr>
                <w:b/>
              </w:rPr>
              <w:t xml:space="preserve">M4</w:t>
            </w:r>
          </w:p>
        </w:tc>
        <w:tc>
          <w:tcPr>
            <w:tcW w:w="0" w:type="auto"/>
          </w:tcPr>
          <w:p>
            <w:pPr>
              <w:spacing w:after="0" w:line="240" w:lineRule="auto"/>
            </w:pPr>
            <w:r>
              <w:t xml:space="preserve">byte-gleich; die Importprobe gegen die eingefrorene PVGIS-Antwort liefert dieselben Strahlungsreihen; </w:t>
            </w:r>
            <w:r>
              <w:rPr>
                <w:b/>
              </w:rPr>
              <w:t xml:space="preserve">Einfrierregel „gesäte Klimareihen" eingetragen</w:t>
            </w:r>
          </w:p>
        </w:tc>
      </w:tr>
      <w:tr>
        <w:tc>
          <w:tcPr>
            <w:tcW w:w="0" w:type="auto"/>
          </w:tcPr>
          <w:p>
            <w:pPr>
              <w:spacing w:after="0" w:line="240" w:lineRule="auto"/>
            </w:pPr>
            <w:r>
              <w:rPr>
                <w:b/>
              </w:rPr>
              <w:t xml:space="preserve">G1 + G2</w:t>
            </w:r>
          </w:p>
        </w:tc>
        <w:tc>
          <w:tcPr>
            <w:tcW w:w="0" w:type="auto"/>
          </w:tcPr>
          <w:p>
            <w:pPr>
              <w:spacing w:after="0" w:line="240" w:lineRule="auto"/>
            </w:pPr>
            <w:r>
              <w:t xml:space="preserve">alle dreizehn Projekte ändern sich, Basis vollständig neu; dazu der </w:t>
            </w:r>
            <w:r>
              <w:rPr>
                <w:b/>
              </w:rPr>
              <w:t xml:space="preserve">Rückweg-Test</w:t>
            </w:r>
            <w:r>
              <w:t xml:space="preserve"> auf einer gitignorierten Arbeitskopie, die alle Gebäude auf Tagesbilanz setzt; Diagrammproben grün; Sichtabnahme Windows</w:t>
            </w:r>
          </w:p>
        </w:tc>
      </w:tr>
      <w:tr>
        <w:tc>
          <w:tcPr>
            <w:tcW w:w="0" w:type="auto"/>
          </w:tcPr>
          <w:p>
            <w:pPr>
              <w:spacing w:after="0" w:line="240" w:lineRule="auto"/>
            </w:pPr>
            <w:r>
              <w:rPr>
                <w:b/>
              </w:rPr>
              <w:t xml:space="preserve">S-A bis S-G</w:t>
            </w:r>
          </w:p>
        </w:tc>
        <w:tc>
          <w:tcPr>
            <w:tcW w:w="0" w:type="auto"/>
          </w:tcPr>
          <w:p>
            <w:pPr>
              <w:spacing w:after="0" w:line="240" w:lineRule="auto"/>
            </w:pPr>
            <w:r>
              <w:t xml:space="preserve">je Schritt Zeilenzahl, Dateigröße, Tabellenzahl, Projektzahl und der Satz, dass der Referenzlauf byte-gleich ist — </w:t>
            </w:r>
            <w:r>
              <w:rPr>
                <w:b/>
              </w:rPr>
              <w:t xml:space="preserve">weil kein Leser die neuen Tabellen liest</w:t>
            </w:r>
          </w:p>
        </w:tc>
      </w:tr>
      <w:tr>
        <w:tc>
          <w:tcPr>
            <w:tcW w:w="0" w:type="auto"/>
          </w:tcPr>
          <w:p>
            <w:pPr>
              <w:spacing w:after="0" w:line="240" w:lineRule="auto"/>
            </w:pPr>
            <w:r>
              <w:rPr>
                <w:b/>
              </w:rPr>
              <w:t xml:space="preserve">G6d</w:t>
            </w:r>
          </w:p>
        </w:tc>
        <w:tc>
          <w:tcPr>
            <w:tcW w:w="0" w:type="auto"/>
          </w:tcPr>
          <w:p>
            <w:pPr>
              <w:spacing w:after="0" w:line="240" w:lineRule="auto"/>
            </w:pPr>
            <w:r>
              <w:t xml:space="preserve">grüner Kern-Lauf, neue Basis begründet; </w:t>
            </w:r>
            <w:r>
              <w:rPr>
                <w:b/>
              </w:rPr>
              <w:t xml:space="preserve">Einfrierregel „gesäte Zonendaten" eingetragen</w:t>
            </w:r>
          </w:p>
        </w:tc>
      </w:tr>
    </w:tbl>
    <w:p>
      <w:pPr>
        <w:spacing w:after="120"/>
      </w:pPr>
    </w:p>
    <w:p>
      <w:r>
        <w:rPr>
          <w:b/>
        </w:rPr>
        <w:t xml:space="preserve">Die drei neuen Einfrierregeln heißen nach ihrem Gegenstand, nicht nach einer Ordnungszahl</w:t>
      </w:r>
      <w:r>
        <w:t xml:space="preserve"> — M4 läuft lange vor G6d, und wer durchzählte, müsste die Zahlen später umhängen. Einzutragen sind sie an </w:t>
      </w:r>
      <w:r>
        <w:rPr>
          <w:b/>
        </w:rPr>
        <w:t xml:space="preserve">beiden</w:t>
      </w:r>
      <w:r>
        <w:t xml:space="preserve"> Orten, in </w:t>
      </w:r>
      <w:r>
        <w:rPr>
          <w:rFonts w:ascii="Consolas" w:hAnsi="Consolas" w:cs="Consolas"/>
          <w:noProof/>
          <w:sz w:val="20"/>
          <w:szCs w:val="20"/>
          <w:shd w:val="clear" w:color="auto" w:fill="EFEFEF"/>
        </w:rPr>
        <w:t xml:space="preserve">Referenzlaeufe/LIESMICH.md</w:t>
      </w:r>
      <w:r>
        <w:t xml:space="preserve"> und im Abschnitt „Regressionsnetz" der </w:t>
      </w:r>
      <w:r>
        <w:rPr>
          <w:rFonts w:ascii="Consolas" w:hAnsi="Consolas" w:cs="Consolas"/>
          <w:noProof/>
          <w:sz w:val="20"/>
          <w:szCs w:val="20"/>
          <w:shd w:val="clear" w:color="auto" w:fill="EFEFEF"/>
        </w:rPr>
        <w:t xml:space="preserve">CLAUDE.md</w:t>
      </w:r>
      <w:r>
        <w:t xml:space="preserve">: </w:t>
      </w:r>
      <w:r>
        <w:rPr>
          <w:b/>
        </w:rPr>
        <w:t xml:space="preserve">„gesäte Gebäudedaten"</w:t>
      </w:r>
      <w:r>
        <w:t xml:space="preserve"> (mit GB) über Bauweise, U-Werte, Flächen, Sollwerte, Luftwechselrate und Fensterdurchlassgrad sowie ab G1 die fünfzehn neuen Spalten; </w:t>
      </w:r>
      <w:r>
        <w:rPr>
          <w:b/>
        </w:rPr>
        <w:t xml:space="preserve">„gesäte Klimareihen"</w:t>
      </w:r>
      <w:r>
        <w:t xml:space="preserve"> (mit M4, eine Empfehlung des Architekturentwurfs) über Gegenstrahlung, Windgeschwindigkeit und Luftfeuchte der Referenzregionen — ohne sie verschöbe ein späterer PVGIS-Neuimport die Basis still, sobald der Klimaweg die Spalten liest; und </w:t>
      </w:r>
      <w:r>
        <w:rPr>
          <w:b/>
        </w:rPr>
        <w:t xml:space="preserve">„gesäte Zonendaten"</w:t>
      </w:r>
      <w:r>
        <w:t xml:space="preserve"> (mit G6d) über Zonen-, Bauteil-, Schicht- und Luftstromzeilen des umgestellten Referenzprojekts.</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2), </w:t>
      </w:r>
      <w:r>
        <w:rPr>
          <w:rFonts w:ascii="Consolas" w:hAnsi="Consolas" w:cs="Consolas"/>
          <w:noProof/>
          <w:sz w:val="20"/>
          <w:szCs w:val="20"/>
          <w:shd w:val="clear" w:color="auto" w:fill="EFEFEF"/>
        </w:rPr>
        <w:t xml:space="preserve">Dokumentation/aktuell/Konzept_Mehrzonenmodell_IFC_EPOS-Plan.md</w:t>
      </w:r>
      <w:r>
        <w:t xml:space="preserve"> (Kapitel 4) und </w:t>
      </w:r>
      <w:r>
        <w:rPr>
          <w:rFonts w:ascii="Consolas" w:hAnsi="Consolas" w:cs="Consolas"/>
          <w:noProof/>
          <w:sz w:val="20"/>
          <w:szCs w:val="20"/>
          <w:shd w:val="clear" w:color="auto" w:fill="EFEFEF"/>
        </w:rPr>
        <w:t xml:space="preserve">Dokumentation/aktuell/Gebaeudesimulation/2026-09-15_Befund_V_Datenmodell_Architektur.md</w:t>
      </w:r>
      <w:r>
        <w:t xml:space="preserve">.</w:t>
      </w:r>
    </w:p>
    <w:p>
      <w:pPr>
        <w:pStyle w:val="Trennlinie"/>
      </w:pPr>
    </w:p>
    <w:p>
      <w:pPr>
        <w:pStyle w:val="Heading1"/>
      </w:pPr>
      <w:r>
        <w:t xml:space="preserve">5 Dialogführung</w:t>
      </w:r>
    </w:p>
    <w:p>
      <w:pPr>
        <w:pStyle w:val="Heading2"/>
      </w:pPr>
      <w:r>
        <w:t xml:space="preserve">5.1 Navigation und Maskenschlüssel</w:t>
      </w:r>
    </w:p>
    <w:p>
      <w:r>
        <w:t xml:space="preserve">Zum Gebäude führen genau zwei Klickwege, und beide bleiben: die Kachel „Gebäude" im Startseiten-Reiter </w:t>
      </w:r>
      <w:r>
        <w:rPr>
          <w:i/>
        </w:rPr>
        <w:t xml:space="preserve">Wärmebedarf</w:t>
      </w:r>
      <w:r>
        <w:t xml:space="preserve"> und </w:t>
      </w:r>
      <w:r>
        <w:rPr>
          <w:i/>
        </w:rPr>
        <w:t xml:space="preserve">Administration → Gebäude → Bearbeiten</w:t>
      </w:r>
      <w:r>
        <w:t xml:space="preserve">. Beide öffnen </w:t>
      </w:r>
      <w:r>
        <w:rPr>
          <w:b/>
        </w:rPr>
        <w:t xml:space="preserve">dieselbe</w:t>
      </w:r>
      <w:r>
        <w:t xml:space="preserve"> Komponente, der zweite in der Betriebsart Verwaltung. </w:t>
      </w:r>
      <w:r>
        <w:rPr>
          <w:b/>
        </w:rPr>
        <w:t xml:space="preserve">Ein eigener Einstieg „Gebäudemodell rechnen" entsteht nicht</w:t>
      </w:r>
      <w:r>
        <w:t xml:space="preserve"> — das Kachelregister ist gedeckelt, und der Weg gehört als Knopf </w:t>
      </w:r>
      <w:r>
        <w:rPr>
          <w:b/>
        </w:rPr>
        <w:t xml:space="preserve">in</w:t>
      </w:r>
      <w:r>
        <w:t xml:space="preserve"> den Gebäudedialog.</w:t>
      </w:r>
    </w:p>
    <w:p>
      <w:r>
        <w:t xml:space="preserve">Je neuem Maskenschlüssel sind </w:t>
      </w:r>
      <w:r>
        <w:rPr>
          <w:b/>
        </w:rPr>
        <w:t xml:space="preserve">vier</w:t>
      </w:r>
      <w:r>
        <w:t xml:space="preserve"> Stellen zu pflegen: die Konstante (sprachneutraler ASCII-Schlüssel in Großschreibung), der Fall in der Anwendungswurzel oder in der Plattformhülle, die Zeile in der Menuetabelle — </w:t>
      </w:r>
      <w:r>
        <w:rPr>
          <w:b/>
        </w:rPr>
        <w:t xml:space="preserve">das Menü ist Daten, kein Code</w:t>
      </w:r>
      <w:r>
        <w:t xml:space="preserve">, und ein Untermenü mit nur einem Punkt ist verboten —, und </w:t>
      </w:r>
      <w:r>
        <w:rPr>
          <w:b/>
        </w:rPr>
        <w:t xml:space="preserve">eine Zeile je Maske</w:t>
      </w:r>
      <w:r>
        <w:t xml:space="preserve"> in der iOS-Navigationsübersetzung.</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Maske</w:t>
            </w:r>
          </w:p>
        </w:tc>
        <w:tc>
          <w:tcPr>
            <w:tcW w:w="0" w:type="auto"/>
            <w:shd w:val="clear" w:color="auto" w:fill="D9D9D9"/>
          </w:tcPr>
          <w:p>
            <w:pPr>
              <w:spacing w:after="0" w:line="240" w:lineRule="auto"/>
              <w:rPr>
                <w:b/>
              </w:rPr>
            </w:pPr>
            <w:r>
              <w:rPr>
                <w:b/>
              </w:rPr>
              <w:t xml:space="preserve">Schlüssel</w:t>
            </w:r>
          </w:p>
        </w:tc>
        <w:tc>
          <w:tcPr>
            <w:tcW w:w="0" w:type="auto"/>
            <w:shd w:val="clear" w:color="auto" w:fill="D9D9D9"/>
          </w:tcPr>
          <w:p>
            <w:pPr>
              <w:spacing w:after="0" w:line="240" w:lineRule="auto"/>
              <w:rPr>
                <w:b/>
              </w:rPr>
            </w:pPr>
            <w:r>
              <w:rPr>
                <w:b/>
              </w:rPr>
              <w:t xml:space="preserve">Menüzeile</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Baustoffkatalog</w:t>
            </w:r>
          </w:p>
        </w:tc>
        <w:tc>
          <w:tcPr>
            <w:tcW w:w="0" w:type="auto"/>
          </w:tcPr>
          <w:p>
            <w:pPr>
              <w:spacing w:after="0" w:line="240" w:lineRule="auto"/>
            </w:pPr>
            <w:r>
              <w:t xml:space="preserve">neu</w:t>
            </w:r>
          </w:p>
        </w:tc>
        <w:tc>
          <w:tcPr>
            <w:tcW w:w="0" w:type="auto"/>
          </w:tcPr>
          <w:p>
            <w:pPr>
              <w:spacing w:after="0" w:line="240" w:lineRule="auto"/>
            </w:pPr>
            <w:r>
              <w:rPr>
                <w:i/>
              </w:rPr>
              <w:t xml:space="preserve">Administration → Bauteilkatalog → Baustoffe</w:t>
            </w:r>
          </w:p>
        </w:tc>
        <w:tc>
          <w:tcPr>
            <w:tcW w:w="0" w:type="auto"/>
          </w:tcPr>
          <w:p>
            <w:pPr>
              <w:spacing w:after="0" w:line="240" w:lineRule="auto"/>
            </w:pPr>
            <w:r>
              <w:t xml:space="preserve">eigener Katalogeditor wie jeder andere Katalog</w:t>
            </w:r>
          </w:p>
        </w:tc>
      </w:tr>
      <w:tr>
        <w:tc>
          <w:tcPr>
            <w:tcW w:w="0" w:type="auto"/>
          </w:tcPr>
          <w:p>
            <w:pPr>
              <w:spacing w:after="0" w:line="240" w:lineRule="auto"/>
            </w:pPr>
            <w:r>
              <w:t xml:space="preserve">Bauteilaufbau-Katalog</w:t>
            </w:r>
          </w:p>
        </w:tc>
        <w:tc>
          <w:tcPr>
            <w:tcW w:w="0" w:type="auto"/>
          </w:tcPr>
          <w:p>
            <w:pPr>
              <w:spacing w:after="0" w:line="240" w:lineRule="auto"/>
            </w:pPr>
            <w:r>
              <w:t xml:space="preserve">neu</w:t>
            </w:r>
          </w:p>
        </w:tc>
        <w:tc>
          <w:tcPr>
            <w:tcW w:w="0" w:type="auto"/>
          </w:tcPr>
          <w:p>
            <w:pPr>
              <w:spacing w:after="0" w:line="240" w:lineRule="auto"/>
            </w:pPr>
            <w:r>
              <w:rPr>
                <w:i/>
              </w:rPr>
              <w:t xml:space="preserve">Administration → Bauteilkatalog → Bauteilaufbauten</w:t>
            </w:r>
          </w:p>
        </w:tc>
        <w:tc>
          <w:tcPr>
            <w:tcW w:w="0" w:type="auto"/>
          </w:tcPr>
          <w:p>
            <w:pPr>
              <w:spacing w:after="0" w:line="240" w:lineRule="auto"/>
            </w:pPr>
            <w:r>
              <w:rPr>
                <w:b/>
              </w:rPr>
              <w:t xml:space="preserve">die zwei Kataloge müssen gemeinsam eingehängt werden</w:t>
            </w:r>
          </w:p>
        </w:tc>
      </w:tr>
      <w:tr>
        <w:tc>
          <w:tcPr>
            <w:tcW w:w="0" w:type="auto"/>
          </w:tcPr>
          <w:p>
            <w:pPr>
              <w:spacing w:after="0" w:line="240" w:lineRule="auto"/>
            </w:pPr>
            <w:r>
              <w:t xml:space="preserve">Zonendialog, Bauteildialog</w:t>
            </w:r>
          </w:p>
        </w:tc>
        <w:tc>
          <w:tcPr>
            <w:tcW w:w="0" w:type="auto"/>
          </w:tcPr>
          <w:p>
            <w:pPr>
              <w:spacing w:after="0" w:line="240" w:lineRule="auto"/>
            </w:pPr>
            <w:r>
              <w:rPr>
                <w:b/>
              </w:rPr>
              <w:t xml:space="preserve">keiner</w:t>
            </w:r>
          </w:p>
        </w:tc>
        <w:tc>
          <w:tcPr>
            <w:tcW w:w="0" w:type="auto"/>
          </w:tcPr>
          <w:p>
            <w:pPr>
              <w:spacing w:after="0" w:line="240" w:lineRule="auto"/>
            </w:pPr>
            <w:r>
              <w:t xml:space="preserve">keine</w:t>
            </w:r>
          </w:p>
        </w:tc>
        <w:tc>
          <w:tcPr>
            <w:tcW w:w="0" w:type="auto"/>
          </w:tcPr>
          <w:p>
            <w:pPr>
              <w:spacing w:after="0" w:line="240" w:lineRule="auto"/>
            </w:pPr>
            <w:r>
              <w:t xml:space="preserve">Überlagerungen </w:t>
            </w:r>
            <w:r>
              <w:rPr>
                <w:b/>
              </w:rPr>
              <w:t xml:space="preserve">im</w:t>
            </w:r>
            <w:r>
              <w:t xml:space="preserve"> Gebäudedialog; ein Schlüssel wäre ein zweites Fenster</w:t>
            </w:r>
          </w:p>
        </w:tc>
      </w:tr>
      <w:tr>
        <w:tc>
          <w:tcPr>
            <w:tcW w:w="0" w:type="auto"/>
          </w:tcPr>
          <w:p>
            <w:pPr>
              <w:spacing w:after="0" w:line="240" w:lineRule="auto"/>
            </w:pPr>
            <w:r>
              <w:t xml:space="preserve">Gebäudeimport (IFC, gbXML)</w:t>
            </w:r>
          </w:p>
        </w:tc>
        <w:tc>
          <w:tcPr>
            <w:tcW w:w="0" w:type="auto"/>
          </w:tcPr>
          <w:p>
            <w:pPr>
              <w:spacing w:after="0" w:line="240" w:lineRule="auto"/>
            </w:pPr>
            <w:r>
              <w:rPr>
                <w:b/>
              </w:rPr>
              <w:t xml:space="preserve">offen</w:t>
            </w:r>
          </w:p>
        </w:tc>
        <w:tc>
          <w:tcPr>
            <w:tcW w:w="0" w:type="auto"/>
          </w:tcPr>
          <w:p>
            <w:pPr>
              <w:spacing w:after="0" w:line="240" w:lineRule="auto"/>
            </w:pPr>
            <w:r>
              <w:t xml:space="preserve">offen</w:t>
            </w:r>
          </w:p>
        </w:tc>
        <w:tc>
          <w:tcPr>
            <w:tcW w:w="0" w:type="auto"/>
          </w:tcPr>
          <w:p>
            <w:pPr>
              <w:spacing w:after="0" w:line="240" w:lineRule="auto"/>
            </w:pPr>
            <w:r>
              <w:t xml:space="preserve">Empfehlung: </w:t>
            </w:r>
            <w:r>
              <w:rPr>
                <w:b/>
              </w:rPr>
              <w:t xml:space="preserve">keiner</w:t>
            </w:r>
            <w:r>
              <w:t xml:space="preserve"> — Überlagerung, aufgemacht über zwei Knöpfe in der Katalogleiste, je mit eigenem Profil und der Regel „kein Delegat, kein Knopf"</w:t>
            </w:r>
          </w:p>
        </w:tc>
      </w:tr>
      <w:tr>
        <w:tc>
          <w:tcPr>
            <w:tcW w:w="0" w:type="auto"/>
          </w:tcPr>
          <w:p>
            <w:pPr>
              <w:spacing w:after="0" w:line="240" w:lineRule="auto"/>
            </w:pPr>
            <w:r>
              <w:t xml:space="preserve">Gebäudeexport (G7)</w:t>
            </w:r>
          </w:p>
        </w:tc>
        <w:tc>
          <w:tcPr>
            <w:tcW w:w="0" w:type="auto"/>
          </w:tcPr>
          <w:p>
            <w:pPr>
              <w:spacing w:after="0" w:line="240" w:lineRule="auto"/>
            </w:pPr>
            <w:r>
              <w:rPr>
                <w:b/>
              </w:rPr>
              <w:t xml:space="preserve">offen</w:t>
            </w:r>
          </w:p>
        </w:tc>
        <w:tc>
          <w:tcPr>
            <w:tcW w:w="0" w:type="auto"/>
          </w:tcPr>
          <w:p>
            <w:pPr>
              <w:spacing w:after="0" w:line="240" w:lineRule="auto"/>
            </w:pPr>
            <w:r>
              <w:t xml:space="preserve">offen</w:t>
            </w:r>
          </w:p>
        </w:tc>
        <w:tc>
          <w:tcPr>
            <w:tcW w:w="0" w:type="auto"/>
          </w:tcPr>
          <w:p>
            <w:pPr>
              <w:spacing w:after="0" w:line="240" w:lineRule="auto"/>
            </w:pPr>
            <w:r>
              <w:t xml:space="preserve">Empfehlung: </w:t>
            </w:r>
            <w:r>
              <w:rPr>
                <w:b/>
              </w:rPr>
              <w:t xml:space="preserve">keiner</w:t>
            </w:r>
            <w:r>
              <w:t xml:space="preserve">, aus demselben Grund; Einstieg zusätzlich dort, wo die Ergebnisse liegen</w:t>
            </w:r>
          </w:p>
        </w:tc>
      </w:tr>
    </w:tbl>
    <w:p>
      <w:pPr>
        <w:spacing w:after="120"/>
      </w:pPr>
    </w:p>
    <w:p>
      <w:pPr>
        <w:pStyle w:val="Diagrammbild"/>
      </w:pPr>
      <w:r>
        <w:drawing>
          <wp:inline xmlns:wp="http://schemas.openxmlformats.org/drawingml/2006/wordprocessingDrawing" distT="0" distB="0" distL="0" distR="0">
            <wp:extent cx="6120130" cy="1874290"/>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8.png"/>
                    <pic:cNvPicPr/>
                  </pic:nvPicPr>
                  <pic:blipFill>
                    <a:blip xmlns:r="http://schemas.openxmlformats.org/officeDocument/2006/relationships" r:embed="Rc60a743ef319400f"/>
                    <a:stretch>
                      <a:fillRect/>
                    </a:stretch>
                  </pic:blipFill>
                  <pic:spPr>
                    <a:xfrm>
                      <a:off x="0" y="0"/>
                      <a:ext cx="6120130" cy="1874290"/>
                    </a:xfrm>
                    <a:prstGeom prst="rect">
                      <a:avLst/>
                    </a:prstGeom>
                  </pic:spPr>
                </pic:pic>
              </a:graphicData>
            </a:graphic>
          </wp:inline>
        </w:drawing>
      </w:r>
    </w:p>
    <w:p>
      <w:pPr>
        <w:pStyle w:val="Bildunterschrift"/>
      </w:pPr>
      <w:r>
        <w:rPr>
          <w:i/>
          <w:iCs/>
        </w:rPr>
        <w:t xml:space="preserve">Bild 8: 5.1 Navigation und Maskenschlüssel</w:t>
      </w:r>
    </w:p>
    <w:p>
      <w:pPr>
        <w:pStyle w:val="Heading2"/>
      </w:pPr>
      <w:r>
        <w:t xml:space="preserve">5.2 Masken je Stufe</w:t>
      </w:r>
    </w:p>
    <w:p>
      <w:r>
        <w:t xml:space="preserve">Fünf Bestandsmasken im Soll, </w:t>
      </w:r>
      <w:r>
        <w:rPr>
          <w:b/>
        </w:rPr>
        <w:t xml:space="preserve">sechs</w:t>
      </w:r>
      <w:r>
        <w:t xml:space="preserve"> neue — fünf bis G6 und die Exportmaske mit G7; dazu </w:t>
      </w:r>
      <w:r>
        <w:rPr>
          <w:b/>
        </w:rPr>
        <w:t xml:space="preserve">eine eingebettete Ansicht ohne eigenen Maskenschlüssel</w:t>
      </w:r>
      <w:r>
        <w:t xml:space="preserv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Maske</w:t>
            </w:r>
          </w:p>
        </w:tc>
        <w:tc>
          <w:tcPr>
            <w:tcW w:w="0" w:type="auto"/>
            <w:shd w:val="clear" w:color="auto" w:fill="D9D9D9"/>
          </w:tcPr>
          <w:p>
            <w:pPr>
              <w:spacing w:after="0" w:line="240" w:lineRule="auto"/>
              <w:rPr>
                <w:b/>
              </w:rPr>
            </w:pPr>
            <w:r>
              <w:rPr>
                <w:b/>
              </w:rPr>
              <w:t xml:space="preserve">Art</w:t>
            </w:r>
          </w:p>
        </w:tc>
        <w:tc>
          <w:tcPr>
            <w:tcW w:w="0" w:type="auto"/>
            <w:shd w:val="clear" w:color="auto" w:fill="D9D9D9"/>
          </w:tcPr>
          <w:p>
            <w:pPr>
              <w:spacing w:after="0" w:line="240" w:lineRule="auto"/>
              <w:rPr>
                <w:b/>
              </w:rPr>
            </w:pPr>
            <w:r>
              <w:rPr>
                <w:b/>
              </w:rPr>
              <w:t xml:space="preserve">Was sich ändert</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t xml:space="preserve">Gebäudedialog (Wirt)</w:t>
            </w:r>
          </w:p>
        </w:tc>
        <w:tc>
          <w:tcPr>
            <w:tcW w:w="0" w:type="auto"/>
          </w:tcPr>
          <w:p>
            <w:pPr>
              <w:spacing w:after="0" w:line="240" w:lineRule="auto"/>
            </w:pPr>
            <w:r>
              <w:t xml:space="preserve">Ansicht mit Speichernleiste</w:t>
            </w:r>
          </w:p>
        </w:tc>
        <w:tc>
          <w:tcPr>
            <w:tcW w:w="0" w:type="auto"/>
          </w:tcPr>
          <w:p>
            <w:pPr>
              <w:spacing w:after="0" w:line="240" w:lineRule="auto"/>
            </w:pPr>
            <w:r>
              <w:t xml:space="preserve">Spalte „Modell" in der Projektliste, zwei leise Kennzahlen im Detailblock, zwei Importknöpfe in der Katalogleiste</w:t>
            </w:r>
          </w:p>
        </w:tc>
        <w:tc>
          <w:tcPr>
            <w:tcW w:w="0" w:type="auto"/>
          </w:tcPr>
          <w:p>
            <w:pPr>
              <w:spacing w:after="0" w:line="240" w:lineRule="auto"/>
            </w:pPr>
            <w:r>
              <w:t xml:space="preserve">G1 · G4</w:t>
            </w:r>
          </w:p>
        </w:tc>
      </w:tr>
      <w:tr>
        <w:tc>
          <w:tcPr>
            <w:tcW w:w="0" w:type="auto"/>
          </w:tcPr>
          <w:p>
            <w:pPr>
              <w:spacing w:after="0" w:line="240" w:lineRule="auto"/>
            </w:pPr>
            <w:r>
              <w:t xml:space="preserve">Gebäude-Katalogeditor</w:t>
            </w:r>
          </w:p>
        </w:tc>
        <w:tc>
          <w:tcPr>
            <w:tcW w:w="0" w:type="auto"/>
          </w:tcPr>
          <w:p>
            <w:pPr>
              <w:spacing w:after="0" w:line="240" w:lineRule="auto"/>
            </w:pPr>
            <w:r>
              <w:t xml:space="preserve">Überlagerung, vier Reiter</w:t>
            </w:r>
          </w:p>
        </w:tc>
        <w:tc>
          <w:tcPr>
            <w:tcW w:w="0" w:type="auto"/>
          </w:tcPr>
          <w:p>
            <w:pPr>
              <w:spacing w:after="0" w:line="240" w:lineRule="auto"/>
            </w:pPr>
            <w:r>
              <w:rPr>
                <w:b/>
              </w:rPr>
              <w:t xml:space="preserve">ein</w:t>
            </w:r>
            <w:r>
              <w:t xml:space="preserve"> Schreibweg, Reiter 3 „Hülle und Rechenmodell", Reiter 4 „Zonen", der Knopf „Gebäude als eine Zone übernehmen"</w:t>
            </w:r>
          </w:p>
        </w:tc>
        <w:tc>
          <w:tcPr>
            <w:tcW w:w="0" w:type="auto"/>
          </w:tcPr>
          <w:p>
            <w:pPr>
              <w:spacing w:after="0" w:line="240" w:lineRule="auto"/>
            </w:pPr>
            <w:r>
              <w:t xml:space="preserve">G1 · G3 · G6</w:t>
            </w:r>
          </w:p>
        </w:tc>
      </w:tr>
      <w:tr>
        <w:tc>
          <w:tcPr>
            <w:tcW w:w="0" w:type="auto"/>
          </w:tcPr>
          <w:p>
            <w:pPr>
              <w:spacing w:after="0" w:line="240" w:lineRule="auto"/>
            </w:pPr>
            <w:r>
              <w:t xml:space="preserve">Bedarfsdialog</w:t>
            </w:r>
          </w:p>
        </w:tc>
        <w:tc>
          <w:tcPr>
            <w:tcW w:w="0" w:type="auto"/>
          </w:tcPr>
          <w:p>
            <w:pPr>
              <w:spacing w:after="0" w:line="240" w:lineRule="auto"/>
            </w:pPr>
            <w:r>
              <w:t xml:space="preserve">Überlagerung</w:t>
            </w:r>
          </w:p>
        </w:tc>
        <w:tc>
          <w:tcPr>
            <w:tcW w:w="0" w:type="auto"/>
          </w:tcPr>
          <w:p>
            <w:pPr>
              <w:spacing w:after="0" w:line="240" w:lineRule="auto"/>
            </w:pPr>
            <w:r>
              <w:t xml:space="preserve">Raumtemperatur, Kühlbedarf, drei Spitzenkennzahlen, Vergleichstabelle beider Modelle, zweites Bild</w:t>
            </w:r>
          </w:p>
        </w:tc>
        <w:tc>
          <w:tcPr>
            <w:tcW w:w="0" w:type="auto"/>
          </w:tcPr>
          <w:p>
            <w:pPr>
              <w:spacing w:after="0" w:line="240" w:lineRule="auto"/>
            </w:pPr>
            <w:r>
              <w:t xml:space="preserve">G1</w:t>
            </w:r>
          </w:p>
        </w:tc>
      </w:tr>
      <w:tr>
        <w:tc>
          <w:tcPr>
            <w:tcW w:w="0" w:type="auto"/>
          </w:tcPr>
          <w:p>
            <w:pPr>
              <w:spacing w:after="0" w:line="240" w:lineRule="auto"/>
            </w:pPr>
            <w:r>
              <w:t xml:space="preserve">Wohnflächen- und Gebäudetypdialog</w:t>
            </w:r>
          </w:p>
        </w:tc>
        <w:tc>
          <w:tcPr>
            <w:tcW w:w="0" w:type="auto"/>
          </w:tcPr>
          <w:p>
            <w:pPr>
              <w:spacing w:after="0" w:line="240" w:lineRule="auto"/>
            </w:pPr>
            <w:r>
              <w:t xml:space="preserve">Überlagerung</w:t>
            </w:r>
          </w:p>
        </w:tc>
        <w:tc>
          <w:tcPr>
            <w:tcW w:w="0" w:type="auto"/>
          </w:tcPr>
          <w:p>
            <w:pPr>
              <w:spacing w:after="0" w:line="240" w:lineRule="auto"/>
            </w:pPr>
            <w:r>
              <w:rPr>
                <w:b/>
              </w:rPr>
              <w:t xml:space="preserve">unverändert</w:t>
            </w:r>
          </w:p>
        </w:tc>
        <w:tc>
          <w:tcPr>
            <w:tcW w:w="0" w:type="auto"/>
          </w:tcPr>
          <w:p>
            <w:pPr>
              <w:spacing w:after="0" w:line="240" w:lineRule="auto"/>
            </w:pPr>
            <w:r>
              <w:t xml:space="preserve">—</w:t>
            </w:r>
          </w:p>
        </w:tc>
      </w:tr>
      <w:tr>
        <w:tc>
          <w:tcPr>
            <w:tcW w:w="0" w:type="auto"/>
          </w:tcPr>
          <w:p>
            <w:pPr>
              <w:spacing w:after="0" w:line="240" w:lineRule="auto"/>
            </w:pPr>
            <w:r>
              <w:t xml:space="preserve">Baustoffkatalog</w:t>
            </w:r>
          </w:p>
        </w:tc>
        <w:tc>
          <w:tcPr>
            <w:tcW w:w="0" w:type="auto"/>
          </w:tcPr>
          <w:p>
            <w:pPr>
              <w:spacing w:after="0" w:line="240" w:lineRule="auto"/>
            </w:pPr>
            <w:r>
              <w:t xml:space="preserve">Katalogdialog</w:t>
            </w:r>
          </w:p>
        </w:tc>
        <w:tc>
          <w:tcPr>
            <w:tcW w:w="0" w:type="auto"/>
          </w:tcPr>
          <w:p>
            <w:pPr>
              <w:spacing w:after="0" w:line="240" w:lineRule="auto"/>
            </w:pPr>
            <w:r>
              <w:t xml:space="preserve">neu</w:t>
            </w:r>
          </w:p>
        </w:tc>
        <w:tc>
          <w:tcPr>
            <w:tcW w:w="0" w:type="auto"/>
          </w:tcPr>
          <w:p>
            <w:pPr>
              <w:spacing w:after="0" w:line="240" w:lineRule="auto"/>
            </w:pPr>
            <w:r>
              <w:t xml:space="preserve">G3</w:t>
            </w:r>
          </w:p>
        </w:tc>
      </w:tr>
      <w:tr>
        <w:tc>
          <w:tcPr>
            <w:tcW w:w="0" w:type="auto"/>
          </w:tcPr>
          <w:p>
            <w:pPr>
              <w:spacing w:after="0" w:line="240" w:lineRule="auto"/>
            </w:pPr>
            <w:r>
              <w:t xml:space="preserve">Bauteilaufbau mit Schichtenraster</w:t>
            </w:r>
          </w:p>
        </w:tc>
        <w:tc>
          <w:tcPr>
            <w:tcW w:w="0" w:type="auto"/>
          </w:tcPr>
          <w:p>
            <w:pPr>
              <w:spacing w:after="0" w:line="240" w:lineRule="auto"/>
            </w:pPr>
            <w:r>
              <w:t xml:space="preserve">Katalogdialog</w:t>
            </w:r>
          </w:p>
        </w:tc>
        <w:tc>
          <w:tcPr>
            <w:tcW w:w="0" w:type="auto"/>
          </w:tcPr>
          <w:p>
            <w:pPr>
              <w:spacing w:after="0" w:line="240" w:lineRule="auto"/>
            </w:pPr>
            <w:r>
              <w:t xml:space="preserve">neu</w:t>
            </w:r>
          </w:p>
        </w:tc>
        <w:tc>
          <w:tcPr>
            <w:tcW w:w="0" w:type="auto"/>
          </w:tcPr>
          <w:p>
            <w:pPr>
              <w:spacing w:after="0" w:line="240" w:lineRule="auto"/>
            </w:pPr>
            <w:r>
              <w:t xml:space="preserve">G3</w:t>
            </w:r>
          </w:p>
        </w:tc>
      </w:tr>
      <w:tr>
        <w:tc>
          <w:tcPr>
            <w:tcW w:w="0" w:type="auto"/>
          </w:tcPr>
          <w:p>
            <w:pPr>
              <w:spacing w:after="0" w:line="240" w:lineRule="auto"/>
            </w:pPr>
            <w:r>
              <w:t xml:space="preserve">Zonendialog (Ebene 3)</w:t>
            </w:r>
          </w:p>
        </w:tc>
        <w:tc>
          <w:tcPr>
            <w:tcW w:w="0" w:type="auto"/>
          </w:tcPr>
          <w:p>
            <w:pPr>
              <w:spacing w:after="0" w:line="240" w:lineRule="auto"/>
            </w:pPr>
            <w:r>
              <w:t xml:space="preserve">Überlagerung</w:t>
            </w:r>
          </w:p>
        </w:tc>
        <w:tc>
          <w:tcPr>
            <w:tcW w:w="0" w:type="auto"/>
          </w:tcPr>
          <w:p>
            <w:pPr>
              <w:spacing w:after="0" w:line="240" w:lineRule="auto"/>
            </w:pPr>
            <w:r>
              <w:t xml:space="preserve">neu — in der </w:t>
            </w:r>
            <w:r>
              <w:rPr>
                <w:b/>
              </w:rPr>
              <w:t xml:space="preserve">Grundform mit G3</w:t>
            </w:r>
            <w:r>
              <w:t xml:space="preserve"> (die eine Zone, die der Übernahmeknopf anlegt, samt Bauteilraster), mit </w:t>
            </w:r>
            <w:r>
              <w:rPr>
                <w:b/>
              </w:rPr>
              <w:t xml:space="preserve">G6b</w:t>
            </w:r>
            <w:r>
              <w:t xml:space="preserve"> um Mehrzonenfelder und Luftaustausch erweitert</w:t>
            </w:r>
          </w:p>
        </w:tc>
        <w:tc>
          <w:tcPr>
            <w:tcW w:w="0" w:type="auto"/>
          </w:tcPr>
          <w:p>
            <w:pPr>
              <w:spacing w:after="0" w:line="240" w:lineRule="auto"/>
            </w:pPr>
            <w:r>
              <w:t xml:space="preserve">G3 · G6b</w:t>
            </w:r>
          </w:p>
        </w:tc>
      </w:tr>
      <w:tr>
        <w:tc>
          <w:tcPr>
            <w:tcW w:w="0" w:type="auto"/>
          </w:tcPr>
          <w:p>
            <w:pPr>
              <w:spacing w:after="0" w:line="240" w:lineRule="auto"/>
            </w:pPr>
            <w:r>
              <w:t xml:space="preserve">Bauteildialog (Ebene 4)</w:t>
            </w:r>
          </w:p>
        </w:tc>
        <w:tc>
          <w:tcPr>
            <w:tcW w:w="0" w:type="auto"/>
          </w:tcPr>
          <w:p>
            <w:pPr>
              <w:spacing w:after="0" w:line="240" w:lineRule="auto"/>
            </w:pPr>
            <w:r>
              <w:t xml:space="preserve">Überlagerung</w:t>
            </w:r>
          </w:p>
        </w:tc>
        <w:tc>
          <w:tcPr>
            <w:tcW w:w="0" w:type="auto"/>
          </w:tcPr>
          <w:p>
            <w:pPr>
              <w:spacing w:after="0" w:line="240" w:lineRule="auto"/>
            </w:pPr>
            <w:r>
              <w:t xml:space="preserve">neu — </w:t>
            </w:r>
            <w:r>
              <w:rPr>
                <w:b/>
              </w:rPr>
              <w:t xml:space="preserve">mit G3</w:t>
            </w:r>
            <w:r>
              <w:t xml:space="preserve">, weil der Bauteilweg dieser Stufe sonst nur über Import oder Testdaten zu füllen wäre, während der Nachweis „Bauteilweg gleich Klassenweg im Grenzfall" beide Wege bedienbar verlangt</w:t>
            </w:r>
          </w:p>
        </w:tc>
        <w:tc>
          <w:tcPr>
            <w:tcW w:w="0" w:type="auto"/>
          </w:tcPr>
          <w:p>
            <w:pPr>
              <w:spacing w:after="0" w:line="240" w:lineRule="auto"/>
            </w:pPr>
            <w:r>
              <w:t xml:space="preserve">G3</w:t>
            </w:r>
          </w:p>
        </w:tc>
      </w:tr>
      <w:tr>
        <w:tc>
          <w:tcPr>
            <w:tcW w:w="0" w:type="auto"/>
          </w:tcPr>
          <w:p>
            <w:pPr>
              <w:spacing w:after="0" w:line="240" w:lineRule="auto"/>
            </w:pPr>
            <w:r>
              <w:t xml:space="preserve">Gebäudeimport</w:t>
            </w:r>
          </w:p>
        </w:tc>
        <w:tc>
          <w:tcPr>
            <w:tcW w:w="0" w:type="auto"/>
          </w:tcPr>
          <w:p>
            <w:pPr>
              <w:spacing w:after="0" w:line="240" w:lineRule="auto"/>
            </w:pPr>
            <w:r>
              <w:t xml:space="preserve">Überlagerung, zwei Profile</w:t>
            </w:r>
          </w:p>
        </w:tc>
        <w:tc>
          <w:tcPr>
            <w:tcW w:w="0" w:type="auto"/>
          </w:tcPr>
          <w:p>
            <w:pPr>
              <w:spacing w:after="0" w:line="240" w:lineRule="auto"/>
            </w:pPr>
            <w:r>
              <w:t xml:space="preserve">neu</w:t>
            </w:r>
          </w:p>
        </w:tc>
        <w:tc>
          <w:tcPr>
            <w:tcW w:w="0" w:type="auto"/>
          </w:tcPr>
          <w:p>
            <w:pPr>
              <w:spacing w:after="0" w:line="240" w:lineRule="auto"/>
            </w:pPr>
            <w:r>
              <w:t xml:space="preserve">G4</w:t>
            </w:r>
          </w:p>
        </w:tc>
      </w:tr>
      <w:tr>
        <w:tc>
          <w:tcPr>
            <w:tcW w:w="0" w:type="auto"/>
          </w:tcPr>
          <w:p>
            <w:pPr>
              <w:spacing w:after="0" w:line="240" w:lineRule="auto"/>
            </w:pPr>
            <w:r>
              <w:t xml:space="preserve">Gebäudeexport</w:t>
            </w:r>
          </w:p>
        </w:tc>
        <w:tc>
          <w:tcPr>
            <w:tcW w:w="0" w:type="auto"/>
          </w:tcPr>
          <w:p>
            <w:pPr>
              <w:spacing w:after="0" w:line="240" w:lineRule="auto"/>
            </w:pPr>
            <w:r>
              <w:t xml:space="preserve">Überlagerung, zwei Profile (gbXML, IFC), zwei Einstiege (Gebäude- und Bedarfsdialog)</w:t>
            </w:r>
          </w:p>
        </w:tc>
        <w:tc>
          <w:tcPr>
            <w:tcW w:w="0" w:type="auto"/>
          </w:tcPr>
          <w:p>
            <w:pPr>
              <w:spacing w:after="0" w:line="240" w:lineRule="auto"/>
            </w:pPr>
            <w:r>
              <w:t xml:space="preserve">neu — Format, Umfang und Kennzeichnung wählen, dann schreiben</w:t>
            </w:r>
          </w:p>
        </w:tc>
        <w:tc>
          <w:tcPr>
            <w:tcW w:w="0" w:type="auto"/>
          </w:tcPr>
          <w:p>
            <w:pPr>
              <w:spacing w:after="0" w:line="240" w:lineRule="auto"/>
            </w:pPr>
            <w:r>
              <w:t xml:space="preserve">G7</w:t>
            </w:r>
          </w:p>
        </w:tc>
      </w:tr>
      <w:tr>
        <w:tc>
          <w:tcPr>
            <w:tcW w:w="0" w:type="auto"/>
          </w:tcPr>
          <w:p>
            <w:pPr>
              <w:spacing w:after="0" w:line="240" w:lineRule="auto"/>
            </w:pPr>
            <w:r>
              <w:t xml:space="preserve">Gebäudeansicht</w:t>
            </w:r>
          </w:p>
        </w:tc>
        <w:tc>
          <w:tcPr>
            <w:tcW w:w="0" w:type="auto"/>
          </w:tcPr>
          <w:p>
            <w:pPr>
              <w:spacing w:after="0" w:line="240" w:lineRule="auto"/>
            </w:pPr>
            <w:r>
              <w:rPr>
                <w:b/>
              </w:rPr>
              <w:t xml:space="preserve">eingebettete Komponente</w:t>
            </w:r>
            <w:r>
              <w:t xml:space="preserve">, keine eigene Maske</w:t>
            </w:r>
          </w:p>
        </w:tc>
        <w:tc>
          <w:tcPr>
            <w:tcW w:w="0" w:type="auto"/>
          </w:tcPr>
          <w:p>
            <w:pPr>
              <w:spacing w:after="0" w:line="240" w:lineRule="auto"/>
            </w:pPr>
            <w:r>
              <w:t xml:space="preserve">neu (E11) — Umschalter „Grundriss | Körper"; sie erscheint im Zuordnungsschritt des Imports (Grundriss) und im Gebäudedialog (Körper); </w:t>
            </w:r>
            <w:r>
              <w:rPr>
                <w:b/>
              </w:rPr>
              <w:t xml:space="preserve">kein</w:t>
            </w:r>
            <w:r>
              <w:t xml:space="preserve"> Maskenschlüssel, </w:t>
            </w:r>
            <w:r>
              <w:rPr>
                <w:b/>
              </w:rPr>
              <w:t xml:space="preserve">kein</w:t>
            </w:r>
            <w:r>
              <w:t xml:space="preserve"> Katalogeintrag, weil sie keine Eingabefelder trägt</w:t>
            </w:r>
          </w:p>
        </w:tc>
        <w:tc>
          <w:tcPr>
            <w:tcW w:w="0" w:type="auto"/>
          </w:tcPr>
          <w:p>
            <w:pPr>
              <w:spacing w:after="0" w:line="240" w:lineRule="auto"/>
            </w:pPr>
            <w:r>
              <w:t xml:space="preserve">G6c · G7b</w:t>
            </w:r>
          </w:p>
        </w:tc>
      </w:tr>
    </w:tbl>
    <w:p>
      <w:pPr>
        <w:spacing w:after="120"/>
      </w:pPr>
    </w:p>
    <w:p>
      <w:r>
        <w:rPr>
          <w:b/>
        </w:rPr>
        <w:t xml:space="preserve">Der Bruch, den G1 behebt:</w:t>
      </w:r>
      <w:r>
        <w:t xml:space="preserve"> Der Katalogeditor hat heute </w:t>
      </w:r>
      <w:r>
        <w:rPr>
          <w:b/>
        </w:rPr>
        <w:t xml:space="preserve">vier</w:t>
      </w:r>
      <w:r>
        <w:t xml:space="preserve"> Aus- und Schreibwege und </w:t>
      </w:r>
      <w:r>
        <w:rPr>
          <w:b/>
        </w:rPr>
        <w:t xml:space="preserve">kein</w:t>
      </w:r>
      <w:r>
        <w:t xml:space="preserve"> Abbrechen; seine Pflichtprüfung hängt an zwei der drei Schreibstellen, und ein Reiter führt einen eigenen Stand, der erst mit „Übernehmen" in die Daten wandert. Sobald U·A-Summen über beide Reiter laufen, ist die Summe zeitweise falsch.</w:t>
      </w:r>
    </w:p>
    <w:p>
      <w:pPr>
        <w:pStyle w:val="Heading2"/>
      </w:pPr>
      <w:r>
        <w:t xml:space="preserve">5.3 Der eine Schreibweg</w:t>
      </w:r>
    </w:p>
    <w:p>
      <w:r>
        <w:t xml:space="preserve">Die Hausregel gilt für </w:t>
      </w:r>
      <w:r>
        <w:rPr>
          <w:b/>
        </w:rPr>
        <w:t xml:space="preserve">jede</w:t>
      </w:r>
      <w:r>
        <w:t xml:space="preserve"> Liste-im-Dialog der Gebäudesimulation — Zonen, Bauteile, Schichten, Luftströme:</w:t>
      </w:r>
    </w:p>
    <w:p>
      <w:pPr>
        <w:pStyle w:val="ListNumber"/>
        <w:numPr>
          <w:ilvl w:val="0"/>
          <w:numId w:val="4"/>
        </w:numPr>
      </w:pPr>
      <w:r>
        <w:t xml:space="preserve">Der Dialog führt einen </w:t>
      </w:r>
      <w:r>
        <w:rPr>
          <w:b/>
        </w:rPr>
        <w:t xml:space="preserve">Arbeitsstand</w:t>
      </w:r>
      <w:r>
        <w:t xml:space="preserve">. „Anlegen" und „Übernehmen" prüfen die Felder mit derselben Prüfkette, derselben Reihenfolge und demselben Wortlaut und legen sie als Zeile in die Liste. </w:t>
      </w:r>
      <w:r>
        <w:rPr>
          <w:b/>
        </w:rPr>
        <w:t xml:space="preserve">Der Knopf speichert nicht, er übernimmt.</w:t>
      </w:r>
    </w:p>
    <w:p>
      <w:pPr>
        <w:pStyle w:val="ListNumber"/>
        <w:numPr>
          <w:ilvl w:val="0"/>
          <w:numId w:val="4"/>
        </w:numPr>
      </w:pPr>
      <w:r>
        <w:t xml:space="preserve">Eine vorläufige Zeile trägt eine </w:t>
      </w:r>
      <w:r>
        <w:rPr>
          <w:b/>
        </w:rPr>
        <w:t xml:space="preserve">negative</w:t>
      </w:r>
      <w:r>
        <w:t xml:space="preserve"> Nummer; nur eine positive Id hat eine Entsprechung in der Datenbank.</w:t>
      </w:r>
    </w:p>
    <w:p>
      <w:pPr>
        <w:pStyle w:val="ListNumber"/>
        <w:numPr>
          <w:ilvl w:val="0"/>
          <w:numId w:val="4"/>
        </w:numPr>
      </w:pPr>
      <w:r>
        <w:rPr>
          <w:b/>
        </w:rPr>
        <w:t xml:space="preserve">Erst OK schreibt</w:t>
      </w:r>
      <w:r>
        <w:t xml:space="preserve">, in der Reihenfolge </w:t>
      </w:r>
      <w:r>
        <w:rPr>
          <w:i/>
        </w:rPr>
        <w:t xml:space="preserve">Entfernen → Ändern → Anlegen</w:t>
      </w:r>
      <w:r>
        <w:t xml:space="preserve"> — so wird ein Bezeichner wieder frei, den eine neue Zeile tragen soll.</w:t>
      </w:r>
    </w:p>
    <w:p>
      <w:pPr>
        <w:pStyle w:val="ListNumber"/>
        <w:numPr>
          <w:ilvl w:val="0"/>
          <w:numId w:val="4"/>
        </w:numPr>
      </w:pPr>
      <w:r>
        <w:rPr>
          <w:b/>
        </w:rPr>
        <w:t xml:space="preserve">Die neue Id entsteht im OK-Weg</w:t>
      </w:r>
      <w:r>
        <w:t xml:space="preserve">; der Wirt liest sie danach.</w:t>
      </w:r>
    </w:p>
    <w:p>
      <w:pPr>
        <w:pStyle w:val="ListNumber"/>
        <w:numPr>
          <w:ilvl w:val="0"/>
          <w:numId w:val="4"/>
        </w:numPr>
      </w:pPr>
      <w:r>
        <w:t xml:space="preserve">OK prüft eine offene Zeile </w:t>
      </w:r>
      <w:r>
        <w:rPr>
          <w:b/>
        </w:rPr>
        <w:t xml:space="preserve">nur, wenn an ihr etwas geändert wurde</w:t>
      </w:r>
      <w:r>
        <w:t xml:space="preserve"> — sonst verriegelt ein Altbestand, der heutige Regeln verletzt, den Dialog.</w:t>
      </w:r>
    </w:p>
    <w:p>
      <w:pPr>
        <w:pStyle w:val="ListNumber"/>
        <w:numPr>
          <w:ilvl w:val="0"/>
          <w:numId w:val="4"/>
        </w:numPr>
      </w:pPr>
      <w:r>
        <w:t xml:space="preserve">Eine </w:t>
      </w:r>
      <w:r>
        <w:rPr>
          <w:b/>
        </w:rPr>
        <w:t xml:space="preserve">Rückfrage im OK-Weg führt ihn zu Ende</w:t>
      </w:r>
      <w:r>
        <w:t xml:space="preserve">; sie ist eine Komponente, nie ein Dialogdienst — auf iOS antwortet der vom Hauptfaden aus gar nicht.</w:t>
      </w:r>
    </w:p>
    <w:p>
      <w:pPr>
        <w:pStyle w:val="ListNumber"/>
        <w:numPr>
          <w:ilvl w:val="0"/>
          <w:numId w:val="4"/>
        </w:numPr>
      </w:pPr>
      <w:r>
        <w:t xml:space="preserve">Die Prüfregeln stehen </w:t>
      </w:r>
      <w:r>
        <w:rPr>
          <w:b/>
        </w:rPr>
        <w:t xml:space="preserve">genau einmal</w:t>
      </w:r>
      <w:r>
        <w:t xml:space="preserve">, im Rückruf der Speichernleiste. „Speichern unter…" bleibt als </w:t>
      </w:r>
      <w:r>
        <w:rPr>
          <w:b/>
        </w:rPr>
        <w:t xml:space="preserve">nicht schließender</w:t>
      </w:r>
      <w:r>
        <w:t xml:space="preserve"> Zweitknopf.</w:t>
      </w:r>
    </w:p>
    <w:p>
      <w:pPr>
        <w:pStyle w:val="Diagrammbild"/>
      </w:pPr>
      <w:r>
        <w:drawing>
          <wp:inline xmlns:wp="http://schemas.openxmlformats.org/drawingml/2006/wordprocessingDrawing" distT="0" distB="0" distL="0" distR="0">
            <wp:extent cx="6120130" cy="3603227"/>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9.png"/>
                    <pic:cNvPicPr/>
                  </pic:nvPicPr>
                  <pic:blipFill>
                    <a:blip xmlns:r="http://schemas.openxmlformats.org/officeDocument/2006/relationships" r:embed="R51ee8a8ba18c451e"/>
                    <a:stretch>
                      <a:fillRect/>
                    </a:stretch>
                  </pic:blipFill>
                  <pic:spPr>
                    <a:xfrm>
                      <a:off x="0" y="0"/>
                      <a:ext cx="6120130" cy="3603227"/>
                    </a:xfrm>
                    <a:prstGeom prst="rect">
                      <a:avLst/>
                    </a:prstGeom>
                  </pic:spPr>
                </pic:pic>
              </a:graphicData>
            </a:graphic>
          </wp:inline>
        </w:drawing>
      </w:r>
    </w:p>
    <w:p>
      <w:pPr>
        <w:pStyle w:val="Bildunterschrift"/>
      </w:pPr>
      <w:r>
        <w:rPr>
          <w:i/>
          <w:iCs/>
        </w:rPr>
        <w:t xml:space="preserve">Bild 9: 5.3 Der eine Schreibweg</w:t>
      </w:r>
    </w:p>
    <w:p>
      <w:pPr>
        <w:pStyle w:val="Heading2"/>
      </w:pPr>
      <w:r>
        <w:t xml:space="preserve">5.4 Der Zuordnungsdialog des Imports</w:t>
      </w:r>
    </w:p>
    <w:p>
      <w:r>
        <w:rPr>
          <w:b/>
        </w:rPr>
        <w:t xml:space="preserve">Eine Komponente, zwei Profile.</w:t>
      </w:r>
      <w:r>
        <w:t xml:space="preserve"> Derselbe Ablauf, unterschiedliche Daten: Dateifilter, Größengrenze, Schemaanzeige und die Liste der Zonierungsregeln stehen im Profil, nicht im Quelltext des Dialogs. Der Name der Maske ist offen — das Architekturpapier schlägt </w:t>
      </w:r>
      <w:r>
        <w:rPr>
          <w:rFonts w:ascii="Consolas" w:hAnsi="Consolas" w:cs="Consolas"/>
          <w:noProof/>
          <w:sz w:val="20"/>
          <w:szCs w:val="20"/>
          <w:shd w:val="clear" w:color="auto" w:fill="EFEFEF"/>
        </w:rPr>
        <w:t xml:space="preserve">GebaeudeImportDialog</w:t>
      </w:r>
      <w:r>
        <w:t xml:space="preserve"> vor, weil ein Format im Namen einer Maske, die zwei Formate trägt, eine Unwahrheit wäre; das Datenaustauschkonzept führt noch den älteren Namen </w:t>
      </w:r>
      <w:r>
        <w:rPr>
          <w:rFonts w:ascii="Consolas" w:hAnsi="Consolas" w:cs="Consolas"/>
          <w:noProof/>
          <w:sz w:val="20"/>
          <w:szCs w:val="20"/>
          <w:shd w:val="clear" w:color="auto" w:fill="EFEFEF"/>
        </w:rPr>
        <w:t xml:space="preserve">IfcZuordnungDialog</w:t>
      </w:r>
      <w:r>
        <w:t xml:space="preserve"> (Architekturpapier, Entwurf).</w:t>
      </w:r>
    </w:p>
    <w:p>
      <w:pPr>
        <w:pStyle w:val="Diagrammbild"/>
      </w:pPr>
      <w:r>
        <w:drawing>
          <wp:inline xmlns:wp="http://schemas.openxmlformats.org/drawingml/2006/wordprocessingDrawing" distT="0" distB="0" distL="0" distR="0">
            <wp:extent cx="4017755" cy="7920000"/>
            <wp:effectExtent l="0" t="0" r="0" b="0"/>
            <wp:docPr id="10" name="Bil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0.png"/>
                    <pic:cNvPicPr/>
                  </pic:nvPicPr>
                  <pic:blipFill>
                    <a:blip xmlns:r="http://schemas.openxmlformats.org/officeDocument/2006/relationships" r:embed="Redb7f1c6a0c44482"/>
                    <a:stretch>
                      <a:fillRect/>
                    </a:stretch>
                  </pic:blipFill>
                  <pic:spPr>
                    <a:xfrm>
                      <a:off x="0" y="0"/>
                      <a:ext cx="4017755" cy="7920000"/>
                    </a:xfrm>
                    <a:prstGeom prst="rect">
                      <a:avLst/>
                    </a:prstGeom>
                  </pic:spPr>
                </pic:pic>
              </a:graphicData>
            </a:graphic>
          </wp:inline>
        </w:drawing>
      </w:r>
    </w:p>
    <w:p>
      <w:pPr>
        <w:pStyle w:val="Bildunterschrift"/>
      </w:pPr>
      <w:r>
        <w:rPr>
          <w:i/>
          <w:iCs/>
        </w:rPr>
        <w:t xml:space="preserve">Bild 10: 5.4 Der Zuordnungsdialog des Imports</w:t>
      </w:r>
    </w:p>
    <w:p>
      <w:pPr>
        <w:pStyle w:val="Heading2"/>
      </w:pPr>
      <w:r>
        <w:t xml:space="preserve">5.5 Gebäudebetrachter (E11)</w:t>
      </w:r>
    </w:p>
    <w:p>
      <w:r>
        <w:t xml:space="preserve">Der Zuordnungsdialog bekommt eine </w:t>
      </w:r>
      <w:r>
        <w:rPr>
          <w:b/>
        </w:rPr>
        <w:t xml:space="preserve">zeichnende Fläche</w:t>
      </w:r>
      <w:r>
        <w:t xml:space="preserve">. Sie ist keine Zugabe, sondern das Werkzeug für die Arbeit, die dieser Dialog verlangt: 78 Räume in wenige Zonen zu ordnen, ist an einer Liste mühsam und an einem Bild eine Handbewegung.</w:t>
      </w:r>
    </w:p>
    <w:p>
      <w:pPr>
        <w:pStyle w:val="ListBullet"/>
        <w:numPr>
          <w:ilvl w:val="0"/>
          <w:numId w:val="5"/>
        </w:numPr>
      </w:pPr>
      <w:r>
        <w:rPr>
          <w:b/>
        </w:rPr>
        <w:t xml:space="preserve">Eine Komponente mit Umschalter „Grundriss | Körper"</w:t>
      </w:r>
      <w:r>
        <w:t xml:space="preserve"> (Arbeitsname </w:t>
      </w:r>
      <w:r>
        <w:rPr>
          <w:rFonts w:ascii="Consolas" w:hAnsi="Consolas" w:cs="Consolas"/>
          <w:noProof/>
          <w:sz w:val="20"/>
          <w:szCs w:val="20"/>
          <w:shd w:val="clear" w:color="auto" w:fill="EFEFEF"/>
        </w:rPr>
        <w:t xml:space="preserve">GebaeudeAnsicht.razor</w:t>
      </w:r>
      <w:r>
        <w:t xml:space="preserve">), beide Ansichten auf </w:t>
      </w:r>
      <w:r>
        <w:rPr>
          <w:b/>
        </w:rPr>
        <w:t xml:space="preserve">einer</w:t>
      </w:r>
      <w:r>
        <w:t xml:space="preserve"> Quelle: dem Zonengeometrie-Modell im Kern mit je Zone Grundrisspolygon, Höhe, Geschoss und der Zuordnung der Bauteile zu den Polygonkanten, zu Boden und Decke.</w:t>
      </w:r>
    </w:p>
    <w:p>
      <w:pPr>
        <w:pStyle w:val="ListBullet"/>
        <w:numPr>
          <w:ilvl w:val="0"/>
          <w:numId w:val="5"/>
        </w:numPr>
      </w:pPr>
      <w:r>
        <w:rPr>
          <w:b/>
        </w:rPr>
        <w:t xml:space="preserve">Ansicht 1 — 2D-Grundriss je Geschoss:</w:t>
      </w:r>
      <w:r>
        <w:t xml:space="preserve"> SVG in einer Razor-Komponente, </w:t>
      </w:r>
      <w:r>
        <w:rPr>
          <w:b/>
        </w:rPr>
        <w:t xml:space="preserve">keine Bibliothek</w:t>
      </w:r>
      <w:r>
        <w:t xml:space="preserve">; Räume und Zonen als Polygone, Farbe je Zone, unzugeordnete Räume grau, Geschosswahl im Kopf. Ein Klick auf einen Raum wählt ihn und ordnet ihn der gewählten Zone zu — dieselbe Wirkung wie „zusammenlegen" und „trennen" in der Liste. </w:t>
      </w:r>
      <w:r>
        <w:rPr>
          <w:b/>
        </w:rPr>
        <w:t xml:space="preserve">Nichts wird ohne OK geschrieben</w:t>
      </w:r>
      <w:r>
        <w:t xml:space="preserve">, und kein Anzeigetext ist Steuerwert. Stufe </w:t>
      </w:r>
      <w:r>
        <w:rPr>
          <w:b/>
        </w:rPr>
        <w:t xml:space="preserve">G6c</w:t>
      </w:r>
      <w:r>
        <w:t xml:space="preserve">, 3–5 PT.</w:t>
      </w:r>
    </w:p>
    <w:p>
      <w:pPr>
        <w:pStyle w:val="ListBullet"/>
        <w:numPr>
          <w:ilvl w:val="0"/>
          <w:numId w:val="5"/>
        </w:numPr>
      </w:pPr>
      <w:r>
        <w:rPr>
          <w:b/>
        </w:rPr>
        <w:t xml:space="preserve">Ansicht 2 — schematische Körper:</w:t>
      </w:r>
      <w:r>
        <w:t xml:space="preserve"> Polygon um die Höhe extrudiert, Platte je Bauteil an Kante, Boden und Decke; three.js unter MIT </w:t>
      </w:r>
      <w:r>
        <w:rPr>
          <w:b/>
        </w:rPr>
        <w:t xml:space="preserve">lokal</w:t>
      </w:r>
      <w:r>
        <w:t xml:space="preserve"> unter </w:t>
      </w:r>
      <w:r>
        <w:rPr>
          <w:rFonts w:ascii="Consolas" w:hAnsi="Consolas" w:cs="Consolas"/>
          <w:noProof/>
          <w:sz w:val="20"/>
          <w:szCs w:val="20"/>
          <w:shd w:val="clear" w:color="auto" w:fill="EFEFEF"/>
        </w:rPr>
        <w:t xml:space="preserve">EPOS.UI/wwwroot</w:t>
      </w:r>
      <w:r>
        <w:t xml:space="preserve">, nie vom CDN. Stufe </w:t>
      </w:r>
      <w:r>
        <w:rPr>
          <w:b/>
        </w:rPr>
        <w:t xml:space="preserve">G7b</w:t>
      </w:r>
      <w:r>
        <w:t xml:space="preserve">, 4–7 PT. Auf iOS läuft WebGL in der WebView und die Dreieckszahl ist klein — </w:t>
      </w:r>
      <w:r>
        <w:rPr>
          <w:b/>
        </w:rPr>
        <w:t xml:space="preserve">zugesagt ist die Körperansicht auf dem iPad aber erst nach einer Messung</w:t>
      </w:r>
      <w:r>
        <w:t xml:space="preserve"> (B11: kein Fremdpaket an iOS ohne Messung; WebGL in der iOS-WebView, Speicher, Startzeit); trägt sie dort nicht, bleibt der Grundriss (SVG, ohne Bibliothek) als benannter Rückfall, und die Körperansicht wird mit Grund abgelehnt.</w:t>
      </w:r>
    </w:p>
    <w:p>
      <w:pPr>
        <w:pStyle w:val="ListBullet"/>
        <w:numPr>
          <w:ilvl w:val="0"/>
          <w:numId w:val="5"/>
        </w:numPr>
      </w:pPr>
      <w:r>
        <w:rPr>
          <w:b/>
        </w:rPr>
        <w:t xml:space="preserve">„schematisch" steht sichtbar in der Oberfläche</w:t>
      </w:r>
      <w:r>
        <w:t xml:space="preserve">, nicht nur in der Exportdatei: ohne Raumgrenzen ist die Anordnung der Zonen zueinander erfunden. Jede Zone weist außerdem aus, ob ihr Polygon aus Raumgrenzen oder aus der Rechteckherleitung stammt.</w:t>
      </w:r>
    </w:p>
    <w:p>
      <w:pPr>
        <w:pStyle w:val="ListBullet"/>
        <w:numPr>
          <w:ilvl w:val="0"/>
          <w:numId w:val="5"/>
        </w:numPr>
      </w:pPr>
      <w:r>
        <w:rPr>
          <w:b/>
        </w:rPr>
        <w:t xml:space="preserve">Die Ansicht ist der Prüfstand der Exporte, nicht ihr Beiwerk.</w:t>
      </w:r>
      <w:r>
        <w:t xml:space="preserve"> Bisher war die Sichtprobe der Exporte ein fremdes Werkzeug; mit der Körperansicht sieht der Anwender </w:t>
      </w:r>
      <w:r>
        <w:rPr>
          <w:b/>
        </w:rPr>
        <w:t xml:space="preserve">vor</w:t>
      </w:r>
      <w:r>
        <w:t xml:space="preserve"> dem Schreiben, was er verschickt. G7b und G7e sparen dadurch 3–5 PT.</w:t>
      </w:r>
    </w:p>
    <w:p>
      <w:pPr>
        <w:pStyle w:val="ListBullet"/>
        <w:numPr>
          <w:ilvl w:val="0"/>
          <w:numId w:val="5"/>
        </w:numPr>
      </w:pPr>
      <w:r>
        <w:rPr>
          <w:b/>
        </w:rPr>
        <w:t xml:space="preserve">Benannt abgelehnt:</w:t>
      </w:r>
      <w:r>
        <w:t xml:space="preserve"> ein vollwertiger 3D-IFC-Betrachter (web-ifc mit three.js, 15–25 PT, MPL-2.0, auf iOS speicherkritisch) und die native xBIM Geometry Engine (nur Windows, OCCT unter LGPL). „Datei extern öffnen" bleibt als Handgriff zulässig.</w:t>
      </w:r>
    </w:p>
    <w:p>
      <w:pPr>
        <w:pStyle w:val="Heading2"/>
      </w:pPr>
      <w:r>
        <w:t xml:space="preserve">5.6 Ergebnisdarstellung</w:t>
      </w:r>
    </w:p>
    <w:p>
      <w:r>
        <w:t xml:space="preserve">Die Ergebnisdarstellung ist fertig gebaut und stufbar; die neuen Größen brauchen keinen neuen Baustein, nur ihren Platz.</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Neue Größe</w:t>
            </w:r>
          </w:p>
        </w:tc>
        <w:tc>
          <w:tcPr>
            <w:tcW w:w="0" w:type="auto"/>
            <w:shd w:val="clear" w:color="auto" w:fill="D9D9D9"/>
          </w:tcPr>
          <w:p>
            <w:pPr>
              <w:spacing w:after="0" w:line="240" w:lineRule="auto"/>
              <w:rPr>
                <w:b/>
              </w:rPr>
            </w:pPr>
            <w:r>
              <w:rPr>
                <w:b/>
              </w:rPr>
              <w:t xml:space="preserve">Ort</w:t>
            </w:r>
          </w:p>
        </w:tc>
        <w:tc>
          <w:tcPr>
            <w:tcW w:w="0" w:type="auto"/>
            <w:shd w:val="clear" w:color="auto" w:fill="D9D9D9"/>
          </w:tcPr>
          <w:p>
            <w:pPr>
              <w:spacing w:after="0" w:line="240" w:lineRule="auto"/>
              <w:rPr>
                <w:b/>
              </w:rPr>
            </w:pPr>
            <w:r>
              <w:rPr>
                <w:b/>
              </w:rPr>
              <w:t xml:space="preserve">Bauform</w:t>
            </w:r>
          </w:p>
        </w:tc>
      </w:tr>
      <w:tr>
        <w:tc>
          <w:tcPr>
            <w:tcW w:w="0" w:type="auto"/>
          </w:tcPr>
          <w:p>
            <w:pPr>
              <w:spacing w:after="0" w:line="240" w:lineRule="auto"/>
            </w:pPr>
            <w:r>
              <w:t xml:space="preserve">Raumtemperatur (Luft und operativ), stündlich</w:t>
            </w:r>
          </w:p>
        </w:tc>
        <w:tc>
          <w:tcPr>
            <w:tcW w:w="0" w:type="auto"/>
          </w:tcPr>
          <w:p>
            <w:pPr>
              <w:spacing w:after="0" w:line="240" w:lineRule="auto"/>
            </w:pPr>
            <w:r>
              <w:t xml:space="preserve">Bedarfsdialog, </w:t>
            </w:r>
            <w:r>
              <w:rPr>
                <w:b/>
              </w:rPr>
              <w:t xml:space="preserve">zweites Bild</w:t>
            </w:r>
            <w:r>
              <w:t xml:space="preserve"> mit eigenem Bereichszoom</w:t>
            </w:r>
          </w:p>
        </w:tc>
        <w:tc>
          <w:tcPr>
            <w:tcW w:w="0" w:type="auto"/>
          </w:tcPr>
          <w:p>
            <w:pPr>
              <w:spacing w:after="0" w:line="240" w:lineRule="auto"/>
            </w:pPr>
            <w:r>
              <w:t xml:space="preserve">Renderer-Bild; Ganglinie mit Sollwertband, dazu die Dauerlinie desselben Vektors. </w:t>
            </w:r>
            <w:r>
              <w:rPr>
                <w:b/>
              </w:rPr>
              <w:t xml:space="preserve">Nur bei Stundenmodell</w:t>
            </w:r>
          </w:p>
        </w:tc>
      </w:tr>
      <w:tr>
        <w:tc>
          <w:tcPr>
            <w:tcW w:w="0" w:type="auto"/>
          </w:tcPr>
          <w:p>
            <w:pPr>
              <w:spacing w:after="0" w:line="240" w:lineRule="auto"/>
            </w:pPr>
            <w:r>
              <w:t xml:space="preserve">Kühlbedarf (Jahressumme, Monatswerte)</w:t>
            </w:r>
          </w:p>
        </w:tc>
        <w:tc>
          <w:tcPr>
            <w:tcW w:w="0" w:type="auto"/>
          </w:tcPr>
          <w:p>
            <w:pPr>
              <w:spacing w:after="0" w:line="240" w:lineRule="auto"/>
            </w:pPr>
            <w:r>
              <w:t xml:space="preserve">Bedarfsdialog als zweite Kennzahlgruppe; Monatsblatt als zweite Reihe</w:t>
            </w:r>
          </w:p>
        </w:tc>
        <w:tc>
          <w:tcPr>
            <w:tcW w:w="0" w:type="auto"/>
          </w:tcPr>
          <w:p>
            <w:pPr>
              <w:spacing w:after="0" w:line="240" w:lineRule="auto"/>
            </w:pPr>
            <w:r>
              <w:t xml:space="preserve">Kennzahlkachel; Monatsbild als Stapel. </w:t>
            </w:r>
            <w:r>
              <w:rPr>
                <w:b/>
              </w:rPr>
              <w:t xml:space="preserve">Informative Reihe, kein vierter Kanal</w:t>
            </w:r>
          </w:p>
        </w:tc>
      </w:tr>
      <w:tr>
        <w:tc>
          <w:tcPr>
            <w:tcW w:w="0" w:type="auto"/>
          </w:tcPr>
          <w:p>
            <w:pPr>
              <w:spacing w:after="0" w:line="240" w:lineRule="auto"/>
            </w:pPr>
            <w:r>
              <w:t xml:space="preserve">Spitzenlast (Stunde), Spitzenlast (Tagesmittel), 95-%-Quantil, Übertemperaturstunden</w:t>
            </w:r>
          </w:p>
        </w:tc>
        <w:tc>
          <w:tcPr>
            <w:tcW w:w="0" w:type="auto"/>
          </w:tcPr>
          <w:p>
            <w:pPr>
              <w:spacing w:after="0" w:line="240" w:lineRule="auto"/>
            </w:pPr>
            <w:r>
              <w:t xml:space="preserve">eigene Kennzahlkategorie „Spitzen"</w:t>
            </w:r>
          </w:p>
        </w:tc>
        <w:tc>
          <w:tcPr>
            <w:tcW w:w="0" w:type="auto"/>
          </w:tcPr>
          <w:p>
            <w:pPr>
              <w:spacing w:after="0" w:line="240" w:lineRule="auto"/>
            </w:pPr>
            <w:r>
              <w:t xml:space="preserve">Kennzahlkachel mit Stunde bzw. Datum als leiser Herkunftszeile</w:t>
            </w:r>
          </w:p>
        </w:tc>
      </w:tr>
      <w:tr>
        <w:tc>
          <w:tcPr>
            <w:tcW w:w="0" w:type="auto"/>
          </w:tcPr>
          <w:p>
            <w:pPr>
              <w:spacing w:after="0" w:line="240" w:lineRule="auto"/>
            </w:pPr>
            <w:r>
              <w:t xml:space="preserve">Vergleich Tagesbilanz ↔ Stundenmodell</w:t>
            </w:r>
          </w:p>
        </w:tc>
        <w:tc>
          <w:tcPr>
            <w:tcW w:w="0" w:type="auto"/>
          </w:tcPr>
          <w:p>
            <w:pPr>
              <w:spacing w:after="0" w:line="240" w:lineRule="auto"/>
            </w:pPr>
            <w:r>
              <w:t xml:space="preserve">Bedarfsdialog, vier Spalten über fünf Zeilen</w:t>
            </w:r>
          </w:p>
        </w:tc>
        <w:tc>
          <w:tcPr>
            <w:tcW w:w="0" w:type="auto"/>
          </w:tcPr>
          <w:p>
            <w:pPr>
              <w:spacing w:after="0" w:line="240" w:lineRule="auto"/>
            </w:pPr>
            <w:r>
              <w:rPr>
                <w:b/>
              </w:rPr>
              <w:t xml:space="preserve">zwei Auskünfte desselben Controllers</w:t>
            </w:r>
            <w:r>
              <w:t xml:space="preserve">, keine zweite Rechnung</w:t>
            </w:r>
          </w:p>
        </w:tc>
      </w:tr>
      <w:tr>
        <w:tc>
          <w:tcPr>
            <w:tcW w:w="0" w:type="auto"/>
          </w:tcPr>
          <w:p>
            <w:pPr>
              <w:spacing w:after="0" w:line="240" w:lineRule="auto"/>
            </w:pPr>
            <w:r>
              <w:t xml:space="preserve">Zonenzeilen (G6)</w:t>
            </w:r>
          </w:p>
        </w:tc>
        <w:tc>
          <w:tcPr>
            <w:tcW w:w="0" w:type="auto"/>
          </w:tcPr>
          <w:p>
            <w:pPr>
              <w:spacing w:after="0" w:line="240" w:lineRule="auto"/>
            </w:pPr>
            <w:r>
              <w:t xml:space="preserve">Reiter „Zonen"; im Ergebnis eine Tabelle je Zone</w:t>
            </w:r>
          </w:p>
        </w:tc>
        <w:tc>
          <w:tcPr>
            <w:tcW w:w="0" w:type="auto"/>
          </w:tcPr>
          <w:p>
            <w:pPr>
              <w:spacing w:after="0" w:line="240" w:lineRule="auto"/>
            </w:pPr>
            <w:r>
              <w:t xml:space="preserve">Zeilenraster mit Summenfuß; unbeheizte Zonen bekommen </w:t>
            </w:r>
            <w:r>
              <w:rPr>
                <w:b/>
              </w:rPr>
              <w:t xml:space="preserve">eigene</w:t>
            </w:r>
            <w:r>
              <w:t xml:space="preserve"> Zeilen</w:t>
            </w:r>
          </w:p>
        </w:tc>
      </w:tr>
      <w:tr>
        <w:tc>
          <w:tcPr>
            <w:tcW w:w="0" w:type="auto"/>
          </w:tcPr>
          <w:p>
            <w:pPr>
              <w:spacing w:after="0" w:line="240" w:lineRule="auto"/>
            </w:pPr>
            <w:r>
              <w:t xml:space="preserve">Schichtenraster (G3)</w:t>
            </w:r>
          </w:p>
        </w:tc>
        <w:tc>
          <w:tcPr>
            <w:tcW w:w="0" w:type="auto"/>
          </w:tcPr>
          <w:p>
            <w:pPr>
              <w:spacing w:after="0" w:line="240" w:lineRule="auto"/>
            </w:pPr>
            <w:r>
              <w:t xml:space="preserve">Bauteilaufbau-Dialog</w:t>
            </w:r>
          </w:p>
        </w:tc>
        <w:tc>
          <w:tcPr>
            <w:tcW w:w="0" w:type="auto"/>
          </w:tcPr>
          <w:p>
            <w:pPr>
              <w:spacing w:after="0" w:line="240" w:lineRule="auto"/>
            </w:pPr>
            <w:r>
              <w:t xml:space="preserve">Zeilenraster mit Summenfuß über Wärmedurchlasswiderstand, U-Wert und wirksame Kapazität</w:t>
            </w:r>
          </w:p>
        </w:tc>
      </w:tr>
    </w:tbl>
    <w:p>
      <w:pPr>
        <w:spacing w:after="120"/>
      </w:pPr>
    </w:p>
    <w:p>
      <w:r>
        <w:t xml:space="preserve">Vier Regeln greifen dabei: Bilder entstehen </w:t>
      </w:r>
      <w:r>
        <w:rPr>
          <w:b/>
        </w:rPr>
        <w:t xml:space="preserve">im Kern</w:t>
      </w:r>
      <w:r>
        <w:t xml:space="preserve"> über den vorhandenen Renderer und laufen durch die Diagrammproben, ein neuer Parameter bekommt eine Vorgabe, die das Bild byte-gleich lässt; </w:t>
      </w:r>
      <w:r>
        <w:rPr>
          <w:b/>
        </w:rPr>
        <w:t xml:space="preserve">„—" statt 0</w:t>
      </w:r>
      <w:r>
        <w:t xml:space="preserve">, weil eine 0 eine Aussage wäre, die niemand getroffen hat; ein Reiter zeichnet nie ein vorbelegtes DTO als Ergebnis, sondern trägt einen benannten Ergebniszustand samt Anlass; und Energiemengen laufen nur über den Einheitenbaustein, nie mit nacktem Faktor 1 000. Das DTO führt </w:t>
      </w:r>
      <w:r>
        <w:rPr>
          <w:b/>
        </w:rPr>
        <w:t xml:space="preserve">keine</w:t>
      </w:r>
      <w:r>
        <w:t xml:space="preserve"> 8 760 Werte.</w:t>
      </w:r>
    </w:p>
    <w:p>
      <w:pPr>
        <w:pStyle w:val="Heading2"/>
      </w:pPr>
      <w:r>
        <w:t xml:space="preserve">5.7 Tests je Maske</w:t>
      </w:r>
    </w:p>
    <w:p>
      <w:r>
        <w:t xml:space="preserve">Jede neue Maske bringt einen bunit-Fall nach Hausmaß mit: die Kultur auf Deutsch gepinnt (der CI-Läufer läuft englisch), lose JS-Nachbildung, Dienste-Attrappen im Konstruktor und ein Aufbauhelfer mit </w:t>
      </w:r>
      <w:r>
        <w:rPr>
          <w:b/>
        </w:rPr>
        <w:t xml:space="preserve">allen</w:t>
      </w:r>
      <w:r>
        <w:t xml:space="preserve"> Delegaten als benannte Parameter mit Vorgabe. Die Fälle decken mindestens: Feldbestand je Reiter gegen die Feldkarte, verzögerter Reiteraufbau, </w:t>
      </w:r>
      <w:r>
        <w:rPr>
          <w:b/>
        </w:rPr>
        <w:t xml:space="preserve">jede Betriebsart</w:t>
      </w:r>
      <w:r>
        <w:t xml:space="preserve"> und ihre Knopfsperren, Steuerwert ungleich Anzeigetext, abgeleitete Werte, </w:t>
      </w:r>
      <w:r>
        <w:rPr>
          <w:b/>
        </w:rPr>
        <w:t xml:space="preserve">jede Prüfregel mit ihrer Meldung</w:t>
      </w:r>
      <w:r>
        <w:t xml:space="preserve">, den Schreibweg, die abgelehnte Schreibung als stehendes Banner, „ohne Delegat kein Knopf", Esc, Beenden und Kreuz, den Rückweg mit </w:t>
      </w:r>
      <w:r>
        <w:rPr>
          <w:rFonts w:ascii="Consolas" w:hAnsi="Consolas" w:cs="Consolas"/>
          <w:noProof/>
          <w:sz w:val="20"/>
          <w:szCs w:val="20"/>
          <w:shd w:val="clear" w:color="auto" w:fill="EFEFEF"/>
        </w:rPr>
        <w:t xml:space="preserve">null</w:t>
      </w:r>
      <w:r>
        <w:t xml:space="preserve"> bei Abbruch und den Fall ohne Gaben.</w:t>
      </w:r>
    </w:p>
    <w:p>
      <w:r>
        <w:t xml:space="preserve">Zwei Fallstricke haben im Haus schon Zeit gekostet: der Zeichenzähler taugt </w:t>
      </w:r>
      <w:r>
        <w:rPr>
          <w:b/>
        </w:rPr>
        <w:t xml:space="preserve">nicht</w:t>
      </w:r>
      <w:r>
        <w:t xml:space="preserve"> als Zähler, und die synchronen Eingabe- und Klickhelfer warten den Zeichenlauf </w:t>
      </w:r>
      <w:r>
        <w:rPr>
          <w:b/>
        </w:rPr>
        <w:t xml:space="preserve">nicht</w:t>
      </w:r>
      <w:r>
        <w:t xml:space="preserve"> ab — nach jeder Eingabe ist auf den gezeichneten Zustand zu warten und die Entprellung im Prüfstand ausdrücklich auf 0 zu setzen. Die drei Strukturwachen laufen ohne Zutun mit; die </w:t>
      </w:r>
      <w:r>
        <w:rPr>
          <w:b/>
        </w:rPr>
        <w:t xml:space="preserve">Rasterprobe</w:t>
      </w:r>
      <w:r>
        <w:t xml:space="preserve"> misst, was bunit nicht kann, und ist vor jeder Änderung an Raster, Katalogliste oder den Rasterregeln zu ziehen — also vor der Umstellung der Katalogseite und vor dem Schichten- und Bauteilraster.</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3), </w:t>
      </w:r>
      <w:r>
        <w:rPr>
          <w:rFonts w:ascii="Consolas" w:hAnsi="Consolas" w:cs="Consolas"/>
          <w:noProof/>
          <w:sz w:val="20"/>
          <w:szCs w:val="20"/>
          <w:shd w:val="clear" w:color="auto" w:fill="EFEFEF"/>
        </w:rPr>
        <w:t xml:space="preserve">Dokumentation/aktuell/Umsetzungskonzept_Gebaeudesimulation_VDI6007_EPOS-Plan.md</w:t>
      </w:r>
      <w:r>
        <w:t xml:space="preserve"> (Kapitel 2), </w:t>
      </w:r>
      <w:r>
        <w:rPr>
          <w:rFonts w:ascii="Consolas" w:hAnsi="Consolas" w:cs="Consolas"/>
          <w:noProof/>
          <w:sz w:val="20"/>
          <w:szCs w:val="20"/>
          <w:shd w:val="clear" w:color="auto" w:fill="EFEFEF"/>
        </w:rPr>
        <w:t xml:space="preserve">Dokumentation/aktuell/Konzept_Mehrzonenmodell_IFC_EPOS-Plan.md</w:t>
      </w:r>
      <w:r>
        <w:t xml:space="preserve"> (6.7) und </w:t>
      </w:r>
      <w:r>
        <w:rPr>
          <w:rFonts w:ascii="Consolas" w:hAnsi="Consolas" w:cs="Consolas"/>
          <w:noProof/>
          <w:sz w:val="20"/>
          <w:szCs w:val="20"/>
          <w:shd w:val="clear" w:color="auto" w:fill="EFEFEF"/>
        </w:rPr>
        <w:t xml:space="preserve">Dokumentation/aktuell/Gebaeudesimulation/2026-09-15_Befund_U_Dialogfuehrung_Bestand.md</w:t>
      </w:r>
      <w:r>
        <w:t xml:space="preserve">.</w:t>
      </w:r>
    </w:p>
    <w:p>
      <w:pPr>
        <w:pStyle w:val="Trennlinie"/>
      </w:pPr>
    </w:p>
    <w:p>
      <w:pPr>
        <w:pStyle w:val="Heading1"/>
      </w:pPr>
      <w:r>
        <w:t xml:space="preserve">6 Integration</w:t>
      </w:r>
    </w:p>
    <w:p>
      <w:r>
        <w:t xml:space="preserve">Die Integration berührt </w:t>
      </w:r>
      <w:r>
        <w:rPr>
          <w:b/>
        </w:rPr>
        <w:t xml:space="preserve">sieben Stellen, jede benannt</w:t>
      </w:r>
      <w:r>
        <w:t xml:space="preserve">: die Verzweigung im Lauf, den Bedarfsdialog, Bericht und Kennzahlen, den Referenzlauf-Export, den ubuntu-Workflow, den iOS-Prüfmodus und die Lizenzhinweisseite des Installationspakets.</w:t>
      </w:r>
    </w:p>
    <w:p>
      <w:pPr>
        <w:pStyle w:val="Heading2"/>
      </w:pPr>
      <w:r>
        <w:t xml:space="preserve">6.1 Die Andockstelle im Lauf</w:t>
      </w:r>
    </w:p>
    <w:p>
      <w:r>
        <w:rPr>
          <w:b/>
        </w:rPr>
        <w:t xml:space="preserve">Zwei Aufrufer, zwei Verzweigungspunkte, ein Rechenweg.</w:t>
      </w:r>
      <w:r>
        <w:t xml:space="preserve"> Die Wärme eines Gebäudes entsteht in genau einer Methode; sie hat zwei Aufrufer — die Gebäudeschleife des Laufs und die Auskunft je Gebäude —, und die Modellwahl fällt an zwei Punkten, die </w:t>
      </w:r>
      <w:r>
        <w:rPr>
          <w:b/>
        </w:rPr>
        <w:t xml:space="preserve">nicht</w:t>
      </w:r>
      <w:r>
        <w:t xml:space="preserve"> beide im Rumpf dieser Methode liegen: der erste steht in der Flächen- und Bewohnerrechnung, die </w:t>
      </w:r>
      <w:r>
        <w:rPr>
          <w:b/>
        </w:rPr>
        <w:t xml:space="preserve">vor</w:t>
      </w:r>
      <w:r>
        <w:t xml:space="preserve"> der Bedarfsverzweigung läuft und dort die Verbrauchsrückrechnung führt, der zweite im Tagesmodellaufruf der Methode selbst. Die Modellwahl ist damit durch eine zweite Methode </w:t>
      </w:r>
      <w:r>
        <w:rPr>
          <w:b/>
        </w:rPr>
        <w:t xml:space="preserve">durchzureichen</w:t>
      </w:r>
      <w:r>
        <w:t xml:space="preserve">. Beide verzweigen </w:t>
      </w:r>
      <w:r>
        <w:rPr>
          <w:b/>
        </w:rPr>
        <w:t xml:space="preserve">gemeinsam</w:t>
      </w:r>
      <w:r>
        <w:t xml:space="preserve">.</w:t>
      </w:r>
    </w:p>
    <w:p>
      <w:r>
        <w:rPr>
          <w:b/>
        </w:rPr>
        <w:t xml:space="preserve">Die Verzweigung umschließt den ganzen Tagesverteilungsblock, nicht nur den Aufruf.</w:t>
      </w:r>
      <w:r>
        <w:t xml:space="preserve"> Im Tagesbilanz-Zweig bleibt alles Zeichen für Zeichen, wie es ist: Tageswerte rechnen, Tagesverteilung lesen, Abbruch bei fehlender Verteilung, Puffer nullen, Stundenwerte verteilen. Im Stundenzweig entfällt dieser Block </w:t>
      </w:r>
      <w:r>
        <w:rPr>
          <w:b/>
        </w:rPr>
        <w:t xml:space="preserve">vollständig</w:t>
      </w:r>
      <w:r>
        <w:t xml:space="preserve"> — das Stundenmodell braucht keine Tagesverteilung und erbt deshalb auch deren Abbruch nicht. Es füllt denselben Puffer, in </w:t>
      </w:r>
      <w:r>
        <w:rPr>
          <w:b/>
        </w:rPr>
        <w:t xml:space="preserve">Watt</w:t>
      </w:r>
      <w:r>
        <w:t xml:space="preserve">.</w:t>
      </w:r>
    </w:p>
    <w:p>
      <w:r>
        <w:t xml:space="preserve">Alles davor und dahinter bleibt unberührt: der Einheiten- und Bewohnerzweig davor, die Addition in den Kanal Heizung, die unabhängige Energieprobe, die Summe über alle Gebäude, die eine Umrechnung nach kW, die Dauerlinie, der Erzeugerlauf, das Ergebnismodell, der Bericht. </w:t>
      </w:r>
      <w:r>
        <w:rPr>
          <w:b/>
        </w:rPr>
        <w:t xml:space="preserve">Die Skalierung bleibt Teil der Rechnung</w:t>
      </w:r>
      <w:r>
        <w:t xml:space="preserve">, und das Stundenmodell muss die Verhältnisrechnung selbst führen — sie fällt ihm nicht zu. An die Stelle eines toten Feldes tritt die </w:t>
      </w:r>
      <w:r>
        <w:rPr>
          <w:b/>
        </w:rPr>
        <w:t xml:space="preserve">Liste der Gebäudeergebnisse</w:t>
      </w:r>
      <w:r>
        <w:t xml:space="preserve">; zugleich fällt die 100er-Grenze, ergebnisneutral, in GB, wo die Schleife ohnehin angefasst wird.</w:t>
      </w:r>
    </w:p>
    <w:p>
      <w:pPr>
        <w:pStyle w:val="Diagrammbild"/>
      </w:pPr>
      <w:r>
        <w:drawing>
          <wp:inline xmlns:wp="http://schemas.openxmlformats.org/drawingml/2006/wordprocessingDrawing" distT="0" distB="0" distL="0" distR="0">
            <wp:extent cx="6120130" cy="696165"/>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1.png"/>
                    <pic:cNvPicPr/>
                  </pic:nvPicPr>
                  <pic:blipFill>
                    <a:blip xmlns:r="http://schemas.openxmlformats.org/officeDocument/2006/relationships" r:embed="Recbd944d0a534f60"/>
                    <a:stretch>
                      <a:fillRect/>
                    </a:stretch>
                  </pic:blipFill>
                  <pic:spPr>
                    <a:xfrm>
                      <a:off x="0" y="0"/>
                      <a:ext cx="6120130" cy="696165"/>
                    </a:xfrm>
                    <a:prstGeom prst="rect">
                      <a:avLst/>
                    </a:prstGeom>
                  </pic:spPr>
                </pic:pic>
              </a:graphicData>
            </a:graphic>
          </wp:inline>
        </w:drawing>
      </w:r>
    </w:p>
    <w:p>
      <w:pPr>
        <w:pStyle w:val="Bildunterschrift"/>
      </w:pPr>
      <w:r>
        <w:rPr>
          <w:i/>
          <w:iCs/>
        </w:rPr>
        <w:t xml:space="preserve">Bild 11: 6.1 Die Andockstelle im Lauf</w:t>
      </w:r>
    </w:p>
    <w:p>
      <w:pPr>
        <w:pStyle w:val="Heading2"/>
      </w:pPr>
      <w:r>
        <w:t xml:space="preserve">6.2 Bedarfsdialog und Auskunft</w:t>
      </w:r>
    </w:p>
    <w:p>
      <w:r>
        <w:rPr>
          <w:b/>
        </w:rPr>
        <w:t xml:space="preserve">Eine Auskunft ruft den Rechenweg des Laufs — sie schreibt ihn nicht ab.</w:t>
      </w:r>
      <w:r>
        <w:t xml:space="preserve"> Der Bedarfsdialog rechnet über denselben Controller, und dieser Weg ruft dieselben zwei Methoden wie die Gebäudeschleife; die eine Verzweigung trägt den Dialog damit automatisch mit. Der </w:t>
      </w:r>
      <w:r>
        <w:rPr>
          <w:b/>
        </w:rPr>
        <w:t xml:space="preserve">vierte Parameter für das erzwungene Modell</w:t>
      </w:r>
      <w:r>
        <w:t xml:space="preserve"> macht den Vergleich beider Modelle zu </w:t>
      </w:r>
      <w:r>
        <w:rPr>
          <w:b/>
        </w:rPr>
        <w:t xml:space="preserve">zwei Aufrufen desselben Controllers</w:t>
      </w:r>
      <w:r>
        <w:t xml:space="preserve">: NULL für den Spaltenwert, der Gegenwert für die andere Seite der Tabelle. Er wirkt allein auf der gelesenen Modellinstanz und schreibt nichts — weder die Spalte noch eine Einstellung. Alle neuen Felder sind nullbar; ohne Wert steht ein Gedankenstrich.</w:t>
      </w:r>
    </w:p>
    <w:p>
      <w:pPr>
        <w:pStyle w:val="Heading2"/>
      </w:pPr>
      <w:r>
        <w:t xml:space="preserve">6.3 Bericht und Kennzahlen</w:t>
      </w:r>
    </w:p>
    <w:p>
      <w:r>
        <w:t xml:space="preserve">Fünf neue Kennzahlen mit stabilem Schlüssel; jede trägt </w:t>
      </w:r>
      <w:r>
        <w:rPr>
          <w:b/>
        </w:rPr>
        <w:t xml:space="preserve">acht</w:t>
      </w:r>
      <w:r>
        <w:t xml:space="preserve"> Stücke — Schlüssel, deutschen und englischen Namen, Einheit, Gruppe, Zahlenformat, Delta-Kennzeichen und den Wertzugriff.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Kennzahl</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Aggregation über Gebäude</w:t>
            </w:r>
          </w:p>
        </w:tc>
      </w:tr>
      <w:tr>
        <w:tc>
          <w:tcPr>
            <w:tcW w:w="0" w:type="auto"/>
          </w:tcPr>
          <w:p>
            <w:pPr>
              <w:spacing w:after="0" w:line="240" w:lineRule="auto"/>
            </w:pPr>
            <w:r>
              <w:t xml:space="preserve">mittlere Raumtemperatur in der Heizzeit</w:t>
            </w:r>
          </w:p>
        </w:tc>
        <w:tc>
          <w:tcPr>
            <w:tcW w:w="0" w:type="auto"/>
          </w:tcPr>
          <w:p>
            <w:pPr>
              <w:spacing w:after="0" w:line="240" w:lineRule="auto"/>
            </w:pPr>
            <w:r>
              <w:t xml:space="preserve">°C</w:t>
            </w:r>
          </w:p>
        </w:tc>
        <w:tc>
          <w:tcPr>
            <w:tcW w:w="0" w:type="auto"/>
          </w:tcPr>
          <w:p>
            <w:pPr>
              <w:spacing w:after="0" w:line="240" w:lineRule="auto"/>
            </w:pPr>
            <w:r>
              <w:rPr>
                <w:b/>
              </w:rPr>
              <w:t xml:space="preserve">flächengewichtetes Mittel</w:t>
            </w:r>
          </w:p>
        </w:tc>
      </w:tr>
      <w:tr>
        <w:tc>
          <w:tcPr>
            <w:tcW w:w="0" w:type="auto"/>
          </w:tcPr>
          <w:p>
            <w:pPr>
              <w:spacing w:after="0" w:line="240" w:lineRule="auto"/>
            </w:pPr>
            <w:r>
              <w:t xml:space="preserve">Kühlbedarf (informativ)</w:t>
            </w:r>
          </w:p>
        </w:tc>
        <w:tc>
          <w:tcPr>
            <w:tcW w:w="0" w:type="auto"/>
          </w:tcPr>
          <w:p>
            <w:pPr>
              <w:spacing w:after="0" w:line="240" w:lineRule="auto"/>
            </w:pPr>
            <w:r>
              <w:t xml:space="preserve">MWh/a</w:t>
            </w:r>
          </w:p>
        </w:tc>
        <w:tc>
          <w:tcPr>
            <w:tcW w:w="0" w:type="auto"/>
          </w:tcPr>
          <w:p>
            <w:pPr>
              <w:spacing w:after="0" w:line="240" w:lineRule="auto"/>
            </w:pPr>
            <w:r>
              <w:rPr>
                <w:b/>
              </w:rPr>
              <w:t xml:space="preserve">Summe</w:t>
            </w:r>
          </w:p>
        </w:tc>
      </w:tr>
      <w:tr>
        <w:tc>
          <w:tcPr>
            <w:tcW w:w="0" w:type="auto"/>
          </w:tcPr>
          <w:p>
            <w:pPr>
              <w:spacing w:after="0" w:line="240" w:lineRule="auto"/>
            </w:pPr>
            <w:r>
              <w:t xml:space="preserve">Spitzenlast (Tagesmittel)</w:t>
            </w:r>
          </w:p>
        </w:tc>
        <w:tc>
          <w:tcPr>
            <w:tcW w:w="0" w:type="auto"/>
          </w:tcPr>
          <w:p>
            <w:pPr>
              <w:spacing w:after="0" w:line="240" w:lineRule="auto"/>
            </w:pPr>
            <w:r>
              <w:t xml:space="preserve">kW</w:t>
            </w:r>
          </w:p>
        </w:tc>
        <w:tc>
          <w:tcPr>
            <w:tcW w:w="0" w:type="auto"/>
          </w:tcPr>
          <w:p>
            <w:pPr>
              <w:spacing w:after="0" w:line="240" w:lineRule="auto"/>
            </w:pPr>
            <w:r>
              <w:rPr>
                <w:b/>
              </w:rPr>
              <w:t xml:space="preserve">Summe der gleichzeitigen Werte</w:t>
            </w:r>
            <w:r>
              <w:t xml:space="preserve"> des Kanalvektors, nicht der Einzelspitzen</w:t>
            </w:r>
          </w:p>
        </w:tc>
      </w:tr>
      <w:tr>
        <w:tc>
          <w:tcPr>
            <w:tcW w:w="0" w:type="auto"/>
          </w:tcPr>
          <w:p>
            <w:pPr>
              <w:spacing w:after="0" w:line="240" w:lineRule="auto"/>
            </w:pPr>
            <w:r>
              <w:t xml:space="preserve">95-%-Quantil der Stundenlast</w:t>
            </w:r>
          </w:p>
        </w:tc>
        <w:tc>
          <w:tcPr>
            <w:tcW w:w="0" w:type="auto"/>
          </w:tcPr>
          <w:p>
            <w:pPr>
              <w:spacing w:after="0" w:line="240" w:lineRule="auto"/>
            </w:pPr>
            <w:r>
              <w:t xml:space="preserve">kW</w:t>
            </w:r>
          </w:p>
        </w:tc>
        <w:tc>
          <w:tcPr>
            <w:tcW w:w="0" w:type="auto"/>
          </w:tcPr>
          <w:p>
            <w:pPr>
              <w:spacing w:after="0" w:line="240" w:lineRule="auto"/>
            </w:pPr>
            <w:r>
              <w:t xml:space="preserve">über den </w:t>
            </w:r>
            <w:r>
              <w:rPr>
                <w:b/>
              </w:rPr>
              <w:t xml:space="preserve">Kanalvektor</w:t>
            </w:r>
            <w:r>
              <w:t xml:space="preserve">, nicht je Gebäude</w:t>
            </w:r>
          </w:p>
        </w:tc>
      </w:tr>
      <w:tr>
        <w:tc>
          <w:tcPr>
            <w:tcW w:w="0" w:type="auto"/>
          </w:tcPr>
          <w:p>
            <w:pPr>
              <w:spacing w:after="0" w:line="240" w:lineRule="auto"/>
            </w:pPr>
            <w:r>
              <w:t xml:space="preserve">Übertemperaturstunden</w:t>
            </w:r>
          </w:p>
        </w:tc>
        <w:tc>
          <w:tcPr>
            <w:tcW w:w="0" w:type="auto"/>
          </w:tcPr>
          <w:p>
            <w:pPr>
              <w:spacing w:after="0" w:line="240" w:lineRule="auto"/>
            </w:pPr>
            <w:r>
              <w:t xml:space="preserve">h/a</w:t>
            </w:r>
          </w:p>
        </w:tc>
        <w:tc>
          <w:tcPr>
            <w:tcW w:w="0" w:type="auto"/>
          </w:tcPr>
          <w:p>
            <w:pPr>
              <w:spacing w:after="0" w:line="240" w:lineRule="auto"/>
            </w:pPr>
            <w:r>
              <w:rPr>
                <w:b/>
              </w:rPr>
              <w:t xml:space="preserve">Maximum</w:t>
            </w:r>
            <w:r>
              <w:t xml:space="preserve"> über die Gebäude, mit dem führenden Gebäude als Herkunftszeile</w:t>
            </w:r>
          </w:p>
        </w:tc>
      </w:tr>
    </w:tbl>
    <w:p>
      <w:pPr>
        <w:spacing w:after="120"/>
      </w:pPr>
    </w:p>
    <w:p>
      <w:r>
        <w:rPr>
          <w:b/>
        </w:rPr>
        <w:t xml:space="preserve">Fünf Kennzahlen im Bericht, zwei weitere Größen nur im Export.</w:t>
      </w:r>
      <w:r>
        <w:t xml:space="preserve"> Die Anforderung nennt je Gebäude sieben Größen; zwei davon bekommen </w:t>
      </w:r>
      <w:r>
        <w:rPr>
          <w:b/>
        </w:rPr>
        <w:t xml:space="preserve">keinen</w:t>
      </w:r>
      <w:r>
        <w:t xml:space="preserve"> Katalogeintrag: „Stunden mit Kühlbedarf" (eine Summe über Gebäude wäre sinnlos, ein Maximum wäre eine andere Aussage) und die </w:t>
      </w:r>
      <w:r>
        <w:rPr>
          <w:b/>
        </w:rPr>
        <w:t xml:space="preserve">Gebäudespitze</w:t>
      </w:r>
      <w:r>
        <w:t xml:space="preserve"> (sie steht schon als maximale Wärmelast über den Kanalvektor im Bericht). Beide stehen als Skalar je Gebäude im Referenzlauf-Export — dort ist das Gebäude die Zeile, und die Frage der Aggregation stellt sich nicht.</w:t>
      </w:r>
    </w:p>
    <w:p>
      <w:r>
        <w:rPr>
          <w:b/>
        </w:rPr>
        <w:t xml:space="preserve">Die Aggregationsregel gehört zur Kennzahl, nicht zur Anzeige:</w:t>
      </w:r>
      <w:r>
        <w:t xml:space="preserve"> eine Kennzahl liefert genau einen Skalar je Projekt, die Gebäudegrößen sind aber je Gebäude. Wo eine Summe sinnlos wäre, steht das gewichtete Mittel; wo eine Spitze sich nicht addieren lässt, steht der Wert aus dem Kanalvektor, in dem die Gleichzeitigkeiten schon stecken. </w:t>
      </w:r>
      <w:r>
        <w:rPr>
          <w:b/>
        </w:rPr>
        <w:t xml:space="preserve">Ein fehlender Wert bedeutet „für dieses Projekt nicht verfügbar" und wird als Gedankenstrich gezeigt, nie als 0.</w:t>
      </w:r>
      <w:r>
        <w:t xml:space="preserve"> Eine </w:t>
      </w:r>
      <w:r>
        <w:rPr>
          <w:b/>
        </w:rPr>
        <w:t xml:space="preserve">fünfte Kennzahlgruppe</w:t>
      </w:r>
      <w:r>
        <w:t xml:space="preserve"> für den Gebäudebereich kommt hinzu (Architekturpapier, Entwurf — der Katalog führt heute vier, und sein Kopf sagt das ausdrücklich); sie ist damit eine Fortschreibung des Berichtskonzepts.</w:t>
      </w:r>
    </w:p>
    <w:p>
      <w:r>
        <w:t xml:space="preserve">Der Produktausweis nach E10 steht im Berichtskopf und auf der Wiki-Seite, im Wortlaut. </w:t>
      </w:r>
      <w:r>
        <w:rPr>
          <w:b/>
        </w:rPr>
        <w:t xml:space="preserve">Die Kennzeichnung der Testversion liegt an derselben Stelle und ersetzt ihn nicht</w:t>
      </w:r>
      <w:r>
        <w:t xml:space="preserve">: der Produktausweis sagt, </w:t>
      </w:r>
      <w:r>
        <w:rPr>
          <w:b/>
        </w:rPr>
        <w:t xml:space="preserve">womit</w:t>
      </w:r>
      <w:r>
        <w:t xml:space="preserve"> gerechnet wurde, das Wasserzeichen, </w:t>
      </w:r>
      <w:r>
        <w:rPr>
          <w:b/>
        </w:rPr>
        <w:t xml:space="preserve">unter welcher Lizenz</w:t>
      </w:r>
      <w:r>
        <w:t xml:space="preserve">. Die neuen Exportdateien tragen beides.</w:t>
      </w:r>
    </w:p>
    <w:p>
      <w:pPr>
        <w:pStyle w:val="Heading2"/>
      </w:pPr>
      <w:r>
        <w:t xml:space="preserve">6.4 Referenzlauf-Export und Basis</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Was</w:t>
            </w:r>
          </w:p>
        </w:tc>
        <w:tc>
          <w:tcPr>
            <w:tcW w:w="0" w:type="auto"/>
            <w:shd w:val="clear" w:color="auto" w:fill="D9D9D9"/>
          </w:tcPr>
          <w:p>
            <w:pPr>
              <w:spacing w:after="0" w:line="240" w:lineRule="auto"/>
              <w:rPr>
                <w:b/>
              </w:rPr>
            </w:pPr>
            <w:r>
              <w:rPr>
                <w:b/>
              </w:rPr>
              <w:t xml:space="preserve">Wie</w:t>
            </w:r>
          </w:p>
        </w:tc>
      </w:tr>
      <w:tr>
        <w:tc>
          <w:tcPr>
            <w:tcW w:w="0" w:type="auto"/>
          </w:tcPr>
          <w:p>
            <w:pPr>
              <w:spacing w:after="0" w:line="240" w:lineRule="auto"/>
            </w:pPr>
            <w:r>
              <w:rPr>
                <w:b/>
              </w:rPr>
              <w:t xml:space="preserve">Drei neue Vektordateien je Gebäude</w:t>
            </w:r>
          </w:p>
        </w:tc>
        <w:tc>
          <w:tcPr>
            <w:tcW w:w="0" w:type="auto"/>
          </w:tcPr>
          <w:p>
            <w:pPr>
              <w:spacing w:after="0" w:line="240" w:lineRule="auto"/>
            </w:pPr>
            <w:r>
              <w:t xml:space="preserve">Raumtemperatur, operative Temperatur, Kühlbedarf, je mit der stabilen Kennung </w:t>
            </w:r>
            <w:r>
              <w:rPr>
                <w:rFonts w:ascii="Consolas" w:hAnsi="Consolas" w:cs="Consolas"/>
                <w:noProof/>
                <w:sz w:val="20"/>
                <w:szCs w:val="20"/>
                <w:shd w:val="clear" w:color="auto" w:fill="EFEFEF"/>
              </w:rPr>
              <w:t xml:space="preserve">ID_ProjektGebaeude</w:t>
            </w:r>
            <w:r>
              <w:t xml:space="preserve"> im Namen (Rückfall: ein laufender Zähler), </w:t>
            </w:r>
            <w:r>
              <w:rPr>
                <w:b/>
              </w:rPr>
              <w:t xml:space="preserve">nie mit dem Schleifenindex</w:t>
            </w:r>
            <w:r>
              <w:t xml:space="preserve"> — ein Schleifenindex verschöbe alle Dateinamen und damit die Basis, sobald ein Gebäude eingefügt oder gelöscht wird. Format wie alle Vektordateien: Kühlbedarf </w:t>
            </w:r>
            <w:r>
              <w:rPr>
                <w:b/>
              </w:rPr>
              <w:t xml:space="preserve">in kWh</w:t>
            </w:r>
            <w:r>
              <w:t xml:space="preserve"> (die Wattform bleibt intern), Raumluft- und operative Temperatur in </w:t>
            </w:r>
            <w:r>
              <w:rPr>
                <w:b/>
              </w:rPr>
              <w:t xml:space="preserve">°C</w:t>
            </w:r>
            <w:r>
              <w:t xml:space="preserve">, weil sie Zustandsgrößen und keine Energiemengen sind; bei den Temperaturreihen ist die Vektorsumme kein Jahreswert, sondern ein Vergleichsanker</w:t>
            </w:r>
          </w:p>
        </w:tc>
      </w:tr>
      <w:tr>
        <w:tc>
          <w:tcPr>
            <w:tcW w:w="0" w:type="auto"/>
          </w:tcPr>
          <w:p>
            <w:pPr>
              <w:spacing w:after="0" w:line="240" w:lineRule="auto"/>
            </w:pPr>
            <w:r>
              <w:rPr>
                <w:b/>
              </w:rPr>
              <w:t xml:space="preserve">Skalare</w:t>
            </w:r>
          </w:p>
        </w:tc>
        <w:tc>
          <w:tcPr>
            <w:tcW w:w="0" w:type="auto"/>
          </w:tcPr>
          <w:p>
            <w:pPr>
              <w:spacing w:after="0" w:line="240" w:lineRule="auto"/>
            </w:pPr>
            <w:r>
              <w:t xml:space="preserve">mit Gebäudepräfix in der Sammeldatei: Gebäude-Id, Modell, Spitzenlast, Spitze im Tagesmittel, 95-%-Quantil, Kühlenergie, Stunden mit Kühlbedarf, mittlere Raumtemperatur, Heizwärme — </w:t>
            </w:r>
            <w:r>
              <w:rPr>
                <w:b/>
              </w:rPr>
              <w:t xml:space="preserve">Einheit im Namen</w:t>
            </w:r>
            <w:r>
              <w:t xml:space="preserve">, Jahressummen in MWh</w:t>
            </w:r>
          </w:p>
        </w:tc>
      </w:tr>
      <w:tr>
        <w:tc>
          <w:tcPr>
            <w:tcW w:w="0" w:type="auto"/>
          </w:tcPr>
          <w:p>
            <w:pPr>
              <w:spacing w:after="0" w:line="240" w:lineRule="auto"/>
            </w:pPr>
            <w:r>
              <w:rPr>
                <w:b/>
              </w:rPr>
              <w:t xml:space="preserve">Die Bedingung</w:t>
            </w:r>
          </w:p>
        </w:tc>
        <w:tc>
          <w:tcPr>
            <w:tcW w:w="0" w:type="auto"/>
          </w:tcPr>
          <w:p>
            <w:pPr>
              <w:spacing w:after="0" w:line="240" w:lineRule="auto"/>
            </w:pPr>
            <w:r>
              <w:t xml:space="preserve">der Block läuft </w:t>
            </w:r>
            <w:r>
              <w:rPr>
                <w:b/>
              </w:rPr>
              <w:t xml:space="preserve">nur</w:t>
            </w:r>
            <w:r>
              <w:t xml:space="preserve">, wenn das Projekt mindestens ein Gebäude im Stundenmodell führt</w:t>
            </w:r>
          </w:p>
        </w:tc>
      </w:tr>
      <w:tr>
        <w:tc>
          <w:tcPr>
            <w:tcW w:w="0" w:type="auto"/>
          </w:tcPr>
          <w:p>
            <w:pPr>
              <w:spacing w:after="0" w:line="240" w:lineRule="auto"/>
            </w:pPr>
            <w:r>
              <w:rPr>
                <w:b/>
              </w:rPr>
              <w:t xml:space="preserve">Warum das Bedingung ist</w:t>
            </w:r>
          </w:p>
        </w:tc>
        <w:tc>
          <w:tcPr>
            <w:tcW w:w="0" w:type="auto"/>
          </w:tcPr>
          <w:p>
            <w:pPr>
              <w:spacing w:after="0" w:line="240" w:lineRule="auto"/>
            </w:pPr>
            <w:r>
              <w:t xml:space="preserve">der Vergleich kennt nur einen </w:t>
            </w:r>
            <w:r>
              <w:rPr>
                <w:b/>
              </w:rPr>
              <w:t xml:space="preserve">Schlüssel</w:t>
            </w:r>
            <w:r>
              <w:t xml:space="preserve">-Ausschluss innerhalb einer Datei, keinen </w:t>
            </w:r>
            <w:r>
              <w:rPr>
                <w:b/>
              </w:rPr>
              <w:t xml:space="preserve">Datei</w:t>
            </w:r>
            <w:r>
              <w:t xml:space="preserve">-Ausschluss; eine Datei, die nur in einem der beiden Läufe liegt, bekommt die höchste Schwere und ist FAIL ohne Schalter dagegen. Die drei Reihen dürfen für Tagesbilanz-Gebäude deshalb </w:t>
            </w:r>
            <w:r>
              <w:rPr>
                <w:b/>
              </w:rPr>
              <w:t xml:space="preserve">gar nicht entstehen</w:t>
            </w:r>
            <w:r>
              <w:t xml:space="preserve"> — nicht „mit Nullen gefüllt"</w:t>
            </w:r>
          </w:p>
        </w:tc>
      </w:tr>
      <w:tr>
        <w:tc>
          <w:tcPr>
            <w:tcW w:w="0" w:type="auto"/>
          </w:tcPr>
          <w:p>
            <w:pPr>
              <w:spacing w:after="0" w:line="240" w:lineRule="auto"/>
            </w:pPr>
            <w:r>
              <w:rPr>
                <w:b/>
              </w:rPr>
              <w:t xml:space="preserve">Der Rückweg-Test</w:t>
            </w:r>
          </w:p>
        </w:tc>
        <w:tc>
          <w:tcPr>
            <w:tcW w:w="0" w:type="auto"/>
          </w:tcPr>
          <w:p>
            <w:pPr>
              <w:spacing w:after="0" w:line="240" w:lineRule="auto"/>
            </w:pPr>
            <w:r>
              <w:t xml:space="preserve">läuft auf einer </w:t>
            </w:r>
            <w:r>
              <w:rPr>
                <w:b/>
              </w:rPr>
              <w:t xml:space="preserve">gitignorierten Arbeitskopie</w:t>
            </w:r>
            <w:r>
              <w:t xml:space="preserve"> der Testdatenbank, die alle Gebäude auf Tagesbilanz setzt; die eingefrorene Testdatenbank bleibt unberührt, der Schalter dafür ist ein eigener Modus des Referenzlaufs</w:t>
            </w:r>
          </w:p>
        </w:tc>
      </w:tr>
      <w:tr>
        <w:tc>
          <w:tcPr>
            <w:tcW w:w="0" w:type="auto"/>
          </w:tcPr>
          <w:p>
            <w:pPr>
              <w:spacing w:after="0" w:line="240" w:lineRule="auto"/>
            </w:pPr>
            <w:r>
              <w:rPr>
                <w:b/>
              </w:rPr>
              <w:t xml:space="preserve">Eine Fassung, zwei Werkzeuge</w:t>
            </w:r>
          </w:p>
        </w:tc>
        <w:tc>
          <w:tcPr>
            <w:tcW w:w="0" w:type="auto"/>
          </w:tcPr>
          <w:p>
            <w:pPr>
              <w:spacing w:after="0" w:line="240" w:lineRule="auto"/>
            </w:pPr>
            <w:r>
              <w:t xml:space="preserve">das plattformfreie und das Windows-Werkzeug teilen sich </w:t>
            </w:r>
            <w:r>
              <w:rPr>
                <w:b/>
              </w:rPr>
              <w:t xml:space="preserve">eine</w:t>
            </w:r>
            <w:r>
              <w:t xml:space="preserve"> Fassung von Export und Vergleich</w:t>
            </w:r>
          </w:p>
        </w:tc>
      </w:tr>
    </w:tbl>
    <w:p>
      <w:pPr>
        <w:spacing w:after="120"/>
      </w:pPr>
    </w:p>
    <w:p>
      <w:r>
        <w:t xml:space="preserve">Toleranz unverändert: Betrag ≥ 1 relativ 1e-4, sonst absolut 0,01; der Byte-Vergleich ist nur Information.</w:t>
      </w:r>
    </w:p>
    <w:p>
      <w:pPr>
        <w:pStyle w:val="Heading2"/>
      </w:pPr>
      <w:r>
        <w:t xml:space="preserve">6.5 CI, iOS-Prüfmodus, Setup und Lizenzseite</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Stelle</w:t>
            </w:r>
          </w:p>
        </w:tc>
        <w:tc>
          <w:tcPr>
            <w:tcW w:w="0" w:type="auto"/>
            <w:shd w:val="clear" w:color="auto" w:fill="D9D9D9"/>
          </w:tcPr>
          <w:p>
            <w:pPr>
              <w:spacing w:after="0" w:line="240" w:lineRule="auto"/>
              <w:rPr>
                <w:b/>
              </w:rPr>
            </w:pPr>
            <w:r>
              <w:rPr>
                <w:b/>
              </w:rPr>
              <w:t xml:space="preserve">Was je Stufe geschieht</w:t>
            </w:r>
          </w:p>
        </w:tc>
      </w:tr>
      <w:tr>
        <w:tc>
          <w:tcPr>
            <w:tcW w:w="0" w:type="auto"/>
          </w:tcPr>
          <w:p>
            <w:pPr>
              <w:spacing w:after="0" w:line="240" w:lineRule="auto"/>
            </w:pPr>
            <w:r>
              <w:rPr>
                <w:b/>
              </w:rPr>
              <w:t xml:space="preserve">Kern-Lauf auf ubuntu</w:t>
            </w:r>
            <w:r>
              <w:t xml:space="preserve"> (bei jedem Push)</w:t>
            </w:r>
          </w:p>
        </w:tc>
        <w:tc>
          <w:tcPr>
            <w:tcW w:w="0" w:type="auto"/>
          </w:tcPr>
          <w:p>
            <w:pPr>
              <w:spacing w:after="0" w:line="240" w:lineRule="auto"/>
            </w:pPr>
            <w:r>
              <w:t xml:space="preserve">Bau und Tests des plattformfreien Filters, Werkzeugtests, SQL-Dialekt-Prüfer, Diagrammproben, Referenzlauf der fünf Projekte gegen die Basis. </w:t>
            </w:r>
            <w:r>
              <w:rPr>
                <w:b/>
              </w:rPr>
              <w:t xml:space="preserve">Das ist der Nachweis für Kern, Oberfläche, Testdatenbank und Doku.</w:t>
            </w:r>
            <w:r>
              <w:t xml:space="preserve"> Ab G0 laufen die Normfälle </w:t>
            </w:r>
            <w:r>
              <w:rPr>
                <w:b/>
              </w:rPr>
              <w:t xml:space="preserve">schweigend</w:t>
            </w:r>
            <w:r>
              <w:t xml:space="preserve"> durch, weil die Zahlen nicht im Repositorium liegen — eine bewusste Lücke im Gate, die ins Protokoll gehört</w:t>
            </w:r>
          </w:p>
        </w:tc>
      </w:tr>
      <w:tr>
        <w:tc>
          <w:tcPr>
            <w:tcW w:w="0" w:type="auto"/>
          </w:tcPr>
          <w:p>
            <w:pPr>
              <w:spacing w:after="0" w:line="240" w:lineRule="auto"/>
            </w:pPr>
            <w:r>
              <w:rPr>
                <w:b/>
              </w:rPr>
              <w:t xml:space="preserve">Windows-Lauf</w:t>
            </w:r>
          </w:p>
        </w:tc>
        <w:tc>
          <w:tcPr>
            <w:tcW w:w="0" w:type="auto"/>
          </w:tcPr>
          <w:p>
            <w:pPr>
              <w:spacing w:after="0" w:line="240" w:lineRule="auto"/>
            </w:pPr>
            <w:r>
              <w:t xml:space="preserve">prüft die Windows-Schale samt Migrationsschritt und Hüllen; der Setup-Lauf ist beim Anwender zu erfragen, jedes Mal</w:t>
            </w:r>
          </w:p>
        </w:tc>
      </w:tr>
      <w:tr>
        <w:tc>
          <w:tcPr>
            <w:tcW w:w="0" w:type="auto"/>
          </w:tcPr>
          <w:p>
            <w:pPr>
              <w:spacing w:after="0" w:line="240" w:lineRule="auto"/>
            </w:pPr>
            <w:r>
              <w:rPr>
                <w:b/>
              </w:rPr>
              <w:t xml:space="preserve">iOS-Lauf</w:t>
            </w:r>
          </w:p>
        </w:tc>
        <w:tc>
          <w:tcPr>
            <w:tcW w:w="0" w:type="auto"/>
          </w:tcPr>
          <w:p>
            <w:pPr>
              <w:spacing w:after="0" w:line="240" w:lineRule="auto"/>
            </w:pPr>
            <w:r>
              <w:t xml:space="preserve">nur auf Zuruf und </w:t>
            </w:r>
            <w:r>
              <w:rPr>
                <w:b/>
              </w:rPr>
              <w:t xml:space="preserve">nur nach Rückfrage</w:t>
            </w:r>
            <w:r>
              <w:t xml:space="preserve">, jedes Mal. Begründet ist er allein, wenn die Änderung die iOS-Hülle selbst trifft — Dateifilter, Navigationszeile, Seed-Datenbank, Prüfmodus, ein Umgebungsdienst-Adapter</w:t>
            </w:r>
          </w:p>
        </w:tc>
      </w:tr>
      <w:tr>
        <w:tc>
          <w:tcPr>
            <w:tcW w:w="0" w:type="auto"/>
          </w:tcPr>
          <w:p>
            <w:pPr>
              <w:spacing w:after="0" w:line="240" w:lineRule="auto"/>
            </w:pPr>
            <w:r>
              <w:rPr>
                <w:b/>
              </w:rPr>
              <w:t xml:space="preserve">Der iOS-Prüfmodus</w:t>
            </w:r>
          </w:p>
        </w:tc>
        <w:tc>
          <w:tcPr>
            <w:tcW w:w="0" w:type="auto"/>
          </w:tcPr>
          <w:p>
            <w:pPr>
              <w:spacing w:after="0" w:line="240" w:lineRule="auto"/>
            </w:pPr>
            <w:r>
              <w:t xml:space="preserve">prüft die Seed-Datenbank über die Zahl der </w:t>
            </w:r>
            <w:r>
              <w:rPr>
                <w:rFonts w:ascii="Consolas" w:hAnsi="Consolas" w:cs="Consolas"/>
                <w:noProof/>
                <w:sz w:val="20"/>
                <w:szCs w:val="20"/>
                <w:shd w:val="clear" w:color="auto" w:fill="EFEFEF"/>
              </w:rPr>
              <w:t xml:space="preserve">STRICT</w:t>
            </w:r>
            <w:r>
              <w:t xml:space="preserve">-Tabellen; sie wächst mit jedem Tabellenschritt. </w:t>
            </w:r>
            <w:r>
              <w:rPr>
                <w:b/>
              </w:rPr>
              <w:t xml:space="preserve">Richtigstellung:</w:t>
            </w:r>
            <w:r>
              <w:t xml:space="preserve"> der iOS-Lauf rechnet heute ein Projekt, das </w:t>
            </w:r>
            <w:r>
              <w:rPr>
                <w:b/>
              </w:rPr>
              <w:t xml:space="preserve">kein</w:t>
            </w:r>
            <w:r>
              <w:t xml:space="preserve"> Gebäude führt — er kann das Gebäudemodell also nicht berühren, sondern prüft die Schale. Solange das nicht geändert wird, ist der grüne Kern-Lauf auf ubuntu der Nachweis, und das gehört so ins Protokoll</w:t>
            </w:r>
          </w:p>
        </w:tc>
      </w:tr>
      <w:tr>
        <w:tc>
          <w:tcPr>
            <w:tcW w:w="0" w:type="auto"/>
          </w:tcPr>
          <w:p>
            <w:pPr>
              <w:spacing w:after="0" w:line="240" w:lineRule="auto"/>
            </w:pPr>
            <w:r>
              <w:rPr>
                <w:b/>
              </w:rPr>
              <w:t xml:space="preserve">Seed-Datenbank</w:t>
            </w:r>
          </w:p>
        </w:tc>
        <w:tc>
          <w:tcPr>
            <w:tcW w:w="0" w:type="auto"/>
          </w:tcPr>
          <w:p>
            <w:pPr>
              <w:spacing w:after="0" w:line="240" w:lineRule="auto"/>
            </w:pPr>
            <w:r>
              <w:t xml:space="preserve">je Schemaschritt neu zu erzeugen: die Migration läuft auf iOS </w:t>
            </w:r>
            <w:r>
              <w:rPr>
                <w:b/>
              </w:rPr>
              <w:t xml:space="preserve">nicht</w:t>
            </w:r>
          </w:p>
        </w:tc>
      </w:tr>
      <w:tr>
        <w:tc>
          <w:tcPr>
            <w:tcW w:w="0" w:type="auto"/>
          </w:tcPr>
          <w:p>
            <w:pPr>
              <w:spacing w:after="0" w:line="240" w:lineRule="auto"/>
            </w:pPr>
            <w:r>
              <w:rPr>
                <w:b/>
              </w:rPr>
              <w:t xml:space="preserve">Setup und Lizenzseite</w:t>
            </w:r>
          </w:p>
        </w:tc>
        <w:tc>
          <w:tcPr>
            <w:tcW w:w="0" w:type="auto"/>
          </w:tcPr>
          <w:p>
            <w:pPr>
              <w:spacing w:after="0" w:line="240" w:lineRule="auto"/>
            </w:pPr>
            <w:r>
              <w:t xml:space="preserve">das Installationspaket führt heute </w:t>
            </w:r>
            <w:r>
              <w:rPr>
                <w:b/>
              </w:rPr>
              <w:t xml:space="preserve">keine</w:t>
            </w:r>
            <w:r>
              <w:t xml:space="preserve"> Seite für Fremdbibliotheken. Für xBIM verlangt die Lizenz den dauerhaften Quellenverweis an den Empfänger; es entsteht eine Datei mit je Fremdbibliothek Name, Fassung, Lizenz, Copyright-Vermerk und Quellenverweis — erster Eintrag xBIM, dazu die schon ausgelieferten Fremdanteile und three.js —, eine Kopierzeile im Installationsskript und als Pflegeweg eine Zeile je ausgelieferter Paketfassung. </w:t>
            </w:r>
            <w:r>
              <w:rPr>
                <w:b/>
              </w:rPr>
              <w:t xml:space="preserve">Ohne diese Seite ist der IFC-Weg nicht auslieferbar</w:t>
            </w:r>
            <w:r>
              <w:t xml:space="preserve">, Import wie Export</w:t>
            </w:r>
          </w:p>
        </w:tc>
      </w:tr>
    </w:tbl>
    <w:p>
      <w:pPr>
        <w:spacing w:after="120"/>
      </w:pPr>
    </w:p>
    <w:p>
      <w:r>
        <w:rPr>
          <w:b/>
        </w:rPr>
        <w:t xml:space="preserve">Zur Papierführung gehören drei Handgriffe je Stufe:</w:t>
      </w:r>
      <w:r>
        <w:t xml:space="preserve"> eine Indexzeile je Papier in </w:t>
      </w:r>
      <w:r>
        <w:rPr>
          <w:rFonts w:ascii="Consolas" w:hAnsi="Consolas" w:cs="Consolas"/>
          <w:noProof/>
          <w:sz w:val="20"/>
          <w:szCs w:val="20"/>
          <w:shd w:val="clear" w:color="auto" w:fill="EFEFEF"/>
        </w:rPr>
        <w:t xml:space="preserve">Dokumentation/LIESMICH.md</w:t>
      </w:r>
      <w:r>
        <w:t xml:space="preserve">, eine Zeile je Stufe in </w:t>
      </w:r>
      <w:r>
        <w:rPr>
          <w:rFonts w:ascii="Consolas" w:hAnsi="Consolas" w:cs="Consolas"/>
          <w:noProof/>
          <w:sz w:val="20"/>
          <w:szCs w:val="20"/>
          <w:shd w:val="clear" w:color="auto" w:fill="EFEFEF"/>
        </w:rPr>
        <w:t xml:space="preserve">Dokumentation/aktuell/Status_Gebaeudesimulation_VDI6007.md</w:t>
      </w:r>
      <w:r>
        <w:t xml:space="preserve"> samt ausführlichem Protokoll unter </w:t>
      </w:r>
      <w:r>
        <w:rPr>
          <w:rFonts w:ascii="Consolas" w:hAnsi="Consolas" w:cs="Consolas"/>
          <w:noProof/>
          <w:sz w:val="20"/>
          <w:szCs w:val="20"/>
          <w:shd w:val="clear" w:color="auto" w:fill="EFEFEF"/>
        </w:rPr>
        <w:t xml:space="preserve">Dokumentation/ueberholt/Protokolle/</w:t>
      </w:r>
      <w:r>
        <w:t xml:space="preserve">, und der Eintrag der neuen Ergebnisklassen in die Namensliste des Einheitenwächters — </w:t>
      </w:r>
      <w:r>
        <w:rPr>
          <w:b/>
        </w:rPr>
        <w:t xml:space="preserve">mit Unterordner</w:t>
      </w:r>
      <w:r>
        <w:t xml:space="preserve">.</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4), </w:t>
      </w:r>
      <w:r>
        <w:rPr>
          <w:rFonts w:ascii="Consolas" w:hAnsi="Consolas" w:cs="Consolas"/>
          <w:noProof/>
          <w:sz w:val="20"/>
          <w:szCs w:val="20"/>
          <w:shd w:val="clear" w:color="auto" w:fill="EFEFEF"/>
        </w:rPr>
        <w:t xml:space="preserve">Dokumentation/aktuell/Umsetzungskonzept_Gebaeudesimulation_VDI6007_EPOS-Plan.md</w:t>
      </w:r>
      <w:r>
        <w:t xml:space="preserve"> (Kapitel 1) und </w:t>
      </w:r>
      <w:r>
        <w:rPr>
          <w:rFonts w:ascii="Consolas" w:hAnsi="Consolas" w:cs="Consolas"/>
          <w:noProof/>
          <w:sz w:val="20"/>
          <w:szCs w:val="20"/>
          <w:shd w:val="clear" w:color="auto" w:fill="EFEFEF"/>
        </w:rPr>
        <w:t xml:space="preserve">Dokumentation/aktuell/Gebaeudesimulation/2026-09-15_Befund_L_Einbindung_Kern.md</w:t>
      </w:r>
      <w:r>
        <w:t xml:space="preserve">.</w:t>
      </w:r>
    </w:p>
    <w:p>
      <w:pPr>
        <w:pStyle w:val="Trennlinie"/>
      </w:pPr>
    </w:p>
    <w:p>
      <w:pPr>
        <w:pStyle w:val="Heading1"/>
      </w:pPr>
      <w:r>
        <w:t xml:space="preserve">7 Datenaustausch gbXML und IFC</w:t>
      </w:r>
    </w:p>
    <w:p>
      <w:r>
        <w:t xml:space="preserve">Entscheid E9 verlangt Austausch in beide Richtungen und in beiden Formaten. Vier Wege, und sie sind ungleich viel wert.</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Weg</w:t>
            </w:r>
          </w:p>
        </w:tc>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Technik</w:t>
            </w:r>
          </w:p>
        </w:tc>
        <w:tc>
          <w:tcPr>
            <w:tcW w:w="0" w:type="auto"/>
            <w:shd w:val="clear" w:color="auto" w:fill="D9D9D9"/>
          </w:tcPr>
          <w:p>
            <w:pPr>
              <w:spacing w:after="0" w:line="240" w:lineRule="auto"/>
              <w:rPr>
                <w:b/>
              </w:rPr>
            </w:pPr>
            <w:r>
              <w:rPr>
                <w:b/>
              </w:rPr>
              <w:t xml:space="preserve">Aufwand</w:t>
            </w:r>
          </w:p>
        </w:tc>
        <w:tc>
          <w:tcPr>
            <w:tcW w:w="0" w:type="auto"/>
            <w:shd w:val="clear" w:color="auto" w:fill="D9D9D9"/>
          </w:tcPr>
          <w:p>
            <w:pPr>
              <w:spacing w:after="0" w:line="240" w:lineRule="auto"/>
              <w:rPr>
                <w:b/>
              </w:rPr>
            </w:pPr>
            <w:r>
              <w:rPr>
                <w:b/>
              </w:rPr>
              <w:t xml:space="preserve">Vorbehalt</w:t>
            </w:r>
          </w:p>
        </w:tc>
      </w:tr>
      <w:tr>
        <w:tc>
          <w:tcPr>
            <w:tcW w:w="0" w:type="auto"/>
          </w:tcPr>
          <w:p>
            <w:pPr>
              <w:spacing w:after="0" w:line="240" w:lineRule="auto"/>
            </w:pPr>
            <w:r>
              <w:rPr>
                <w:b/>
              </w:rPr>
              <w:t xml:space="preserve">gbXML-Import</w:t>
            </w:r>
          </w:p>
        </w:tc>
        <w:tc>
          <w:tcPr>
            <w:tcW w:w="0" w:type="auto"/>
          </w:tcPr>
          <w:p>
            <w:pPr>
              <w:spacing w:after="0" w:line="240" w:lineRule="auto"/>
            </w:pPr>
            <w:r>
              <w:rPr>
                <w:b/>
              </w:rPr>
              <w:t xml:space="preserve">G4c</w:t>
            </w:r>
            <w:r>
              <w:t xml:space="preserve"> (Pflicht)</w:t>
            </w:r>
          </w:p>
        </w:tc>
        <w:tc>
          <w:tcPr>
            <w:tcW w:w="0" w:type="auto"/>
          </w:tcPr>
          <w:p>
            <w:pPr>
              <w:spacing w:after="0" w:line="240" w:lineRule="auto"/>
            </w:pPr>
            <w:r>
              <w:t xml:space="preserve">LINQ to XML, handgeschriebenes Lesemodell, keine Fremdbibliothek, kein Geometriekernel; Flächen aus </w:t>
            </w:r>
            <w:r>
              <w:rPr>
                <w:rFonts w:ascii="Consolas" w:hAnsi="Consolas" w:cs="Consolas"/>
                <w:noProof/>
                <w:sz w:val="20"/>
                <w:szCs w:val="20"/>
                <w:shd w:val="clear" w:color="auto" w:fill="EFEFEF"/>
              </w:rPr>
              <w:t xml:space="preserve">RectangularGeometry</w:t>
            </w:r>
          </w:p>
        </w:tc>
        <w:tc>
          <w:tcPr>
            <w:tcW w:w="0" w:type="auto"/>
          </w:tcPr>
          <w:p>
            <w:pPr>
              <w:spacing w:after="0" w:line="240" w:lineRule="auto"/>
            </w:pPr>
            <w:r>
              <w:rPr>
                <w:b/>
              </w:rPr>
              <w:t xml:space="preserve">17–28 PT</w:t>
            </w:r>
          </w:p>
        </w:tc>
        <w:tc>
          <w:tcPr>
            <w:tcW w:w="0" w:type="auto"/>
          </w:tcPr>
          <w:p>
            <w:pPr>
              <w:spacing w:after="0" w:line="240" w:lineRule="auto"/>
            </w:pPr>
            <w:r>
              <w:t xml:space="preserve">Archicad ist der aussichtsreichste, aber </w:t>
            </w:r>
            <w:r>
              <w:rPr>
                <w:b/>
              </w:rPr>
              <w:t xml:space="preserve">ungemessene</w:t>
            </w:r>
            <w:r>
              <w:t xml:space="preserve"> Quellkandidat; zu Vectorworks fehlt jeder Beleg über Schichtaufbauten. Vor einer Zusage im Feld ist mit einer echten Kundendatei zu prüfen</w:t>
            </w:r>
          </w:p>
        </w:tc>
      </w:tr>
      <w:tr>
        <w:tc>
          <w:tcPr>
            <w:tcW w:w="0" w:type="auto"/>
          </w:tcPr>
          <w:p>
            <w:pPr>
              <w:spacing w:after="0" w:line="240" w:lineRule="auto"/>
            </w:pPr>
            <w:r>
              <w:rPr>
                <w:b/>
              </w:rPr>
              <w:t xml:space="preserve">IFC-Import</w:t>
            </w:r>
          </w:p>
        </w:tc>
        <w:tc>
          <w:tcPr>
            <w:tcW w:w="0" w:type="auto"/>
          </w:tcPr>
          <w:p>
            <w:pPr>
              <w:spacing w:after="0" w:line="240" w:lineRule="auto"/>
            </w:pPr>
            <w:r>
              <w:rPr>
                <w:b/>
              </w:rPr>
              <w:t xml:space="preserve">G4a</w:t>
            </w:r>
            <w:r>
              <w:t xml:space="preserve"> (Einzone), </w:t>
            </w:r>
            <w:r>
              <w:rPr>
                <w:b/>
              </w:rPr>
              <w:t xml:space="preserve">G6c</w:t>
            </w:r>
            <w:r>
              <w:t xml:space="preserve"> (Zonen)</w:t>
            </w:r>
          </w:p>
        </w:tc>
        <w:tc>
          <w:tcPr>
            <w:tcW w:w="0" w:type="auto"/>
          </w:tcPr>
          <w:p>
            <w:pPr>
              <w:spacing w:after="0" w:line="240" w:lineRule="auto"/>
            </w:pPr>
            <w:r>
              <w:t xml:space="preserve">xBIM, allein </w:t>
            </w:r>
            <w:r>
              <w:rPr>
                <w:rFonts w:ascii="Consolas" w:hAnsi="Consolas" w:cs="Consolas"/>
                <w:noProof/>
                <w:sz w:val="20"/>
                <w:szCs w:val="20"/>
                <w:shd w:val="clear" w:color="auto" w:fill="EFEFEF"/>
              </w:rPr>
              <w:t xml:space="preserve">Xbim.IO.MemoryModel</w:t>
            </w:r>
            <w:r>
              <w:t xml:space="preserve">, ohne Geometriekernel; Flächen aus den Mengensätzen, Orientierung aus der Placement-Kette</w:t>
            </w:r>
          </w:p>
        </w:tc>
        <w:tc>
          <w:tcPr>
            <w:tcW w:w="0" w:type="auto"/>
          </w:tcPr>
          <w:p>
            <w:pPr>
              <w:spacing w:after="0" w:line="240" w:lineRule="auto"/>
            </w:pPr>
            <w:r>
              <w:t xml:space="preserve">G4a </w:t>
            </w:r>
            <w:r>
              <w:rPr>
                <w:b/>
              </w:rPr>
              <w:t xml:space="preserve">13,5–21 PT</w:t>
            </w:r>
            <w:r>
              <w:t xml:space="preserve">, G4b 4–6 PT</w:t>
            </w:r>
          </w:p>
        </w:tc>
        <w:tc>
          <w:tcPr>
            <w:tcW w:w="0" w:type="auto"/>
          </w:tcPr>
          <w:p>
            <w:pPr>
              <w:spacing w:after="0" w:line="240" w:lineRule="auto"/>
            </w:pPr>
            <w:r>
              <w:t xml:space="preserve">IFC liefert Rohmaterial wechselnder Qualität, nie fertige Modelldaten; für den Wohnbestand ist die Ausbeute gering. In vier gemessenen Dateien steht </w:t>
            </w:r>
            <w:r>
              <w:rPr>
                <w:b/>
              </w:rPr>
              <w:t xml:space="preserve">keine einzige</w:t>
            </w:r>
            <w:r>
              <w:t xml:space="preserve"> Zonenentität, und </w:t>
            </w:r>
            <w:r>
              <w:rPr>
                <w:b/>
              </w:rPr>
              <w:t xml:space="preserve">kein einziger</w:t>
            </w:r>
            <w:r>
              <w:t xml:space="preserve"> opaker Baustoff trägt brauchbare Stoffwerte</w:t>
            </w:r>
          </w:p>
        </w:tc>
      </w:tr>
      <w:tr>
        <w:tc>
          <w:tcPr>
            <w:tcW w:w="0" w:type="auto"/>
          </w:tcPr>
          <w:p>
            <w:pPr>
              <w:spacing w:after="0" w:line="240" w:lineRule="auto"/>
            </w:pPr>
            <w:r>
              <w:rPr>
                <w:b/>
              </w:rPr>
              <w:t xml:space="preserve">gbXML-Export</w:t>
            </w:r>
          </w:p>
        </w:tc>
        <w:tc>
          <w:tcPr>
            <w:tcW w:w="0" w:type="auto"/>
          </w:tcPr>
          <w:p>
            <w:pPr>
              <w:spacing w:after="0" w:line="240" w:lineRule="auto"/>
            </w:pPr>
            <w:r>
              <w:rPr>
                <w:b/>
              </w:rPr>
              <w:t xml:space="preserve">G7a</w:t>
            </w:r>
            <w:r>
              <w:t xml:space="preserve"> (Daten), </w:t>
            </w:r>
            <w:r>
              <w:rPr>
                <w:b/>
              </w:rPr>
              <w:t xml:space="preserve">G7b</w:t>
            </w:r>
            <w:r>
              <w:t xml:space="preserve"> (Quader)</w:t>
            </w:r>
          </w:p>
        </w:tc>
        <w:tc>
          <w:tcPr>
            <w:tcW w:w="0" w:type="auto"/>
          </w:tcPr>
          <w:p>
            <w:pPr>
              <w:spacing w:after="0" w:line="240" w:lineRule="auto"/>
            </w:pPr>
            <w:r>
              <w:t xml:space="preserve">schemagültige Datei mit Version 6.01, vollständige Aufbaukette mit Schichtumkehr; mit G7b synthetische Quadergeometrie aus dem Zonengeometrie-Modell</w:t>
            </w:r>
          </w:p>
        </w:tc>
        <w:tc>
          <w:tcPr>
            <w:tcW w:w="0" w:type="auto"/>
          </w:tcPr>
          <w:p>
            <w:pPr>
              <w:spacing w:after="0" w:line="240" w:lineRule="auto"/>
            </w:pPr>
            <w:r>
              <w:t xml:space="preserve">9–14 PT + </w:t>
            </w:r>
            <w:r>
              <w:rPr>
                <w:b/>
              </w:rPr>
              <w:t xml:space="preserve">7–12 PT</w:t>
            </w:r>
          </w:p>
        </w:tc>
        <w:tc>
          <w:tcPr>
            <w:tcW w:w="0" w:type="auto"/>
          </w:tcPr>
          <w:p>
            <w:pPr>
              <w:spacing w:after="0" w:line="240" w:lineRule="auto"/>
            </w:pPr>
            <w:r>
              <w:t xml:space="preserve">ein gbXML ohne Polygongeometrie wird von keinem der geprüften </w:t>
            </w:r>
            <w:r>
              <w:rPr>
                <w:b/>
              </w:rPr>
              <w:t xml:space="preserve">dynamischen</w:t>
            </w:r>
            <w:r>
              <w:t xml:space="preserve"> Simulationswerkzeuge zu einem Modell; für die bilanzierenden Werkzeuge ist es weder belegt noch widerlegt</w:t>
            </w:r>
          </w:p>
        </w:tc>
      </w:tr>
      <w:tr>
        <w:tc>
          <w:tcPr>
            <w:tcW w:w="0" w:type="auto"/>
          </w:tcPr>
          <w:p>
            <w:pPr>
              <w:spacing w:after="0" w:line="240" w:lineRule="auto"/>
            </w:pPr>
            <w:r>
              <w:rPr>
                <w:b/>
              </w:rPr>
              <w:t xml:space="preserve">IFC-Export</w:t>
            </w:r>
          </w:p>
        </w:tc>
        <w:tc>
          <w:tcPr>
            <w:tcW w:w="0" w:type="auto"/>
          </w:tcPr>
          <w:p>
            <w:pPr>
              <w:spacing w:after="0" w:line="240" w:lineRule="auto"/>
            </w:pPr>
            <w:r>
              <w:rPr>
                <w:b/>
              </w:rPr>
              <w:t xml:space="preserve">G7c</w:t>
            </w:r>
            <w:r>
              <w:t xml:space="preserve"> (Semantik), </w:t>
            </w:r>
            <w:r>
              <w:rPr>
                <w:b/>
              </w:rPr>
              <w:t xml:space="preserve">G7d</w:t>
            </w:r>
            <w:r>
              <w:t xml:space="preserve"> (Round-Trip), </w:t>
            </w:r>
            <w:r>
              <w:rPr>
                <w:b/>
              </w:rPr>
              <w:t xml:space="preserve">G7e</w:t>
            </w:r>
            <w:r>
              <w:t xml:space="preserve"> (Körper)</w:t>
            </w:r>
          </w:p>
        </w:tc>
        <w:tc>
          <w:tcPr>
            <w:tcW w:w="0" w:type="auto"/>
          </w:tcPr>
          <w:p>
            <w:pPr>
              <w:spacing w:after="0" w:line="240" w:lineRule="auto"/>
            </w:pPr>
            <w:r>
              <w:t xml:space="preserve">IFC4 über das Speichermodell, deterministische Kennungen, eigener Ergebnis-Eigenschaftssatz, Energie in kWh mit explizitem Einheitenverweis</w:t>
            </w:r>
          </w:p>
        </w:tc>
        <w:tc>
          <w:tcPr>
            <w:tcW w:w="0" w:type="auto"/>
          </w:tcPr>
          <w:p>
            <w:pPr>
              <w:spacing w:after="0" w:line="240" w:lineRule="auto"/>
            </w:pPr>
            <w:r>
              <w:t xml:space="preserve">12–20 + 6–11 + </w:t>
            </w:r>
            <w:r>
              <w:rPr>
                <w:b/>
              </w:rPr>
              <w:t xml:space="preserve">8–15 PT</w:t>
            </w:r>
          </w:p>
        </w:tc>
        <w:tc>
          <w:tcPr>
            <w:tcW w:w="0" w:type="auto"/>
          </w:tcPr>
          <w:p>
            <w:pPr>
              <w:spacing w:after="0" w:line="240" w:lineRule="auto"/>
            </w:pPr>
            <w:r>
              <w:t xml:space="preserve">ein geometrieloses IFC ist für ein Rechenwerkzeug vollständig, für den Menschen am Bildschirm leer. Die Rückgabe fremder Dateien ist </w:t>
            </w:r>
            <w:r>
              <w:rPr>
                <w:b/>
              </w:rPr>
              <w:t xml:space="preserve">vor</w:t>
            </w:r>
            <w:r>
              <w:t xml:space="preserve"> G7d vertraglich zu klären, nicht danach</w:t>
            </w:r>
          </w:p>
        </w:tc>
      </w:tr>
    </w:tbl>
    <w:p>
      <w:pPr>
        <w:spacing w:after="120"/>
      </w:pPr>
    </w:p>
    <w:p>
      <w:r>
        <w:rPr>
          <w:b/>
        </w:rPr>
        <w:t xml:space="preserve">Summe G7 einschließlich der Körperansicht: 46–79 PT; Summe G4c + G7: 63–107 PT.</w:t>
      </w:r>
      <w:r>
        <w:t xml:space="preserve"> Die Differenz zur Summe der Stufenzeilen erklärt E11: G7b sinkt von 8–14 auf 7–12 PT und G7e von 10–18 auf 8–15 PT, weil beide die Geometrie nur noch schreiben (</w:t>
      </w:r>
      <w:r>
        <w:rPr>
          <w:b/>
        </w:rPr>
        <w:t xml:space="preserve">−3–5 PT</w:t>
      </w:r>
      <w:r>
        <w:t xml:space="preserve">), und die 3D-Ansicht kommt mit </w:t>
      </w:r>
      <w:r>
        <w:rPr>
          <w:b/>
        </w:rPr>
        <w:t xml:space="preserve">+4–7 PT</w:t>
      </w:r>
      <w:r>
        <w:t xml:space="preserve"> hinzu — Summe G7 damit 45–77 → </w:t>
      </w:r>
      <w:r>
        <w:rPr>
          <w:b/>
        </w:rPr>
        <w:t xml:space="preserve">46–79 PT</w:t>
      </w:r>
      <w:r>
        <w:t xml:space="preserve">. Die übrigen 6–10 PT des Betrachters (Zonengeometrie-Modell und 2D-Grundriss) stehen unter G6c und sind hier </w:t>
      </w:r>
      <w:r>
        <w:rPr>
          <w:b/>
        </w:rPr>
        <w:t xml:space="preserve">nicht</w:t>
      </w:r>
      <w:r>
        <w:t xml:space="preserve"> mitgezählt.</w:t>
      </w:r>
    </w:p>
    <w:p>
      <w:pPr>
        <w:pStyle w:val="Heading2"/>
      </w:pPr>
      <w:r>
        <w:t xml:space="preserve">7.1 Ein Zuordnungsgerüst für beide Formate</w:t>
      </w:r>
    </w:p>
    <w:p>
      <w:r>
        <w:t xml:space="preserve">Was die Datei beschreibt, bleibt beim Format; was das Ziel beschreibt, wandert eine Ebene höher. Gemeinsam und formatfrei liegen: die </w:t>
      </w:r>
      <w:r>
        <w:rPr>
          <w:b/>
        </w:rPr>
        <w:t xml:space="preserve">Importherkunft</w:t>
      </w:r>
      <w:r>
        <w:t xml:space="preserve"> als Wert und nicht als Anzeigetext — </w:t>
      </w:r>
      <w:r>
        <w:rPr>
          <w:b/>
        </w:rPr>
        <w:t xml:space="preserve">fünf persistierte Werte</w:t>
      </w:r>
      <w:r>
        <w:t xml:space="preserve"> (</w:t>
      </w:r>
      <w:r>
        <w:rPr>
          <w:rFonts w:ascii="Consolas" w:hAnsi="Consolas" w:cs="Consolas"/>
          <w:noProof/>
          <w:sz w:val="20"/>
          <w:szCs w:val="20"/>
          <w:shd w:val="clear" w:color="auto" w:fill="EFEFEF"/>
        </w:rPr>
        <w:t xml:space="preserve">Ifc</w:t>
      </w:r>
      <w:r>
        <w:t xml:space="preserve">, </w:t>
      </w:r>
      <w:r>
        <w:rPr>
          <w:rFonts w:ascii="Consolas" w:hAnsi="Consolas" w:cs="Consolas"/>
          <w:noProof/>
          <w:sz w:val="20"/>
          <w:szCs w:val="20"/>
          <w:shd w:val="clear" w:color="auto" w:fill="EFEFEF"/>
        </w:rPr>
        <w:t xml:space="preserve">GbXml</w:t>
      </w:r>
      <w:r>
        <w:t xml:space="preserve">, </w:t>
      </w:r>
      <w:r>
        <w:rPr>
          <w:rFonts w:ascii="Consolas" w:hAnsi="Consolas" w:cs="Consolas"/>
          <w:noProof/>
          <w:sz w:val="20"/>
          <w:szCs w:val="20"/>
          <w:shd w:val="clear" w:color="auto" w:fill="EFEFEF"/>
        </w:rPr>
        <w:t xml:space="preserve">Katalog</w:t>
      </w:r>
      <w:r>
        <w:t xml:space="preserve">, </w:t>
      </w:r>
      <w:r>
        <w:rPr>
          <w:rFonts w:ascii="Consolas" w:hAnsi="Consolas" w:cs="Consolas"/>
          <w:noProof/>
          <w:sz w:val="20"/>
          <w:szCs w:val="20"/>
          <w:shd w:val="clear" w:color="auto" w:fill="EFEFEF"/>
        </w:rPr>
        <w:t xml:space="preserve">Vorgabe</w:t>
      </w:r>
      <w:r>
        <w:t xml:space="preserve">, </w:t>
      </w:r>
      <w:r>
        <w:rPr>
          <w:rFonts w:ascii="Consolas" w:hAnsi="Consolas" w:cs="Consolas"/>
          <w:noProof/>
          <w:sz w:val="20"/>
          <w:szCs w:val="20"/>
          <w:shd w:val="clear" w:color="auto" w:fill="EFEFEF"/>
        </w:rPr>
        <w:t xml:space="preserve">Manuell</w:t>
      </w:r>
      <w:r>
        <w:t xml:space="preserve">), dazu </w:t>
      </w:r>
      <w:r>
        <w:rPr>
          <w:rFonts w:ascii="Consolas" w:hAnsi="Consolas" w:cs="Consolas"/>
          <w:noProof/>
          <w:sz w:val="20"/>
          <w:szCs w:val="20"/>
          <w:shd w:val="clear" w:color="auto" w:fill="EFEFEF"/>
        </w:rPr>
        <w:t xml:space="preserve">Leer</w:t>
      </w:r>
      <w:r>
        <w:t xml:space="preserve"> als sechster Wert der Zuordnungsanzeige, der </w:t>
      </w:r>
      <w:r>
        <w:rPr>
          <w:b/>
        </w:rPr>
        <w:t xml:space="preserve">kein</w:t>
      </w:r>
      <w:r>
        <w:t xml:space="preserve"> Spaltenwert ist —, die </w:t>
      </w:r>
      <w:r>
        <w:rPr>
          <w:b/>
        </w:rPr>
        <w:t xml:space="preserve">Quelle</w:t>
      </w:r>
      <w:r>
        <w:t xml:space="preserve"> mit Format, Dateiname, Hash, Größe, Schema, Zeitpunkt und Programmfassung, der </w:t>
      </w:r>
      <w:r>
        <w:rPr>
          <w:b/>
        </w:rPr>
        <w:t xml:space="preserve">Satz</w:t>
      </w:r>
      <w:r>
        <w:t xml:space="preserve"> mit einer Zeile je </w:t>
      </w:r>
      <w:r>
        <w:rPr>
          <w:b/>
        </w:rPr>
        <w:t xml:space="preserve">Zielfeld</w:t>
      </w:r>
      <w:r>
        <w:t xml:space="preserve"> und das oberflächenfreie </w:t>
      </w:r>
      <w:r>
        <w:rPr>
          <w:b/>
        </w:rPr>
        <w:t xml:space="preserve">Zuordnungsmodell</w:t>
      </w:r>
      <w:r>
        <w:t xml:space="preserve">. Je Format bleiben die Leser und ihr Zwischenmodell, weil es die Datei spiegelt und mit ihr veraltet.</w:t>
      </w:r>
    </w:p>
    <w:p>
      <w:r>
        <w:t xml:space="preserve">Drei Regeln des Bestands gelten wörtlich: der Ablauf zeigt nichts an, ein fehlerhafter Eintrag bricht den Lauf nicht ab, und der Zustand lebt im Ablauf, nicht in der Komponente. Fehlerbilder sind </w:t>
      </w:r>
      <w:r>
        <w:rPr>
          <w:b/>
        </w:rPr>
        <w:t xml:space="preserve">Meldungen, keine Ausnahmen</w:t>
      </w:r>
      <w:r>
        <w:t xml:space="preserve">, mit Schlüssel und invariant formatierten Werten, nie mit Text. Und: </w:t>
      </w:r>
      <w:r>
        <w:rPr>
          <w:b/>
        </w:rPr>
        <w:t xml:space="preserve">kein Anzeigetext darf Steuerwert sein.</w:t>
      </w:r>
    </w:p>
    <w:p>
      <w:r>
        <w:rPr>
          <w:b/>
        </w:rPr>
        <w:t xml:space="preserve">Jede Zahl trägt zwei Angaben: woher und woraus.</w:t>
      </w:r>
      <w:r>
        <w:t xml:space="preserve"> Eine Zelle ohne Beleg ist eine Vorgabe. Die Herkunft wandert mit der Zeile in die Datenbank und bleibt damit nach dem Lauf sichtbar — die Voraussetzung dafür, dass der Gebäudedialog neben U, A und U·A anzeigen kann, ob eine Zahl gelesen, kopiert, vorbelegt oder geändert ist.</w:t>
      </w:r>
    </w:p>
    <w:p>
      <w:r>
        <w:rPr>
          <w:b/>
        </w:rPr>
        <w:t xml:space="preserve">Die Persistenz der Zuordnung</w:t>
      </w:r>
      <w:r>
        <w:t xml:space="preserve"> überlebt heute den Dialog nicht und muss es, aus drei Gründen: der Round-Trip findet sonst nicht wieder, welche Quellentität zu welcher Zone gehört; ein zweiter Import derselben Datei kann nicht erkennen, was schon zugeordnet ist; und „aus Datei X vom Y" ist ohne die Quelldatei nur die halbe Auskunft. Drei Festlegungen dazu: </w:t>
      </w:r>
      <w:r>
        <w:rPr>
          <w:b/>
        </w:rPr>
        <w:t xml:space="preserve">nur der Dateiname, nie der Pfad</w:t>
      </w:r>
      <w:r>
        <w:t xml:space="preserve"> (iOS-Sandbox-Pfade tragen eine bei jeder Neuinstallation wechselnde Kennung); </w:t>
      </w:r>
      <w:r>
        <w:rPr>
          <w:b/>
        </w:rPr>
        <w:t xml:space="preserve">SHA-256 des Dateiinhalts</w:t>
      </w:r>
      <w:r>
        <w:t xml:space="preserve">, weil nur er die Frage „ist das dieselbe Datei?" beantwortet; und die Zuordnung ist Projektware und kaskadiert mit dem Gebäude.</w:t>
      </w:r>
    </w:p>
    <w:p>
      <w:r>
        <w:rPr>
          <w:b/>
        </w:rPr>
        <w:t xml:space="preserve">Zwei Festlegungen sind unwiderruflich und gehören vor die erste Zeile Quelltext:</w:t>
      </w:r>
      <w:r>
        <w:t xml:space="preserve"> die gbXML-Version muss </w:t>
      </w:r>
      <w:r>
        <w:rPr>
          <w:b/>
        </w:rPr>
        <w:t xml:space="preserve">6.01</w:t>
      </w:r>
      <w:r>
        <w:t xml:space="preserve"> heißen, weil die eigene Aufzählung des Schemas dort endet und eine Datei mit 8.01 nach dem eigenen Schema ungültig wäre; und die Kennungen des IFC-Exports müssen </w:t>
      </w:r>
      <w:r>
        <w:rPr>
          <w:b/>
        </w:rPr>
        <w:t xml:space="preserve">deterministisch</w:t>
      </w:r>
      <w:r>
        <w:t xml:space="preserve"> aus den EPOS-Schlüsseln entstehen, sonst trägt jeder zweite Export derselben Zone eine andere Kennung und entwertet den Modellvergleich beim Empfänger.</w:t>
      </w:r>
    </w:p>
    <w:p>
      <w:pPr>
        <w:pStyle w:val="Heading2"/>
      </w:pPr>
      <w:r>
        <w:t xml:space="preserve">7.2 Lizenzlage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Lage</w:t>
            </w:r>
          </w:p>
        </w:tc>
        <w:tc>
          <w:tcPr>
            <w:tcW w:w="0" w:type="auto"/>
            <w:shd w:val="clear" w:color="auto" w:fill="D9D9D9"/>
          </w:tcPr>
          <w:p>
            <w:pPr>
              <w:spacing w:after="0" w:line="240" w:lineRule="auto"/>
              <w:rPr>
                <w:b/>
              </w:rPr>
            </w:pPr>
            <w:r>
              <w:rPr>
                <w:b/>
              </w:rPr>
              <w:t xml:space="preserve">Folge</w:t>
            </w:r>
          </w:p>
        </w:tc>
      </w:tr>
      <w:tr>
        <w:tc>
          <w:tcPr>
            <w:tcW w:w="0" w:type="auto"/>
          </w:tcPr>
          <w:p>
            <w:pPr>
              <w:spacing w:after="0" w:line="240" w:lineRule="auto"/>
            </w:pPr>
            <w:r>
              <w:rPr>
                <w:b/>
              </w:rPr>
              <w:t xml:space="preserve">xBIM</w:t>
            </w:r>
          </w:p>
        </w:tc>
        <w:tc>
          <w:tcPr>
            <w:tcW w:w="0" w:type="auto"/>
          </w:tcPr>
          <w:p>
            <w:pPr>
              <w:spacing w:after="0" w:line="240" w:lineRule="auto"/>
            </w:pPr>
            <w:r>
              <w:t xml:space="preserve">unverändertes NuGet-Paket unter CDDL-1.0, nie geforkt (E3)</w:t>
            </w:r>
          </w:p>
        </w:tc>
        <w:tc>
          <w:tcPr>
            <w:tcW w:w="0" w:type="auto"/>
          </w:tcPr>
          <w:p>
            <w:pPr>
              <w:spacing w:after="0" w:line="240" w:lineRule="auto"/>
            </w:pPr>
            <w:r>
              <w:rPr>
                <w:b/>
              </w:rPr>
              <w:t xml:space="preserve">Datei-Copyleft</w:t>
            </w:r>
            <w:r>
              <w:t xml:space="preserve">: dauerhafter Lizenztext und Quellenverweis an den Empfänger. Die Lizenzhinweisseite ist </w:t>
            </w:r>
            <w:r>
              <w:rPr>
                <w:b/>
              </w:rPr>
              <w:t xml:space="preserve">Vorbedingung der Auslieferung</w:t>
            </w:r>
            <w:r>
              <w:t xml:space="preserve"> des IFC-Wegs</w:t>
            </w:r>
          </w:p>
        </w:tc>
      </w:tr>
      <w:tr>
        <w:tc>
          <w:tcPr>
            <w:tcW w:w="0" w:type="auto"/>
          </w:tcPr>
          <w:p>
            <w:pPr>
              <w:spacing w:after="0" w:line="240" w:lineRule="auto"/>
            </w:pPr>
            <w:r>
              <w:rPr>
                <w:b/>
              </w:rPr>
              <w:t xml:space="preserve">gbXML-Schema</w:t>
            </w:r>
          </w:p>
        </w:tc>
        <w:tc>
          <w:tcPr>
            <w:tcW w:w="0" w:type="auto"/>
          </w:tcPr>
          <w:p>
            <w:pPr>
              <w:spacing w:after="0" w:line="240" w:lineRule="auto"/>
            </w:pPr>
            <w:r>
              <w:t xml:space="preserve">ohne ausdrückliche Lizenz</w:t>
            </w:r>
          </w:p>
        </w:tc>
        <w:tc>
          <w:tcPr>
            <w:tcW w:w="0" w:type="auto"/>
          </w:tcPr>
          <w:p>
            <w:pPr>
              <w:spacing w:after="0" w:line="240" w:lineRule="auto"/>
            </w:pPr>
            <w:r>
              <w:rPr>
                <w:b/>
              </w:rPr>
              <w:t xml:space="preserve">nicht ausliefern</w:t>
            </w:r>
            <w:r>
              <w:t xml:space="preserve">, nie aus dem Netz laden; der Leser validiert nie, das Schema dient allein der Prüfung des </w:t>
            </w:r>
            <w:r>
              <w:rPr>
                <w:b/>
              </w:rPr>
              <w:t xml:space="preserve">Exports</w:t>
            </w:r>
            <w:r>
              <w:t xml:space="preserve">, lokal. Die Ablage der Kopie im Repositorium ist offen</w:t>
            </w:r>
          </w:p>
        </w:tc>
      </w:tr>
      <w:tr>
        <w:tc>
          <w:tcPr>
            <w:tcW w:w="0" w:type="auto"/>
          </w:tcPr>
          <w:p>
            <w:pPr>
              <w:spacing w:after="0" w:line="240" w:lineRule="auto"/>
            </w:pPr>
            <w:r>
              <w:rPr>
                <w:b/>
              </w:rPr>
              <w:t xml:space="preserve">Prüf- und Probendateien</w:t>
            </w:r>
          </w:p>
        </w:tc>
        <w:tc>
          <w:tcPr>
            <w:tcW w:w="0" w:type="auto"/>
          </w:tcPr>
          <w:p>
            <w:pPr>
              <w:spacing w:after="0" w:line="240" w:lineRule="auto"/>
            </w:pPr>
            <w:r>
              <w:t xml:space="preserve">je Datei eigene Rechtslage</w:t>
            </w:r>
          </w:p>
        </w:tc>
        <w:tc>
          <w:tcPr>
            <w:tcW w:w="0" w:type="auto"/>
          </w:tcPr>
          <w:p>
            <w:pPr>
              <w:spacing w:after="0" w:line="240" w:lineRule="auto"/>
            </w:pPr>
            <w:r>
              <w:t xml:space="preserve">nur Dateien mit klarer Erlaubnis ins Repositorium; die übrigen erzeugt der eigene Exporteur im Rundlauf. Je Datei eine Liesmich-Zeile mit Herkunft, Abrufdatum und Lizenzstand</w:t>
            </w:r>
          </w:p>
        </w:tc>
      </w:tr>
      <w:tr>
        <w:tc>
          <w:tcPr>
            <w:tcW w:w="0" w:type="auto"/>
          </w:tcPr>
          <w:p>
            <w:pPr>
              <w:spacing w:after="0" w:line="240" w:lineRule="auto"/>
            </w:pPr>
            <w:r>
              <w:rPr>
                <w:b/>
              </w:rPr>
              <w:t xml:space="preserve">three.js</w:t>
            </w:r>
          </w:p>
        </w:tc>
        <w:tc>
          <w:tcPr>
            <w:tcW w:w="0" w:type="auto"/>
          </w:tcPr>
          <w:p>
            <w:pPr>
              <w:spacing w:after="0" w:line="240" w:lineRule="auto"/>
            </w:pPr>
            <w:r>
              <w:t xml:space="preserve">MIT, lokal ausgeliefert</w:t>
            </w:r>
          </w:p>
        </w:tc>
        <w:tc>
          <w:tcPr>
            <w:tcW w:w="0" w:type="auto"/>
          </w:tcPr>
          <w:p>
            <w:pPr>
              <w:spacing w:after="0" w:line="240" w:lineRule="auto"/>
            </w:pPr>
            <w:r>
              <w:t xml:space="preserve">kommt auf dieselbe Lizenzhinweisseite</w:t>
            </w:r>
          </w:p>
        </w:tc>
      </w:tr>
      <w:tr>
        <w:tc>
          <w:tcPr>
            <w:tcW w:w="0" w:type="auto"/>
          </w:tcPr>
          <w:p>
            <w:pPr>
              <w:spacing w:after="0" w:line="240" w:lineRule="auto"/>
            </w:pPr>
            <w:r>
              <w:rPr>
                <w:b/>
              </w:rPr>
              <w:t xml:space="preserve">Paketgröße und Trimming auf iOS</w:t>
            </w:r>
          </w:p>
        </w:tc>
        <w:tc>
          <w:tcPr>
            <w:tcW w:w="0" w:type="auto"/>
          </w:tcPr>
          <w:p>
            <w:pPr>
              <w:spacing w:after="0" w:line="240" w:lineRule="auto"/>
            </w:pPr>
            <w:r>
              <w:t xml:space="preserve">zu messen, nicht zu schätzen</w:t>
            </w:r>
          </w:p>
        </w:tc>
        <w:tc>
          <w:tcPr>
            <w:tcW w:w="0" w:type="auto"/>
          </w:tcPr>
          <w:p>
            <w:pPr>
              <w:spacing w:after="0" w:line="240" w:lineRule="auto"/>
            </w:pPr>
            <w:r>
              <w:t xml:space="preserve">deshalb steht die Formatnaht </w:t>
            </w:r>
            <w:r>
              <w:rPr>
                <w:b/>
              </w:rPr>
              <w:t xml:space="preserve">von Anfang an</w:t>
            </w:r>
            <w:r>
              <w:t xml:space="preserve">: zieht der Leser später in ein eigenes Projekt, kostet der Umzug eine Fabrikzeile statt eines Umbaus</w:t>
            </w:r>
          </w:p>
        </w:tc>
      </w:tr>
      <w:tr>
        <w:tc>
          <w:tcPr>
            <w:tcW w:w="0" w:type="auto"/>
          </w:tcPr>
          <w:p>
            <w:pPr>
              <w:spacing w:after="0" w:line="240" w:lineRule="auto"/>
            </w:pPr>
            <w:r>
              <w:rPr>
                <w:b/>
              </w:rPr>
              <w:t xml:space="preserve">Kennzeichnung schematischer Geometrie</w:t>
            </w:r>
          </w:p>
        </w:tc>
        <w:tc>
          <w:tcPr>
            <w:tcW w:w="0" w:type="auto"/>
          </w:tcPr>
          <w:p>
            <w:pPr>
              <w:spacing w:after="0" w:line="240" w:lineRule="auto"/>
            </w:pPr>
            <w:r>
              <w:t xml:space="preserve">Auslieferungsauflage</w:t>
            </w:r>
          </w:p>
        </w:tc>
        <w:tc>
          <w:tcPr>
            <w:tcW w:w="0" w:type="auto"/>
          </w:tcPr>
          <w:p>
            <w:pPr>
              <w:spacing w:after="0" w:line="240" w:lineRule="auto"/>
            </w:pPr>
            <w:r>
              <w:t xml:space="preserve">in der Datei, im Beipackzettel und in der Oberfläche; eine exportierte Ersatzgeometrie darf nirgends als Vermessung erscheinen</w:t>
            </w:r>
          </w:p>
        </w:tc>
      </w:tr>
    </w:tbl>
    <w:p>
      <w:pPr>
        <w:spacing w:after="120"/>
      </w:pPr>
    </w:p>
    <w:p>
      <w:r>
        <w:rPr>
          <w:b/>
        </w:rPr>
        <w:t xml:space="preserve">Kein Export darf mehr behaupten, als er weiß.</w:t>
      </w:r>
      <w:r>
        <w:t xml:space="preserve"> Die synthetische Quadergeometrie und die schematischen Körper haben die richtige Bilanz und eine erfundene Gestalt. Eine Datei, die aussieht wie ein Gebäude, aber keines ist, ist gefährlicher als eine, die offensichtlich leer ist.</w:t>
      </w:r>
    </w:p>
    <w:p>
      <w:pPr>
        <w:pStyle w:val="Heading2"/>
      </w:pPr>
      <w:r>
        <w:t xml:space="preserve">7.3 Der Gebäudebetrachter auf der Exportgeometrie</w:t>
      </w:r>
    </w:p>
    <w:p>
      <w:r>
        <w:t xml:space="preserve">Entscheid E11 ändert an diesen Wegen die </w:t>
      </w:r>
      <w:r>
        <w:rPr>
          <w:b/>
        </w:rPr>
        <w:t xml:space="preserve">Herkunft</w:t>
      </w:r>
      <w:r>
        <w:t xml:space="preserve">, nicht den Inhalt: die Geometrie, die G7b und G7e schreiben, wird nicht mehr im Exporteur gerechnet. Sie entsteht </w:t>
      </w:r>
      <w:r>
        <w:rPr>
          <w:b/>
        </w:rPr>
        <w:t xml:space="preserve">einmal im Kern</w:t>
      </w:r>
      <w:r>
        <w:t xml:space="preserve"> als Zonengeometrie-Modell und wird von der Ansicht und von beiden Exporten gelesen.</w:t>
      </w:r>
    </w:p>
    <w:p>
      <w:pPr>
        <w:pStyle w:val="ListBullet"/>
        <w:numPr>
          <w:ilvl w:val="0"/>
          <w:numId w:val="6"/>
        </w:numPr>
      </w:pPr>
      <w:r>
        <w:rPr>
          <w:b/>
        </w:rPr>
        <w:t xml:space="preserve">Woher das Polygon kommt:</w:t>
      </w:r>
      <w:r>
        <w:t xml:space="preserve"> mit IFC aus den Raumgrenzen, deren Flächeninhalt ohne Geometriekernel zu rechnen ist, mit dem Geschoss aus der Bauwerksetage; ohne IFC als Rechteck aus Zonenfläche und Seitenverhältnis der Bauteilgruppen — h = V/A, l = A_NS/(2·h), b = A_OW/(2·h) —, samt Bruttoflächenregel, 10-%-Probe gegen die Nutzfläche und Rückfall auf das Quadrat; im Einzonenmodell ist das ein Quader je Gebäude.</w:t>
      </w:r>
    </w:p>
    <w:p>
      <w:pPr>
        <w:pStyle w:val="ListBullet"/>
        <w:numPr>
          <w:ilvl w:val="0"/>
          <w:numId w:val="6"/>
        </w:numPr>
      </w:pPr>
      <w:r>
        <w:rPr>
          <w:b/>
        </w:rPr>
        <w:t xml:space="preserve">G7b</w:t>
      </w:r>
      <w:r>
        <w:t xml:space="preserve"> liest Polygone und Höhen und schreibt sie als Polygongeometrie samt Hülle; die kantenschlüssige Regel von 1 mm und die benannte Ablehnung bei widersprüchlicher Anordnung greifen jetzt am Modell, nicht im Exporteur.</w:t>
      </w:r>
    </w:p>
    <w:p>
      <w:pPr>
        <w:pStyle w:val="ListBullet"/>
        <w:numPr>
          <w:ilvl w:val="0"/>
          <w:numId w:val="6"/>
        </w:numPr>
      </w:pPr>
      <w:r>
        <w:rPr>
          <w:b/>
        </w:rPr>
        <w:t xml:space="preserve">G7e</w:t>
      </w:r>
      <w:r>
        <w:t xml:space="preserve"> liest dasselbe Modell und schreibt Rechteckprofil, Extrusionskörper und Placement-Kette. </w:t>
      </w:r>
      <w:r>
        <w:rPr>
          <w:b/>
        </w:rPr>
        <w:t xml:space="preserve">Derselbe Grundriss, dieselbe Höhe, dieselbe Anordnung</w:t>
      </w:r>
      <w:r>
        <w:t xml:space="preserve"> wie in der Ansicht und im gbXML; ein Unterschied zwischen beiden Dateien ist damit ein Fehler, keine Auslegung.</w:t>
      </w:r>
    </w:p>
    <w:p>
      <w:pPr>
        <w:pStyle w:val="ListBullet"/>
        <w:numPr>
          <w:ilvl w:val="0"/>
          <w:numId w:val="6"/>
        </w:numPr>
      </w:pPr>
      <w:r>
        <w:rPr>
          <w:b/>
        </w:rPr>
        <w:t xml:space="preserve">Drei Abnahmeproben:</w:t>
      </w:r>
      <w:r>
        <w:t xml:space="preserve"> Determinismus der Geometrie (dieselbe Eingabe, dieselben Polygone auf 1e-6, byteweise gleiche Exporte — über das Modell, nicht über das Bild); Komponentenprobe der Ansicht; und „Ansicht und Datei zeigen dasselbe", gemessen </w:t>
      </w:r>
      <w:r>
        <w:rPr>
          <w:b/>
        </w:rPr>
        <w:t xml:space="preserve">gegen das Zonengeometrie-Modell</w:t>
      </w:r>
      <w:r>
        <w:t xml:space="preserve">, nicht gegeneinander.</w:t>
      </w:r>
    </w:p>
    <w:p>
      <w:r>
        <w:rPr>
          <w:b/>
        </w:rPr>
        <w:t xml:space="preserve">Einzelheiten:</w:t>
      </w:r>
      <w:r>
        <w:t xml:space="preserve"> </w:t>
      </w:r>
      <w:r>
        <w:rPr>
          <w:rFonts w:ascii="Consolas" w:hAnsi="Consolas" w:cs="Consolas"/>
          <w:noProof/>
          <w:sz w:val="20"/>
          <w:szCs w:val="20"/>
          <w:shd w:val="clear" w:color="auto" w:fill="EFEFEF"/>
        </w:rPr>
        <w:t xml:space="preserve">Dokumentation/aktuell/Konzept_Datenaustausch_gbXML_IFC_EPOS-Plan.md</w:t>
      </w:r>
      <w:r>
        <w:t xml:space="preserve"> (Kapitel 0, 2, 3, 5, 6, 7, 8, 10 und Nachtrag 1), </w:t>
      </w:r>
      <w:r>
        <w:rPr>
          <w:rFonts w:ascii="Consolas" w:hAnsi="Consolas" w:cs="Consolas"/>
          <w:noProof/>
          <w:sz w:val="20"/>
          <w:szCs w:val="20"/>
          <w:shd w:val="clear" w:color="auto" w:fill="EFEFEF"/>
        </w:rPr>
        <w:t xml:space="preserve">Dokumentation/aktuell/Umsetzungskonzept_Gebaeudesimulation_VDI6007_EPOS-Plan.md</w:t>
      </w:r>
      <w:r>
        <w:t xml:space="preserve"> (Kapitel 3) sowie die Befunde C, N, P, R und S unter </w:t>
      </w:r>
      <w:r>
        <w:rPr>
          <w:rFonts w:ascii="Consolas" w:hAnsi="Consolas" w:cs="Consolas"/>
          <w:noProof/>
          <w:sz w:val="20"/>
          <w:szCs w:val="20"/>
          <w:shd w:val="clear" w:color="auto" w:fill="EFEFEF"/>
        </w:rPr>
        <w:t xml:space="preserve">Dokumentation/aktuell/Gebaeudesimulation/</w:t>
      </w:r>
      <w:r>
        <w:t xml:space="preserve">.</w:t>
      </w:r>
    </w:p>
    <w:p>
      <w:pPr>
        <w:pStyle w:val="Trennlinie"/>
      </w:pPr>
    </w:p>
    <w:p>
      <w:pPr>
        <w:pStyle w:val="Heading1"/>
      </w:pPr>
      <w:r>
        <w:t xml:space="preserve">8 Mehrzonenmodell</w:t>
      </w:r>
    </w:p>
    <w:p>
      <w:pPr>
        <w:pStyle w:val="Heading2"/>
      </w:pPr>
      <w:r>
        <w:t xml:space="preserve">8.1 Zonenkopplung in fünf Sätzen</w:t>
      </w:r>
    </w:p>
    <w:p>
      <w:r>
        <w:rPr>
          <w:b/>
        </w:rPr>
        <w:t xml:space="preserve">Erstens:</w:t>
      </w:r>
      <w:r>
        <w:t xml:space="preserve"> Die Richtlinie kennt keine Zonenkopplung, sie kennt die </w:t>
      </w:r>
      <w:r>
        <w:rPr>
          <w:b/>
        </w:rPr>
        <w:t xml:space="preserve">Randbedingung</w:t>
      </w:r>
      <w:r>
        <w:t xml:space="preserve"> — die Zusammenfassung von Räumen zu Gebäudezonen ist ausdrücklich ausgenommen, geregelt ist allein der Nachbarraum, dessen Bauteile in die Außenbauteilgruppe gehören und dessen Lufttemperatur als äquivalente Temperatur eingeht und mit U·A gewichtet wird. </w:t>
      </w:r>
      <w:r>
        <w:rPr>
          <w:b/>
        </w:rPr>
        <w:t xml:space="preserve">Zweitens:</w:t>
      </w:r>
      <w:r>
        <w:t xml:space="preserve"> Ein Mehrzonenmodell ist deshalb eine </w:t>
      </w:r>
      <w:r>
        <w:rPr>
          <w:b/>
        </w:rPr>
        <w:t xml:space="preserve">EPOS-Erweiterung</w:t>
      </w:r>
      <w:r>
        <w:t xml:space="preserve"> wie Kusuda und Hay-Davies, und die Produktaussage bleibt „Rechenkern nach VDI 6007 Blatt 1" </w:t>
      </w:r>
      <w:r>
        <w:rPr>
          <w:b/>
        </w:rPr>
        <w:t xml:space="preserve">je Zone</w:t>
      </w:r>
      <w:r>
        <w:t xml:space="preserve">. </w:t>
      </w:r>
      <w:r>
        <w:rPr>
          <w:b/>
        </w:rPr>
        <w:t xml:space="preserve">Drittens:</w:t>
      </w:r>
      <w:r>
        <w:t xml:space="preserve"> Der Rechenweg ist keine zweite Physik, sondern eine zusätzliche Randbedingung — je Zone läuft das validierte Netz weiter, die Kopplung sitzt ausschließlich in der gewichteten äquivalenten Außentemperatur. </w:t>
      </w:r>
      <w:r>
        <w:rPr>
          <w:b/>
        </w:rPr>
        <w:t xml:space="preserve">Viertens:</w:t>
      </w:r>
      <w:r>
        <w:t xml:space="preserve"> Vorgeschlagen ist </w:t>
      </w:r>
      <w:r>
        <w:rPr>
          <w:b/>
        </w:rPr>
        <w:t xml:space="preserve">Gauß-Seidel innerhalb der Stunde</w:t>
      </w:r>
      <w:r>
        <w:t xml:space="preserve"> mit fester Reihenfolge, den Abbruchmaßen 0,01 K </w:t>
      </w:r>
      <w:r>
        <w:rPr>
          <w:b/>
        </w:rPr>
        <w:t xml:space="preserve">und 0,1 W</w:t>
      </w:r>
      <w:r>
        <w:t xml:space="preserve">, höchstens 50 Durchläufen und benanntem Fehler; das Regelungsmuster des ersten Durchlaufs einer Stunde wird festgehalten und jeder Wechsel gezählt. </w:t>
      </w:r>
      <w:r>
        <w:rPr>
          <w:b/>
        </w:rPr>
        <w:t xml:space="preserve">Fünftens:</w:t>
      </w:r>
      <w:r>
        <w:t xml:space="preserve"> Der Nachweis kommt aus Grenzfällen, weil es keinen Normtestfall für gekoppelte Zonen gibt — eine Zone </w:t>
      </w:r>
      <w:r>
        <w:rPr>
          <w:b/>
        </w:rPr>
        <w:t xml:space="preserve">bitgleich</w:t>
      </w:r>
      <w:r>
        <w:t xml:space="preserve"> zum Einzonenmodell desselben Programmstands als Gate, zwei identische Zonen ohne Austausch gleich zwei Einzonenmodellen, das exakte Gesamtsystem für zwei Zonen als Prüforakel, die Kopplung über die Vorstunde als Vergleichsrechnung.</w:t>
      </w:r>
    </w:p>
    <w:p>
      <w:r>
        <w:t xml:space="preserve">Der Strahlungsaustausch endet an der Zonengrenze; das ist ein Argument für </w:t>
      </w:r>
      <w:r>
        <w:rPr>
          <w:b/>
        </w:rPr>
        <w:t xml:space="preserve">große</w:t>
      </w:r>
      <w:r>
        <w:t xml:space="preserve"> Zonen, und die 4-K-Regel sowie die Mindestgröße einer Zone wirken in dieselbe Richtung.</w:t>
      </w:r>
    </w:p>
    <w:p>
      <w:pPr>
        <w:pStyle w:val="Heading2"/>
      </w:pPr>
      <w:r>
        <w:t xml:space="preserve">8.2 Datenmodell Zone → Bauteil → Aufbau → Schicht → Baustoff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Tabelle</w:t>
            </w:r>
          </w:p>
        </w:tc>
        <w:tc>
          <w:tcPr>
            <w:tcW w:w="0" w:type="auto"/>
            <w:shd w:val="clear" w:color="auto" w:fill="D9D9D9"/>
          </w:tcPr>
          <w:p>
            <w:pPr>
              <w:spacing w:after="0" w:line="240" w:lineRule="auto"/>
              <w:rPr>
                <w:b/>
              </w:rPr>
            </w:pPr>
            <w:r>
              <w:rPr>
                <w:b/>
              </w:rPr>
              <w:t xml:space="preserve">Bauform</w:t>
            </w:r>
          </w:p>
        </w:tc>
        <w:tc>
          <w:tcPr>
            <w:tcW w:w="0" w:type="auto"/>
            <w:shd w:val="clear" w:color="auto" w:fill="D9D9D9"/>
          </w:tcPr>
          <w:p>
            <w:pPr>
              <w:spacing w:after="0" w:line="240" w:lineRule="auto"/>
              <w:rPr>
                <w:b/>
              </w:rPr>
            </w:pPr>
            <w:r>
              <w:rPr>
                <w:b/>
              </w:rPr>
              <w:t xml:space="preserve">Kennzeichnende Spalten</w:t>
            </w:r>
          </w:p>
        </w:tc>
      </w:tr>
      <w:tr>
        <w:tc>
          <w:tcPr>
            <w:tcW w:w="0" w:type="auto"/>
          </w:tcPr>
          <w:p>
            <w:pPr>
              <w:spacing w:after="0" w:line="240" w:lineRule="auto"/>
            </w:pPr>
            <w:r>
              <w:rPr>
                <w:rFonts w:ascii="Consolas" w:hAnsi="Consolas" w:cs="Consolas"/>
                <w:noProof/>
                <w:sz w:val="20"/>
                <w:szCs w:val="20"/>
                <w:shd w:val="clear" w:color="auto" w:fill="EFEFEF"/>
              </w:rPr>
              <w:t xml:space="preserve">Tab_Zone</w:t>
            </w:r>
          </w:p>
        </w:tc>
        <w:tc>
          <w:tcPr>
            <w:tcW w:w="0" w:type="auto"/>
          </w:tcPr>
          <w:p>
            <w:pPr>
              <w:spacing w:after="0" w:line="240" w:lineRule="auto"/>
            </w:pPr>
            <w:r>
              <w:t xml:space="preserve">geordnete Kindliste an </w:t>
            </w:r>
            <w:r>
              <w:rPr>
                <w:rFonts w:ascii="Consolas" w:hAnsi="Consolas" w:cs="Consolas"/>
                <w:noProof/>
                <w:sz w:val="20"/>
                <w:szCs w:val="20"/>
                <w:shd w:val="clear" w:color="auto" w:fill="EFEFEF"/>
              </w:rPr>
              <w:t xml:space="preserve">Tab_Gebaeude</w:t>
            </w:r>
            <w:r>
              <w:t xml:space="preserve">, </w:t>
            </w:r>
            <w:r>
              <w:rPr>
                <w:b/>
              </w:rPr>
              <w:t xml:space="preserve">kein</w:t>
            </w:r>
            <w:r>
              <w:t xml:space="preserve"> Katalogzwilling — eine Zone ist Projektware</w:t>
            </w:r>
          </w:p>
        </w:tc>
        <w:tc>
          <w:tcPr>
            <w:tcW w:w="0" w:type="auto"/>
          </w:tcPr>
          <w:p>
            <w:pPr>
              <w:spacing w:after="0" w:line="240" w:lineRule="auto"/>
            </w:pPr>
            <w:r>
              <w:rPr>
                <w:rFonts w:ascii="Consolas" w:hAnsi="Consolas" w:cs="Consolas"/>
                <w:noProof/>
                <w:sz w:val="20"/>
                <w:szCs w:val="20"/>
                <w:shd w:val="clear" w:color="auto" w:fill="EFEFEF"/>
              </w:rPr>
              <w:t xml:space="preserve">Rang</w:t>
            </w:r>
            <w:r>
              <w:t xml:space="preserve"> lückenlos ab 1 (zugleich die Iterationsreihenfolge), </w:t>
            </w:r>
            <w:r>
              <w:rPr>
                <w:rFonts w:ascii="Consolas" w:hAnsi="Consolas" w:cs="Consolas"/>
                <w:noProof/>
                <w:sz w:val="20"/>
                <w:szCs w:val="20"/>
                <w:shd w:val="clear" w:color="auto" w:fill="EFEFEF"/>
              </w:rPr>
              <w:t xml:space="preserve">Bezeichner</w:t>
            </w:r>
            <w:r>
              <w:t xml:space="preserve">, </w:t>
            </w:r>
            <w:r>
              <w:rPr>
                <w:rFonts w:ascii="Consolas" w:hAnsi="Consolas" w:cs="Consolas"/>
                <w:noProof/>
                <w:sz w:val="20"/>
                <w:szCs w:val="20"/>
                <w:shd w:val="clear" w:color="auto" w:fill="EFEFEF"/>
              </w:rPr>
              <w:t xml:space="preserve">Nutzflaeche</w:t>
            </w:r>
            <w:r>
              <w:t xml:space="preserve">/</w:t>
            </w:r>
            <w:r>
              <w:rPr>
                <w:rFonts w:ascii="Consolas" w:hAnsi="Consolas" w:cs="Consolas"/>
                <w:noProof/>
                <w:sz w:val="20"/>
                <w:szCs w:val="20"/>
                <w:shd w:val="clear" w:color="auto" w:fill="EFEFEF"/>
              </w:rPr>
              <w:t xml:space="preserve">Raumhoehe</w:t>
            </w:r>
            <w:r>
              <w:t xml:space="preserve">/</w:t>
            </w:r>
            <w:r>
              <w:rPr>
                <w:rFonts w:ascii="Consolas" w:hAnsi="Consolas" w:cs="Consolas"/>
                <w:noProof/>
                <w:sz w:val="20"/>
                <w:szCs w:val="20"/>
                <w:shd w:val="clear" w:color="auto" w:fill="EFEFEF"/>
              </w:rPr>
              <w:t xml:space="preserve">Volumen</w:t>
            </w:r>
            <w:r>
              <w:t xml:space="preserve"> (NULL = abgeleitet), </w:t>
            </w:r>
            <w:r>
              <w:rPr>
                <w:rFonts w:ascii="Consolas" w:hAnsi="Consolas" w:cs="Consolas"/>
                <w:noProof/>
                <w:sz w:val="20"/>
                <w:szCs w:val="20"/>
                <w:shd w:val="clear" w:color="auto" w:fill="EFEFEF"/>
              </w:rPr>
              <w:t xml:space="preserve">IstBeheizt</w:t>
            </w:r>
            <w:r>
              <w:t xml:space="preserve"> als Schalter, alle Sollwerte und Luftwechsel als NULL = Wert des Gebäudes, </w:t>
            </w:r>
            <w:r>
              <w:rPr>
                <w:rFonts w:ascii="Consolas" w:hAnsi="Consolas" w:cs="Consolas"/>
                <w:noProof/>
                <w:sz w:val="20"/>
                <w:szCs w:val="20"/>
                <w:shd w:val="clear" w:color="auto" w:fill="EFEFEF"/>
              </w:rPr>
              <w:t xml:space="preserve">Herkunft</w:t>
            </w:r>
            <w:r>
              <w:t xml:space="preserve"> und </w:t>
            </w:r>
            <w:r>
              <w:rPr>
                <w:rFonts w:ascii="Consolas" w:hAnsi="Consolas" w:cs="Consolas"/>
                <w:noProof/>
                <w:sz w:val="20"/>
                <w:szCs w:val="20"/>
                <w:shd w:val="clear" w:color="auto" w:fill="EFEFEF"/>
              </w:rPr>
              <w:t xml:space="preserve">Quellkennung</w:t>
            </w:r>
          </w:p>
        </w:tc>
      </w:tr>
      <w:tr>
        <w:tc>
          <w:tcPr>
            <w:tcW w:w="0" w:type="auto"/>
          </w:tcPr>
          <w:p>
            <w:pPr>
              <w:spacing w:after="0" w:line="240" w:lineRule="auto"/>
            </w:pPr>
            <w:r>
              <w:rPr>
                <w:rFonts w:ascii="Consolas" w:hAnsi="Consolas" w:cs="Consolas"/>
                <w:noProof/>
                <w:sz w:val="20"/>
                <w:szCs w:val="20"/>
                <w:shd w:val="clear" w:color="auto" w:fill="EFEFEF"/>
              </w:rPr>
              <w:t xml:space="preserve">Tab_Bauteil</w:t>
            </w:r>
          </w:p>
        </w:tc>
        <w:tc>
          <w:tcPr>
            <w:tcW w:w="0" w:type="auto"/>
          </w:tcPr>
          <w:p>
            <w:pPr>
              <w:spacing w:after="0" w:line="240" w:lineRule="auto"/>
            </w:pPr>
            <w:r>
              <w:t xml:space="preserve">geordnete Kindliste an </w:t>
            </w:r>
            <w:r>
              <w:rPr>
                <w:rFonts w:ascii="Consolas" w:hAnsi="Consolas" w:cs="Consolas"/>
                <w:noProof/>
                <w:sz w:val="20"/>
                <w:szCs w:val="20"/>
                <w:shd w:val="clear" w:color="auto" w:fill="EFEFEF"/>
              </w:rPr>
              <w:t xml:space="preserve">Tab_Zone</w:t>
            </w:r>
            <w:r>
              <w:t xml:space="preserve"> — </w:t>
            </w:r>
            <w:r>
              <w:rPr>
                <w:b/>
              </w:rPr>
              <w:t xml:space="preserve">nicht</w:t>
            </w:r>
            <w:r>
              <w:t xml:space="preserve"> am Gebäude, damit die Abfragen im Einzonenfall gleich bleiben</w:t>
            </w:r>
          </w:p>
        </w:tc>
        <w:tc>
          <w:tcPr>
            <w:tcW w:w="0" w:type="auto"/>
          </w:tcPr>
          <w:p>
            <w:pPr>
              <w:spacing w:after="0" w:line="240" w:lineRule="auto"/>
            </w:pPr>
            <w:r>
              <w:rPr>
                <w:rFonts w:ascii="Consolas" w:hAnsi="Consolas" w:cs="Consolas"/>
                <w:noProof/>
                <w:sz w:val="20"/>
                <w:szCs w:val="20"/>
                <w:shd w:val="clear" w:color="auto" w:fill="EFEFEF"/>
              </w:rPr>
              <w:t xml:space="preserve">Bauteilart</w:t>
            </w:r>
            <w:r>
              <w:t xml:space="preserve"> mit neun geprüften Werten, </w:t>
            </w:r>
            <w:r>
              <w:rPr>
                <w:rFonts w:ascii="Consolas" w:hAnsi="Consolas" w:cs="Consolas"/>
                <w:noProof/>
                <w:sz w:val="20"/>
                <w:szCs w:val="20"/>
                <w:shd w:val="clear" w:color="auto" w:fill="EFEFEF"/>
              </w:rPr>
              <w:t xml:space="preserve">Flaeche</w:t>
            </w:r>
            <w:r>
              <w:t xml:space="preserve">, </w:t>
            </w:r>
            <w:r>
              <w:rPr>
                <w:rFonts w:ascii="Consolas" w:hAnsi="Consolas" w:cs="Consolas"/>
                <w:noProof/>
                <w:sz w:val="20"/>
                <w:szCs w:val="20"/>
                <w:shd w:val="clear" w:color="auto" w:fill="EFEFEF"/>
              </w:rPr>
              <w:t xml:space="preserve">U_Wert</w:t>
            </w:r>
            <w:r>
              <w:t xml:space="preserve"> (NULL = aus dem Aufbau), </w:t>
            </w:r>
            <w:r>
              <w:rPr>
                <w:rFonts w:ascii="Consolas" w:hAnsi="Consolas" w:cs="Consolas"/>
                <w:noProof/>
                <w:sz w:val="20"/>
                <w:szCs w:val="20"/>
                <w:shd w:val="clear" w:color="auto" w:fill="EFEFEF"/>
              </w:rPr>
              <w:t xml:space="preserve">g_Wert</w:t>
            </w:r>
            <w:r>
              <w:t xml:space="preserve">/</w:t>
            </w:r>
            <w:r>
              <w:rPr>
                <w:rFonts w:ascii="Consolas" w:hAnsi="Consolas" w:cs="Consolas"/>
                <w:noProof/>
                <w:sz w:val="20"/>
                <w:szCs w:val="20"/>
                <w:shd w:val="clear" w:color="auto" w:fill="EFEFEF"/>
              </w:rPr>
              <w:t xml:space="preserve">Rahmenanteil</w:t>
            </w:r>
            <w:r>
              <w:t xml:space="preserve">/</w:t>
            </w:r>
            <w:r>
              <w:rPr>
                <w:rFonts w:ascii="Consolas" w:hAnsi="Consolas" w:cs="Consolas"/>
                <w:noProof/>
                <w:sz w:val="20"/>
                <w:szCs w:val="20"/>
                <w:shd w:val="clear" w:color="auto" w:fill="EFEFEF"/>
              </w:rPr>
              <w:t xml:space="preserve">Verschattungsfaktor</w:t>
            </w:r>
            <w:r>
              <w:t xml:space="preserve"> nur für Fenster, </w:t>
            </w:r>
            <w:r>
              <w:rPr>
                <w:rFonts w:ascii="Consolas" w:hAnsi="Consolas" w:cs="Consolas"/>
                <w:noProof/>
                <w:sz w:val="20"/>
                <w:szCs w:val="20"/>
                <w:shd w:val="clear" w:color="auto" w:fill="EFEFEF"/>
              </w:rPr>
              <w:t xml:space="preserve">Neigung</w:t>
            </w:r>
            <w:r>
              <w:t xml:space="preserve"> (NULL = nach Bauteilart), </w:t>
            </w:r>
            <w:r>
              <w:rPr>
                <w:rFonts w:ascii="Consolas" w:hAnsi="Consolas" w:cs="Consolas"/>
                <w:noProof/>
                <w:sz w:val="20"/>
                <w:szCs w:val="20"/>
                <w:shd w:val="clear" w:color="auto" w:fill="EFEFEF"/>
              </w:rPr>
              <w:t xml:space="preserve">Azimut</w:t>
            </w:r>
            <w:r>
              <w:t xml:space="preserve"> — </w:t>
            </w:r>
            <w:r>
              <w:rPr>
                <w:b/>
              </w:rPr>
              <w:t xml:space="preserve">NULL nur bei waagerechten Bauteilen zulässig</w:t>
            </w:r>
            <w:r>
              <w:t xml:space="preserve">, eine Wand ohne Azimut wird benannt abgelehnt, nicht auf Nord vorbelegt —, </w:t>
            </w:r>
            <w:r>
              <w:rPr>
                <w:rFonts w:ascii="Consolas" w:hAnsi="Consolas" w:cs="Consolas"/>
                <w:noProof/>
                <w:sz w:val="20"/>
                <w:szCs w:val="20"/>
                <w:shd w:val="clear" w:color="auto" w:fill="EFEFEF"/>
              </w:rPr>
              <w:t xml:space="preserve">Randbedingung</w:t>
            </w:r>
            <w:r>
              <w:t xml:space="preserve">, </w:t>
            </w:r>
            <w:r>
              <w:rPr>
                <w:rFonts w:ascii="Consolas" w:hAnsi="Consolas" w:cs="Consolas"/>
                <w:noProof/>
                <w:sz w:val="20"/>
                <w:szCs w:val="20"/>
                <w:shd w:val="clear" w:color="auto" w:fill="EFEFEF"/>
              </w:rPr>
              <w:t xml:space="preserve">ID_Nachbarzone</w:t>
            </w:r>
            <w:r>
              <w:t xml:space="preserve">, ψ·L</w:t>
            </w:r>
          </w:p>
        </w:tc>
      </w:tr>
      <w:tr>
        <w:tc>
          <w:tcPr>
            <w:tcW w:w="0" w:type="auto"/>
          </w:tcPr>
          <w:p>
            <w:pPr>
              <w:spacing w:after="0" w:line="240" w:lineRule="auto"/>
            </w:pPr>
            <w:r>
              <w:rPr>
                <w:rFonts w:ascii="Consolas" w:hAnsi="Consolas" w:cs="Consolas"/>
                <w:noProof/>
                <w:sz w:val="20"/>
                <w:szCs w:val="20"/>
                <w:shd w:val="clear" w:color="auto" w:fill="EFEFEF"/>
              </w:rPr>
              <w:t xml:space="preserve">Tab_Bauteilaufbau</w:t>
            </w:r>
            <w:r>
              <w:t xml:space="preserve"> und Zwilling</w:t>
            </w:r>
          </w:p>
        </w:tc>
        <w:tc>
          <w:tcPr>
            <w:tcW w:w="0" w:type="auto"/>
          </w:tcPr>
          <w:p>
            <w:pPr>
              <w:spacing w:after="0" w:line="240" w:lineRule="auto"/>
            </w:pPr>
            <w:r>
              <w:t xml:space="preserve">der wiederverwendbare Schichtaufbau</w:t>
            </w:r>
          </w:p>
        </w:tc>
        <w:tc>
          <w:tcPr>
            <w:tcW w:w="0" w:type="auto"/>
          </w:tcPr>
          <w:p>
            <w:pPr>
              <w:spacing w:after="0" w:line="240" w:lineRule="auto"/>
            </w:pPr>
            <w:r>
              <w:t xml:space="preserve">Bezeichner, Beschreibung, Bauteilart, Quelle, Herkunft</w:t>
            </w:r>
          </w:p>
        </w:tc>
      </w:tr>
      <w:tr>
        <w:tc>
          <w:tcPr>
            <w:tcW w:w="0" w:type="auto"/>
          </w:tcPr>
          <w:p>
            <w:pPr>
              <w:spacing w:after="0" w:line="240" w:lineRule="auto"/>
            </w:pPr>
            <w:r>
              <w:rPr>
                <w:rFonts w:ascii="Consolas" w:hAnsi="Consolas" w:cs="Consolas"/>
                <w:noProof/>
                <w:sz w:val="20"/>
                <w:szCs w:val="20"/>
                <w:shd w:val="clear" w:color="auto" w:fill="EFEFEF"/>
              </w:rPr>
              <w:t xml:space="preserve">Tab_Bauteilschicht</w:t>
            </w:r>
            <w:r>
              <w:t xml:space="preserve"> und Zwilling</w:t>
            </w:r>
          </w:p>
        </w:tc>
        <w:tc>
          <w:tcPr>
            <w:tcW w:w="0" w:type="auto"/>
          </w:tcPr>
          <w:p>
            <w:pPr>
              <w:spacing w:after="0" w:line="240" w:lineRule="auto"/>
            </w:pPr>
            <w:r>
              <w:t xml:space="preserve">Kindliste am Aufbau</w:t>
            </w:r>
          </w:p>
        </w:tc>
        <w:tc>
          <w:tcPr>
            <w:tcW w:w="0" w:type="auto"/>
          </w:tcPr>
          <w:p>
            <w:pPr>
              <w:spacing w:after="0" w:line="240" w:lineRule="auto"/>
            </w:pPr>
            <w:r>
              <w:rPr>
                <w:rFonts w:ascii="Consolas" w:hAnsi="Consolas" w:cs="Consolas"/>
                <w:noProof/>
                <w:sz w:val="20"/>
                <w:szCs w:val="20"/>
                <w:shd w:val="clear" w:color="auto" w:fill="EFEFEF"/>
              </w:rPr>
              <w:t xml:space="preserve">Reihenfolge</w:t>
            </w:r>
            <w:r>
              <w:t xml:space="preserve"> </w:t>
            </w:r>
            <w:r>
              <w:rPr>
                <w:b/>
              </w:rPr>
              <w:t xml:space="preserve">innen nach außen</w:t>
            </w:r>
            <w:r>
              <w:t xml:space="preserve"> ab 1, </w:t>
            </w:r>
            <w:r>
              <w:rPr>
                <w:rFonts w:ascii="Consolas" w:hAnsi="Consolas" w:cs="Consolas"/>
                <w:noProof/>
                <w:sz w:val="20"/>
                <w:szCs w:val="20"/>
                <w:shd w:val="clear" w:color="auto" w:fill="EFEFEF"/>
              </w:rPr>
              <w:t xml:space="preserve">Dicke</w:t>
            </w:r>
            <w:r>
              <w:t xml:space="preserve">, </w:t>
            </w:r>
            <w:r>
              <w:rPr>
                <w:rFonts w:ascii="Consolas" w:hAnsi="Consolas" w:cs="Consolas"/>
                <w:noProof/>
                <w:sz w:val="20"/>
                <w:szCs w:val="20"/>
                <w:shd w:val="clear" w:color="auto" w:fill="EFEFEF"/>
              </w:rPr>
              <w:t xml:space="preserve">IstLuftschicht</w:t>
            </w:r>
            <w:r>
              <w:t xml:space="preserve">, und λ, ρ, c als </w:t>
            </w:r>
            <w:r>
              <w:rPr>
                <w:b/>
              </w:rPr>
              <w:t xml:space="preserve">Kopie der Stoffwerte zum Zeitpunkt der Zuordnung</w:t>
            </w:r>
            <w:r>
              <w:t xml:space="preserve">, damit eine späte Katalogänderung kein gerechnetes Ergebnis rückwirkend verschiebt</w:t>
            </w:r>
          </w:p>
        </w:tc>
      </w:tr>
      <w:tr>
        <w:tc>
          <w:tcPr>
            <w:tcW w:w="0" w:type="auto"/>
          </w:tcPr>
          <w:p>
            <w:pPr>
              <w:spacing w:after="0" w:line="240" w:lineRule="auto"/>
            </w:pPr>
            <w:r>
              <w:rPr>
                <w:rFonts w:ascii="Consolas" w:hAnsi="Consolas" w:cs="Consolas"/>
                <w:noProof/>
                <w:sz w:val="20"/>
                <w:szCs w:val="20"/>
                <w:shd w:val="clear" w:color="auto" w:fill="EFEFEF"/>
              </w:rPr>
              <w:t xml:space="preserve">Tab_Baustoff</w:t>
            </w:r>
            <w:r>
              <w:t xml:space="preserve"> und Zwilling</w:t>
            </w:r>
          </w:p>
        </w:tc>
        <w:tc>
          <w:tcPr>
            <w:tcW w:w="0" w:type="auto"/>
          </w:tcPr>
          <w:p>
            <w:pPr>
              <w:spacing w:after="0" w:line="240" w:lineRule="auto"/>
            </w:pPr>
            <w:r>
              <w:t xml:space="preserve">spaltengleich, weil eine Spalte auf nur einer Seite beim Kopieren sofort Datenverlust wäre</w:t>
            </w:r>
          </w:p>
        </w:tc>
        <w:tc>
          <w:tcPr>
            <w:tcW w:w="0" w:type="auto"/>
          </w:tcPr>
          <w:p>
            <w:pPr>
              <w:spacing w:after="0" w:line="240" w:lineRule="auto"/>
            </w:pPr>
            <w:r>
              <w:t xml:space="preserve">Bezeichner, Gruppe, λ, ρ, c, Quelle, Herkunft; Saat rund 60 Stoffe nach DIN 4108-4 und ISO 10456</w:t>
            </w:r>
          </w:p>
        </w:tc>
      </w:tr>
      <w:tr>
        <w:tc>
          <w:tcPr>
            <w:tcW w:w="0" w:type="auto"/>
          </w:tcPr>
          <w:p>
            <w:pPr>
              <w:spacing w:after="0" w:line="240" w:lineRule="auto"/>
            </w:pPr>
            <w:r>
              <w:rPr>
                <w:rFonts w:ascii="Consolas" w:hAnsi="Consolas" w:cs="Consolas"/>
                <w:noProof/>
                <w:sz w:val="20"/>
                <w:szCs w:val="20"/>
                <w:shd w:val="clear" w:color="auto" w:fill="EFEFEF"/>
              </w:rPr>
              <w:t xml:space="preserve">Tab_Zonenluftstrom</w:t>
            </w:r>
          </w:p>
        </w:tc>
        <w:tc>
          <w:tcPr>
            <w:tcW w:w="0" w:type="auto"/>
          </w:tcPr>
          <w:p>
            <w:pPr>
              <w:spacing w:after="0" w:line="240" w:lineRule="auto"/>
            </w:pPr>
            <w:r>
              <w:t xml:space="preserve">Paartabelle</w:t>
            </w:r>
          </w:p>
        </w:tc>
        <w:tc>
          <w:tcPr>
            <w:tcW w:w="0" w:type="auto"/>
          </w:tcPr>
          <w:p>
            <w:pPr>
              <w:spacing w:after="0" w:line="240" w:lineRule="auto"/>
            </w:pPr>
            <w:r>
              <w:rPr>
                <w:rFonts w:ascii="Consolas" w:hAnsi="Consolas" w:cs="Consolas"/>
                <w:noProof/>
                <w:sz w:val="20"/>
                <w:szCs w:val="20"/>
                <w:shd w:val="clear" w:color="auto" w:fill="EFEFEF"/>
              </w:rPr>
              <w:t xml:space="preserve">CHECK (ID_ZoneA &lt; ID_ZoneB)</w:t>
            </w:r>
            <w:r>
              <w:t xml:space="preserve"> normiert die Richtung, ein eindeutiger Index erzwingt </w:t>
            </w:r>
            <w:r>
              <w:rPr>
                <w:b/>
              </w:rPr>
              <w:t xml:space="preserve">eine</w:t>
            </w:r>
            <w:r>
              <w:t xml:space="preserve"> Zeile je Paar — erst beides zusammen trägt die Massenbilanz von selbst</w:t>
            </w:r>
          </w:p>
        </w:tc>
      </w:tr>
    </w:tbl>
    <w:p>
      <w:pPr>
        <w:spacing w:after="120"/>
      </w:pPr>
    </w:p>
    <w:p>
      <w:r>
        <w:rPr>
          <w:b/>
        </w:rPr>
        <w:t xml:space="preserve">Ein Gebäude ohne Zone bleibt ein Gebäude ohne Zone:</w:t>
      </w:r>
      <w:r>
        <w:t xml:space="preserve"> eine leere Zonentabelle heißt, der Klassenweg rechnet wie bisher. Zonen entstehen erst nach ausdrücklicher Übernahme, nie implizit. Der Keller ist im Mehrzonenmodell eine </w:t>
      </w:r>
      <w:r>
        <w:rPr>
          <w:b/>
        </w:rPr>
        <w:t xml:space="preserve">unbeheizte Zone</w:t>
      </w:r>
      <w:r>
        <w:t xml:space="preserve">, nicht eine Randbedingung; unbeheizte Zonen bekommen eigene Zeilen im Ergebnis — sie tragen keine Heizlast, aber Temperatur und Überhitzungsstunden, und das ist der fachliche Gewinn.</w:t>
      </w:r>
    </w:p>
    <w:p>
      <w:pPr>
        <w:pStyle w:val="Heading2"/>
      </w:pPr>
      <w:r>
        <w:t xml:space="preserve">8.3 Import in Zonen</w:t>
      </w:r>
    </w:p>
    <w:p>
      <w:r>
        <w:rPr>
          <w:b/>
        </w:rPr>
        <w:t xml:space="preserve">Die Zonentopologie steht nicht in der IFC-Datei.</w:t>
      </w:r>
      <w:r>
        <w:t xml:space="preserve"> In keiner der vier gemessenen Dateien steht eine Zonenentität; für die zweite in Frage kommende Entität steht die Messung aus und ist vor G6c nachzuholen. EPOS-Plan </w:t>
      </w:r>
      <w:r>
        <w:rPr>
          <w:b/>
        </w:rPr>
        <w:t xml:space="preserve">schlägt</w:t>
      </w:r>
      <w:r>
        <w:t xml:space="preserve"> die Zonierung deshalb vor — fünf Regeln mit der Vorbelegung „je Geschoss", Rückfall „alles in eine Zone" — und lässt bestätigen. Flächen, Nachbarschaft und Randbedingung dagegen sind belegt gewinnbar: 100 % der gemessenen Grenzflächen ergaben einen Polygonflächeninhalt ohne Geometriekernel, und die Paarung der Grenzflächen war überall dort lückenlos, wo echte Zweitstufen-Entitäten stehen.</w:t>
      </w:r>
    </w:p>
    <w:p>
      <w:r>
        <w:rPr>
          <w:b/>
        </w:rPr>
        <w:t xml:space="preserve">Die Stoffwerte sind der schwarze Fleck.</w:t>
      </w:r>
      <w:r>
        <w:t xml:space="preserve"> Kein einziger opaker Baustoff der vier Dateien trägt brauchbare λ, ρ und c; zwei Dateien schreiben den thermischen Eigenschaftssatz </w:t>
      </w:r>
      <w:r>
        <w:rPr>
          <w:b/>
        </w:rPr>
        <w:t xml:space="preserve">mit Nullen</w:t>
      </w:r>
      <w:r>
        <w:t xml:space="preserve">. Deshalb ist der </w:t>
      </w:r>
      <w:r>
        <w:rPr>
          <w:b/>
        </w:rPr>
        <w:t xml:space="preserve">Namensabgleich gegen den EPOS-Baustoffkatalog der Regelweg, nicht der Notweg</w:t>
      </w:r>
      <w:r>
        <w:t xml:space="preserve"> — mit Plausibilitätsband („≤ 0 ist kein Wert"), siebenstufiger Abgleichkette, zweisprachiger Synonymtabelle in der Auslieferung und Anwenderzuordnung im Dialog.</w:t>
      </w:r>
    </w:p>
    <w:p>
      <w:r>
        <w:t xml:space="preserve">Weitere Festlegungen des Imports: das </w:t>
      </w:r>
      <w:r>
        <w:rPr>
          <w:b/>
        </w:rPr>
        <w:t xml:space="preserve">Raumseitenmaß</w:t>
      </w:r>
      <w:r>
        <w:t xml:space="preserve"> wird durchgehalten und im Dialog benannt; die </w:t>
      </w:r>
      <w:r>
        <w:rPr>
          <w:b/>
        </w:rPr>
        <w:t xml:space="preserve">4-K-Regel</w:t>
      </w:r>
      <w:r>
        <w:t xml:space="preserve"> gilt als Vorgabe mit Übersteuerung je Trennfläche, gemessen an den gerechneten Raumkonditionen eines adiabaten Vorlaufs und nicht an den Sollwerten, und die Zuordnung fällt </w:t>
      </w:r>
      <w:r>
        <w:rPr>
          <w:b/>
        </w:rPr>
        <w:t xml:space="preserve">einmal vor dem Lauf</w:t>
      </w:r>
      <w:r>
        <w:t xml:space="preserve">, nie während; die </w:t>
      </w:r>
      <w:r>
        <w:rPr>
          <w:b/>
        </w:rPr>
        <w:t xml:space="preserve">Mindestgröße</w:t>
      </w:r>
      <w:r>
        <w:t xml:space="preserve"> einer Zone ist das Größere aus 2 m² und 2 %, mit Zuschlag zum Nachbarn mit der größten gemeinsamen Grenzfläche — ohne sie entstünden aus einer der Messdateien 78 Zonen; die Schichtrichtung folgt dem Richtungssinn der Grenzfläche und ihrer Normale; und der Fensterabzug wird selbst gerechnet, weil das Modell Wand und Fenster getrennt mit je eigenem U-Wert führt.</w:t>
      </w:r>
    </w:p>
    <w:p>
      <w:pPr>
        <w:pStyle w:val="Heading2"/>
      </w:pPr>
      <w:r>
        <w:t xml:space="preserve">8.4 Stufen G6a bis G6d</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Aufwand</w:t>
            </w:r>
          </w:p>
        </w:tc>
      </w:tr>
      <w:tr>
        <w:tc>
          <w:tcPr>
            <w:tcW w:w="0" w:type="auto"/>
          </w:tcPr>
          <w:p>
            <w:pPr>
              <w:spacing w:after="0" w:line="240" w:lineRule="auto"/>
            </w:pPr>
            <w:r>
              <w:rPr>
                <w:b/>
              </w:rPr>
              <w:t xml:space="preserve">G6a — Datenmodell und Pflege</w:t>
            </w:r>
          </w:p>
        </w:tc>
        <w:tc>
          <w:tcPr>
            <w:tcW w:w="0" w:type="auto"/>
          </w:tcPr>
          <w:p>
            <w:pPr>
              <w:spacing w:after="0" w:line="240" w:lineRule="auto"/>
            </w:pPr>
            <w:r>
              <w:t xml:space="preserve">Schemaschritte S-A bis S-D samt Schema-Klassen und Testdatenbankwerkzeug; Zonen-, Aufbau- und Luftstromtabellen; Baustoffsaat; Baustoff- </w:t>
            </w:r>
            <w:r>
              <w:rPr>
                <w:b/>
              </w:rPr>
              <w:t xml:space="preserve">und</w:t>
            </w:r>
            <w:r>
              <w:t xml:space="preserve"> Aufbaukatalog in der Administration; Aufbau- und Schichteditor mit Summenfuß; Controller und Kopierwege; Bericht-Zonentabelle</w:t>
            </w:r>
          </w:p>
        </w:tc>
        <w:tc>
          <w:tcPr>
            <w:tcW w:w="0" w:type="auto"/>
          </w:tcPr>
          <w:p>
            <w:pPr>
              <w:spacing w:after="0" w:line="240" w:lineRule="auto"/>
            </w:pPr>
            <w:r>
              <w:t xml:space="preserve">Migrationstests grün, Auslieferungsvorlage grün (Katalog nicht leer), Referenzlauf </w:t>
            </w:r>
            <w:r>
              <w:rPr>
                <w:b/>
              </w:rPr>
              <w:t xml:space="preserve">byte-gleich</w:t>
            </w:r>
            <w:r>
              <w:t xml:space="preserve">, SQL-Dialekt-Prüfer grün</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G6b — Zoneneingabe und Rechenweg</w:t>
            </w:r>
          </w:p>
        </w:tc>
        <w:tc>
          <w:tcPr>
            <w:tcW w:w="0" w:type="auto"/>
          </w:tcPr>
          <w:p>
            <w:pPr>
              <w:spacing w:after="0" w:line="240" w:lineRule="auto"/>
            </w:pPr>
            <w:r>
              <w:t xml:space="preserve">Zonenreiter, Zonendialog, Bauteilliste, Bauteildialog, Hülle; die Zonenschleife in der einen Methode; Gruppenbildung mit adiabatem Vorlauf für die 4-K-Regel; Nachbarraum-Randbedingung samt Gewichtung mit Summe 1; Gauß-Seidel; unbeheizte Zonen; Konsistenzprüfungen; zwölf Proben</w:t>
            </w:r>
          </w:p>
        </w:tc>
        <w:tc>
          <w:tcPr>
            <w:tcW w:w="0" w:type="auto"/>
          </w:tcPr>
          <w:p>
            <w:pPr>
              <w:spacing w:after="0" w:line="240" w:lineRule="auto"/>
            </w:pPr>
            <w:r>
              <w:t xml:space="preserve">Testbeispiel 10 im Normband, die Probe „eine Zone bitgleich zum Stand nach G3" ist </w:t>
            </w:r>
            <w:r>
              <w:rPr>
                <w:b/>
              </w:rPr>
              <w:t xml:space="preserve">Gate</w:t>
            </w:r>
            <w:r>
              <w:t xml:space="preserve">, Laufzeit an einem echten Mehrzonengebäude </w:t>
            </w:r>
            <w:r>
              <w:rPr>
                <w:b/>
              </w:rPr>
              <w:t xml:space="preserve">gemessen</w:t>
            </w:r>
          </w:p>
        </w:tc>
        <w:tc>
          <w:tcPr>
            <w:tcW w:w="0" w:type="auto"/>
          </w:tcPr>
          <w:p>
            <w:pPr>
              <w:spacing w:after="0" w:line="240" w:lineRule="auto"/>
            </w:pPr>
            <w:r>
              <w:rPr>
                <w:b/>
              </w:rPr>
              <w:t xml:space="preserve">12–18 PT</w:t>
            </w:r>
          </w:p>
        </w:tc>
      </w:tr>
      <w:tr>
        <w:tc>
          <w:tcPr>
            <w:tcW w:w="0" w:type="auto"/>
          </w:tcPr>
          <w:p>
            <w:pPr>
              <w:spacing w:after="0" w:line="240" w:lineRule="auto"/>
            </w:pPr>
            <w:r>
              <w:rPr>
                <w:b/>
              </w:rPr>
              <w:t xml:space="preserve">G6c — Zonenimport aus IFC</w:t>
            </w:r>
          </w:p>
        </w:tc>
        <w:tc>
          <w:tcPr>
            <w:tcW w:w="0" w:type="auto"/>
          </w:tcPr>
          <w:p>
            <w:pPr>
              <w:spacing w:after="0" w:line="240" w:lineRule="auto"/>
            </w:pPr>
            <w:r>
              <w:t xml:space="preserve">Zonierungs- und Bauteilregeln, Polygonflächen, Normale, Azimut und Neigung, Grenzflächenpaarung und Rekonstruktion, Persistenz der Zuordnung, Öffnungsabzug, Schichtrichtung, Namensabgleich mit Synonymtabelle, Zuordnungsdialog mit vier Abschnitten, Meldungen in beiden Sprachen, Importproben; </w:t>
            </w:r>
            <w:r>
              <w:rPr>
                <w:b/>
              </w:rPr>
              <w:t xml:space="preserve">Zonengeometrie-Modell und 2D-Grundriss (E11)</w:t>
            </w:r>
          </w:p>
        </w:tc>
        <w:tc>
          <w:tcPr>
            <w:tcW w:w="0" w:type="auto"/>
          </w:tcPr>
          <w:p>
            <w:pPr>
              <w:spacing w:after="0" w:line="240" w:lineRule="auto"/>
            </w:pPr>
            <w:r>
              <w:t xml:space="preserve">Importproben und die beiden Proben der Grundrissansicht; iOS-Lauf nach Rückfrage</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G6d — Referenzprojekt und Einfrieren</w:t>
            </w:r>
          </w:p>
        </w:tc>
        <w:tc>
          <w:tcPr>
            <w:tcW w:w="0" w:type="auto"/>
          </w:tcPr>
          <w:p>
            <w:pPr>
              <w:spacing w:after="0" w:line="240" w:lineRule="auto"/>
            </w:pPr>
            <w:r>
              <w:t xml:space="preserve">Zonenprojekt in der Testdatenbank säen, Einfrierregel „gesäte Zonendaten", Referenzlauf, Vergleich, Begründung, Wiki-Seite und Logbuch-Eintrag</w:t>
            </w:r>
          </w:p>
        </w:tc>
        <w:tc>
          <w:tcPr>
            <w:tcW w:w="0" w:type="auto"/>
          </w:tcPr>
          <w:p>
            <w:pPr>
              <w:spacing w:after="0" w:line="240" w:lineRule="auto"/>
            </w:pPr>
            <w:r>
              <w:t xml:space="preserve">grüner Kern-Lauf, neue Basis begründet</w:t>
            </w:r>
          </w:p>
        </w:tc>
        <w:tc>
          <w:tcPr>
            <w:tcW w:w="0" w:type="auto"/>
          </w:tcPr>
          <w:p>
            <w:pPr>
              <w:spacing w:after="0" w:line="240" w:lineRule="auto"/>
            </w:pPr>
            <w:r>
              <w:rPr>
                <w:b/>
              </w:rPr>
              <w:t xml:space="preserve">2–3 PT</w:t>
            </w:r>
          </w:p>
        </w:tc>
      </w:tr>
      <w:tr>
        <w:tc>
          <w:tcPr>
            <w:tcW w:w="0" w:type="auto"/>
          </w:tcPr>
          <w:p>
            <w:pPr>
              <w:spacing w:after="0" w:line="240" w:lineRule="auto"/>
            </w:pPr>
            <w:r>
              <w:t xml:space="preserve"/>
            </w:r>
          </w:p>
        </w:tc>
        <w:tc>
          <w:tcPr>
            <w:tcW w:w="0" w:type="auto"/>
          </w:tcPr>
          <w:p>
            <w:pPr>
              <w:spacing w:after="0" w:line="240" w:lineRule="auto"/>
            </w:pPr>
            <w:r>
              <w:rPr>
                <w:b/>
              </w:rPr>
              <w:t xml:space="preserve">Summe G6</w:t>
            </w:r>
          </w:p>
        </w:tc>
        <w:tc>
          <w:tcPr>
            <w:tcW w:w="0" w:type="auto"/>
          </w:tcPr>
          <w:p>
            <w:pPr>
              <w:spacing w:after="0" w:line="240" w:lineRule="auto"/>
            </w:pPr>
            <w:r>
              <w:t xml:space="preserve"/>
            </w:r>
          </w:p>
        </w:tc>
        <w:tc>
          <w:tcPr>
            <w:tcW w:w="0" w:type="auto"/>
          </w:tcPr>
          <w:p>
            <w:pPr>
              <w:spacing w:after="0" w:line="240" w:lineRule="auto"/>
            </w:pPr>
            <w:r>
              <w:rPr>
                <w:b/>
              </w:rPr>
              <w:t xml:space="preserve">40–62 PT</w:t>
            </w:r>
          </w:p>
        </w:tc>
      </w:tr>
    </w:tbl>
    <w:p>
      <w:pPr>
        <w:spacing w:after="120"/>
      </w:pPr>
    </w:p>
    <w:p>
      <w:r>
        <w:rPr>
          <w:b/>
        </w:rPr>
        <w:t xml:space="preserve">Reihenfolge:</w:t>
      </w:r>
      <w:r>
        <w:t xml:space="preserve"> G6a → G6b → G6c → G6d. G6a vor G6b, weil der Rechenweg die Tabellen liest; G6c zuletzt, weil ein Import ohne Zonenrechnung in ein Modell schreibt, das die Daten nicht nutzt. </w:t>
      </w:r>
      <w:r>
        <w:rPr>
          <w:b/>
        </w:rPr>
        <w:t xml:space="preserve">Vorbedingungen:</w:t>
      </w:r>
      <w:r>
        <w:t xml:space="preserve"> G3 muss fertig sein, G4 für G6c, und der entnullende Katalogkopierweg muss mit G1 behoben sein.</w:t>
      </w:r>
    </w:p>
    <w:p>
      <w:r>
        <w:rPr>
          <w:b/>
        </w:rPr>
        <w:t xml:space="preserve">Einzelheiten:</w:t>
      </w:r>
      <w:r>
        <w:t xml:space="preserve"> </w:t>
      </w:r>
      <w:r>
        <w:rPr>
          <w:rFonts w:ascii="Consolas" w:hAnsi="Consolas" w:cs="Consolas"/>
          <w:noProof/>
          <w:sz w:val="20"/>
          <w:szCs w:val="20"/>
          <w:shd w:val="clear" w:color="auto" w:fill="EFEFEF"/>
        </w:rPr>
        <w:t xml:space="preserve">Dokumentation/aktuell/Konzept_Mehrzonenmodell_IFC_EPOS-Plan.md</w:t>
      </w:r>
      <w:r>
        <w:t xml:space="preserve"> (Kapitel 0, 2, 3, 4, 6, 8, 9, 10, 11) sowie </w:t>
      </w:r>
      <w:r>
        <w:rPr>
          <w:rFonts w:ascii="Consolas" w:hAnsi="Consolas" w:cs="Consolas"/>
          <w:noProof/>
          <w:sz w:val="20"/>
          <w:szCs w:val="20"/>
          <w:shd w:val="clear" w:color="auto" w:fill="EFEFEF"/>
        </w:rPr>
        <w:t xml:space="preserve">Dokumentation/aktuell/Gebaeudesimulation/2026-09-15_Befund_O_Zonenkopplung_VDI6007.md</w:t>
      </w:r>
      <w:r>
        <w:t xml:space="preserve"> und </w:t>
      </w:r>
      <w:r>
        <w:rPr>
          <w:rFonts w:ascii="Consolas" w:hAnsi="Consolas" w:cs="Consolas"/>
          <w:noProof/>
          <w:sz w:val="20"/>
          <w:szCs w:val="20"/>
          <w:shd w:val="clear" w:color="auto" w:fill="EFEFEF"/>
        </w:rPr>
        <w:t xml:space="preserve">…_Befund_P_IFC_Zonen_Materialien.md</w:t>
      </w:r>
      <w:r>
        <w:t xml:space="preserve">.</w:t>
      </w:r>
    </w:p>
    <w:p>
      <w:pPr>
        <w:pStyle w:val="Trennlinie"/>
      </w:pPr>
    </w:p>
    <w:p>
      <w:pPr>
        <w:pStyle w:val="Heading1"/>
      </w:pPr>
      <w:r>
        <w:t xml:space="preserve">9 Architekturentscheide</w:t>
      </w:r>
    </w:p>
    <w:p>
      <w:pPr>
        <w:pStyle w:val="Heading2"/>
      </w:pPr>
      <w:r>
        <w:t xml:space="preserve">9.1 ADR-002 — Stundenmodell als Vorgabemodell</w:t>
      </w:r>
    </w:p>
    <w:p>
      <w:r>
        <w:rPr>
          <w:b/>
        </w:rPr>
        <w:t xml:space="preserve">Status:</w:t>
      </w:r>
      <w:r>
        <w:t xml:space="preserve"> angenommen (15.09.2026, Entscheide E1, E2, E4, E8, E10).</w:t>
      </w:r>
    </w:p>
    <w:p>
      <w:r>
        <w:rPr>
          <w:b/>
        </w:rPr>
        <w:t xml:space="preserve">Kontext.</w:t>
      </w:r>
      <w:r>
        <w:t xml:space="preserve"> EPOS-Plan rechnet heute ein Tagesmodell auf Tagesmitteln, dessen Tageswert nachgelagert auf Stunden verteilt wird; die Wärme eines Gebäudes entsteht an genau einer Stelle, und Lauf und Bedarfsdialog rufen dieselben Methoden. Das Material des Netzlaufwerks trägt einen Strukturfehler in der Systemmatrix — diagonal statt voll besetzt, bis zu 304 K Abweichung in den Normtestfällen — und eine ungeklärte Lizenz; übernehmbar sind allein Datenmodell und Lösungsschema.</w:t>
      </w:r>
    </w:p>
    <w:p>
      <w:r>
        <w:rPr>
          <w:b/>
        </w:rPr>
        <w:t xml:space="preserve">Entscheidung.</w:t>
      </w:r>
    </w:p>
    <w:p>
      <w:pPr>
        <w:pStyle w:val="ListBullet"/>
        <w:numPr>
          <w:ilvl w:val="0"/>
          <w:numId w:val="7"/>
        </w:numPr>
      </w:pPr>
      <w:r>
        <w:t xml:space="preserve">Das 2-K-Modell nach VDI 6007 Blatt 1 rechnet </w:t>
      </w:r>
      <w:r>
        <w:rPr>
          <w:b/>
        </w:rPr>
        <w:t xml:space="preserve">stündlich</w:t>
      </w:r>
      <w:r>
        <w:t xml:space="preserve"> und ist das Vorgabemodell </w:t>
      </w:r>
      <w:r>
        <w:rPr>
          <w:b/>
        </w:rPr>
        <w:t xml:space="preserve">aller</w:t>
      </w:r>
      <w:r>
        <w:t xml:space="preserve"> Gebäude; die Tagesbilanz bleibt ausdrücklich wählbare Ausnahme, und NULL bedeutet VDI 6007.</w:t>
      </w:r>
    </w:p>
    <w:p>
      <w:pPr>
        <w:pStyle w:val="ListBullet"/>
        <w:numPr>
          <w:ilvl w:val="0"/>
          <w:numId w:val="7"/>
        </w:numPr>
      </w:pPr>
      <w:r>
        <w:t xml:space="preserve">Der Rechenweg wird im Kern </w:t>
      </w:r>
      <w:r>
        <w:rPr>
          <w:b/>
        </w:rPr>
        <w:t xml:space="preserve">neu geschrieben</w:t>
      </w:r>
      <w:r>
        <w:t xml:space="preserve">; kein Quelltext wird übernommen, wohl aber Datenmodell und Lösungsschema. Der Prototyp ist Vorlage und zugleich unabhängige Zweitimplementierung für die Abnahme.</w:t>
      </w:r>
    </w:p>
    <w:p>
      <w:pPr>
        <w:pStyle w:val="ListBullet"/>
        <w:numPr>
          <w:ilvl w:val="0"/>
          <w:numId w:val="7"/>
        </w:numPr>
      </w:pPr>
      <w:r>
        <w:rPr>
          <w:b/>
        </w:rPr>
        <w:t xml:space="preserve">Eine Naht, zwei Aufrufer, zwei gemeinsam verzweigende Punkte</w:t>
      </w:r>
      <w:r>
        <w:t xml:space="preserve">; Puffer, Kanal, Dauerlinie und Energieprobe bleiben unberührt.</w:t>
      </w:r>
    </w:p>
    <w:p>
      <w:pPr>
        <w:pStyle w:val="ListBullet"/>
        <w:numPr>
          <w:ilvl w:val="0"/>
          <w:numId w:val="7"/>
        </w:numPr>
      </w:pPr>
      <w:r>
        <w:t xml:space="preserve">Die Bestandsgewichte fallen im Stundenmodell; der Dialog zeigt U·A.</w:t>
      </w:r>
    </w:p>
    <w:p>
      <w:pPr>
        <w:pStyle w:val="ListBullet"/>
        <w:numPr>
          <w:ilvl w:val="0"/>
          <w:numId w:val="7"/>
        </w:numPr>
      </w:pPr>
      <w:r>
        <w:t xml:space="preserve">Die Basis wird </w:t>
      </w:r>
      <w:r>
        <w:rPr>
          <w:b/>
        </w:rPr>
        <w:t xml:space="preserve">zweimal</w:t>
      </w:r>
      <w:r>
        <w:t xml:space="preserve"> neu eingefroren: GB und G1 + G2.</w:t>
      </w:r>
    </w:p>
    <w:p>
      <w:r>
        <w:rPr>
          <w:b/>
        </w:rPr>
        <w:t xml:space="preserve">Konsequenz.</w:t>
      </w:r>
      <w:r>
        <w:t xml:space="preserve"> Einfacher wird: eine Physik, eine Kennzahlenmenge, eine Wiki-Seite — und die U·A-Tabelle ist zugleich die Zielstruktur der Importe. Schwerer wird: zwei begründete Neueinfrierungen, ein Normfallnachweis, der lokal und nicht in der CI läuft, und ein Katalogeditor, der einen Schreibweg und zwei neue Fensterfelder bekommt. Der Bestandsweg bleibt regressionsgeprüft und wird nicht weiterentwickelt.</w:t>
      </w:r>
    </w:p>
    <w:p>
      <w:pPr>
        <w:pStyle w:val="Heading2"/>
      </w:pPr>
      <w:r>
        <w:t xml:space="preserve">9.2 ADR-003 — IFC über xBIM ohne Geometriekernel</w:t>
      </w:r>
    </w:p>
    <w:p>
      <w:r>
        <w:rPr>
          <w:b/>
        </w:rPr>
        <w:t xml:space="preserve">Status:</w:t>
      </w:r>
      <w:r>
        <w:t xml:space="preserve"> angenommen (15.09.2026, Entscheide E3 und E9).</w:t>
      </w:r>
    </w:p>
    <w:p>
      <w:r>
        <w:rPr>
          <w:b/>
        </w:rPr>
        <w:t xml:space="preserve">Kontext.</w:t>
      </w:r>
      <w:r>
        <w:t xml:space="preserve"> Für das Gebäudemodell werden keine Körper gebraucht, sondern Kennwerte: U-Werte, Bruttoflächen, Raumgrenzen, Schichtaufbauten, Lage und Nordrichtung — alles ohne Geometriekernel erreichbar. Das Metapaket von xBIM zieht jedoch eine Windows-gebundene Speicherschicht nach, und der Geometriekernel ist Windows-only und zieht eine weitere Lizenz nach sich.</w:t>
      </w:r>
    </w:p>
    <w:p>
      <w:r>
        <w:rPr>
          <w:b/>
        </w:rPr>
        <w:t xml:space="preserve">Entscheidung.</w:t>
      </w:r>
    </w:p>
    <w:p>
      <w:pPr>
        <w:pStyle w:val="ListBullet"/>
        <w:numPr>
          <w:ilvl w:val="0"/>
          <w:numId w:val="8"/>
        </w:numPr>
      </w:pPr>
      <w:r>
        <w:rPr>
          <w:b/>
        </w:rPr>
        <w:t xml:space="preserve">xBIM bleibt ein unverändertes NuGet-Paket</w:t>
      </w:r>
      <w:r>
        <w:t xml:space="preserve">; in den Kern kommt </w:t>
      </w:r>
      <w:r>
        <w:rPr>
          <w:b/>
        </w:rPr>
        <w:t xml:space="preserve">allein</w:t>
      </w:r>
      <w:r>
        <w:t xml:space="preserve"> das Speichermodell mit den drei Schema-Paketen. Ein Fork ist ausgeschlossen.</w:t>
      </w:r>
    </w:p>
    <w:p>
      <w:pPr>
        <w:pStyle w:val="ListBullet"/>
        <w:numPr>
          <w:ilvl w:val="0"/>
          <w:numId w:val="8"/>
        </w:numPr>
      </w:pPr>
      <w:r>
        <w:rPr>
          <w:b/>
        </w:rPr>
        <w:t xml:space="preserve">Kein Geometriekernel.</w:t>
      </w:r>
      <w:r>
        <w:t xml:space="preserve"> Flächen kommen aus den Mengensätzen, die Orientierung aus der Placement-Kette; die Ableitung aus Körpern bleibt der Stufe G5 „nur bei Bedarf".</w:t>
      </w:r>
    </w:p>
    <w:p>
      <w:pPr>
        <w:pStyle w:val="ListBullet"/>
        <w:numPr>
          <w:ilvl w:val="0"/>
          <w:numId w:val="8"/>
        </w:numPr>
      </w:pPr>
      <w:r>
        <w:t xml:space="preserve">Der Import folgt dem Hausmuster Ablauf/Profil/Satz: Lesen, Vorprüfen, Ausführen; Herkunft je Feld; Zuordnungsdialog als Razor-Komponente; Größenlimit als </w:t>
      </w:r>
      <w:r>
        <w:rPr>
          <w:b/>
        </w:rPr>
        <w:t xml:space="preserve">benannte Ablehnung</w:t>
      </w:r>
      <w:r>
        <w:t xml:space="preserve">, bei gepackten Dateien gegen die entpackte Größe.</w:t>
      </w:r>
    </w:p>
    <w:p>
      <w:pPr>
        <w:pStyle w:val="ListBullet"/>
        <w:numPr>
          <w:ilvl w:val="0"/>
          <w:numId w:val="8"/>
        </w:numPr>
      </w:pPr>
      <w:r>
        <w:t xml:space="preserve">Die </w:t>
      </w:r>
      <w:r>
        <w:rPr>
          <w:b/>
        </w:rPr>
        <w:t xml:space="preserve">Zuordnung wird persistiert</w:t>
      </w:r>
      <w:r>
        <w:t xml:space="preserve"> — Voraussetzung für die Rückgabe angereicherter Dateien.</w:t>
      </w:r>
    </w:p>
    <w:p>
      <w:pPr>
        <w:pStyle w:val="ListBullet"/>
        <w:numPr>
          <w:ilvl w:val="0"/>
          <w:numId w:val="8"/>
        </w:numPr>
      </w:pPr>
      <w:r>
        <w:t xml:space="preserve">Der Export schreibt IFC4 über dasselbe Speichermodell: deterministische Kennungen aus EPOS-Schlüsseln, eigene Bearbeitungsgeschichte, Längeneinheit Meter, eigener Ergebnis-Eigenschaftssatz, Energie in kWh mit explizitem Einheitenverweis.</w:t>
      </w:r>
    </w:p>
    <w:p>
      <w:r>
        <w:rPr>
          <w:b/>
        </w:rPr>
        <w:t xml:space="preserve">Konsequenz.</w:t>
      </w:r>
      <w:r>
        <w:t xml:space="preserve"> Einfacher wird: eine Paketzeile, ein Leser für drei Schemata, Import und Export mit derselben Bibliothek. Schwerer wird: Eigenschafts- und Mengenzugriff mit „Vorkommnis vor Typ", die Flächeneinheit je Größenart (nie aus der Längeneinheit quadriert), die Außennormale nur über die Raumgrenze bestimmbar — sonst bleibt der Azimut um 180° unbestimmt und wird gemeldet. Die Lizenzhinweisseite ist Vorbedingung der Auslieferung; ohne sie ist der Weg nicht auslieferbar. Offen bleiben das Trimming-Verhalten eines iOS-Gerätebaus und das dort zu messende Größenlimit.</w:t>
      </w:r>
    </w:p>
    <w:p>
      <w:pPr>
        <w:pStyle w:val="Heading2"/>
      </w:pPr>
      <w:r>
        <w:t xml:space="preserve">9.3 ADR-004 — gbXML mit LINQ to XML</w:t>
      </w:r>
    </w:p>
    <w:p>
      <w:r>
        <w:rPr>
          <w:b/>
        </w:rPr>
        <w:t xml:space="preserve">Status:</w:t>
      </w:r>
      <w:r>
        <w:t xml:space="preserve"> </w:t>
      </w:r>
      <w:r>
        <w:rPr>
          <w:b/>
        </w:rPr>
        <w:t xml:space="preserve">vorgeschlagen</w:t>
      </w:r>
      <w:r>
        <w:t xml:space="preserve"> (15.09.2026); der Entscheid des Anwenders steht aus. Ohne ihn hat der gbXML-Import keinen Leseweg.</w:t>
      </w:r>
    </w:p>
    <w:p>
      <w:r>
        <w:rPr>
          <w:b/>
        </w:rPr>
        <w:t xml:space="preserve">Kontext.</w:t>
      </w:r>
      <w:r>
        <w:t xml:space="preserve"> Der gbXML-Import ist mit E9 Pflicht. Das aus dem Schema erzeugte Modell ist unbrauchbar: 328 Klassen mit typlosen Sammelfeldern statt typisierter Eigenschaften, und der Standardserialisierer scheitert schon unter Windows, unter Trimming zusätzlich. Eine gepflegte .NET-Bibliothek für gbXML gibt es nicht. Keine der vier offiziellen Beispieldateien ist schemagültig, zwei sind in UTF-16 kodiert, und eine Architekturdatei trägt null Konstruktionen. EPOS braucht rund 25 der 518 Schemaelemente.</w:t>
      </w:r>
    </w:p>
    <w:p>
      <w:r>
        <w:rPr>
          <w:b/>
        </w:rPr>
        <w:t xml:space="preserve">Entscheidung.</w:t>
      </w:r>
    </w:p>
    <w:p>
      <w:pPr>
        <w:pStyle w:val="ListBullet"/>
        <w:numPr>
          <w:ilvl w:val="0"/>
          <w:numId w:val="9"/>
        </w:numPr>
      </w:pPr>
      <w:r>
        <w:rPr>
          <w:b/>
        </w:rPr>
        <w:t xml:space="preserve">Lesen und Schreiben mit LINQ to XML</w:t>
      </w:r>
      <w:r>
        <w:t xml:space="preserve"> gegen ein </w:t>
      </w:r>
      <w:r>
        <w:rPr>
          <w:b/>
        </w:rPr>
        <w:t xml:space="preserve">handgeschriebenes Modell</w:t>
      </w:r>
      <w:r>
        <w:t xml:space="preserve"> der benötigten Elemente — reine BCL, keine Code-Erzeugung, keine Reflexion, iOS-fest.</w:t>
      </w:r>
    </w:p>
    <w:p>
      <w:pPr>
        <w:pStyle w:val="ListBullet"/>
        <w:numPr>
          <w:ilvl w:val="0"/>
          <w:numId w:val="9"/>
        </w:numPr>
      </w:pPr>
      <w:r>
        <w:rPr>
          <w:b/>
        </w:rPr>
        <w:t xml:space="preserve">Import tolerant:</w:t>
      </w:r>
      <w:r>
        <w:t xml:space="preserve"> Datei als Strom öffnen, Kodierung aus der XML-Deklaration, Einheiten global und lokal auflösen, Rechteckgeometrie als Flächenquelle, Fensterabzug selbst rechnen, Aufbauten je Aufbau auf Vollständigkeit prüfen, fehlende Konstruktionen als Vorgabe kennzeichnen.</w:t>
      </w:r>
    </w:p>
    <w:p>
      <w:pPr>
        <w:pStyle w:val="ListBullet"/>
        <w:numPr>
          <w:ilvl w:val="0"/>
          <w:numId w:val="9"/>
        </w:numPr>
      </w:pPr>
      <w:r>
        <w:rPr>
          <w:b/>
        </w:rPr>
        <w:t xml:space="preserve">Export zweistufig:</w:t>
      </w:r>
      <w:r>
        <w:t xml:space="preserve"> Stufe 1 schemagültiger Datenexport mit Version 6.01; Stufe 2 synthetische Quadergeometrie mit Kennzeichnung „schematisch" in Datei und Oberfläche.</w:t>
      </w:r>
    </w:p>
    <w:p>
      <w:pPr>
        <w:pStyle w:val="ListBullet"/>
        <w:numPr>
          <w:ilvl w:val="0"/>
          <w:numId w:val="9"/>
        </w:numPr>
      </w:pPr>
      <w:r>
        <w:rPr>
          <w:b/>
        </w:rPr>
        <w:t xml:space="preserve">Validierung nur im Test</w:t>
      </w:r>
      <w:r>
        <w:t xml:space="preserve"> gegen ein Schema, das nicht ausgeliefert wird; Rundlauf Export nach Import als Regressionstest mit selbst erzeugten Dateien.</w:t>
      </w:r>
    </w:p>
    <w:p>
      <w:r>
        <w:rPr>
          <w:b/>
        </w:rPr>
        <w:t xml:space="preserve">Konsequenz.</w:t>
      </w:r>
      <w:r>
        <w:t xml:space="preserve"> Einfacher wird: keine Paketabhängigkeit, keine zusätzliche Lizenzseite, ein Lesemodell für Import und Export, und das Zuordnungsgerüst wird mit dem IFC-Import geteilt. Schwerer wird: Einheiten und Kodierung sind eigene Testfälle, die Vollständigkeit der Aufbauten ist je Aufbau zu prüfen, und die Versionsnummer 6.01 braucht einen Quelltextkommentar, damit niemand sie „korrigiert".</w:t>
      </w:r>
    </w:p>
    <w:p>
      <w:pPr>
        <w:pStyle w:val="Heading2"/>
      </w:pPr>
      <w:r>
        <w:t xml:space="preserve">9.4 ADR-005 — Zonenkopplung im Mehrzonenmodell</w:t>
      </w:r>
    </w:p>
    <w:p>
      <w:r>
        <w:rPr>
          <w:b/>
        </w:rPr>
        <w:t xml:space="preserve">Status:</w:t>
      </w:r>
      <w:r>
        <w:t xml:space="preserve"> </w:t>
      </w:r>
      <w:r>
        <w:rPr>
          <w:b/>
        </w:rPr>
        <w:t xml:space="preserve">vorgeschlagen</w:t>
      </w:r>
      <w:r>
        <w:t xml:space="preserve"> (15.09.2026); der Entscheid des Anwenders steht aus. Ohne ihn hat das Mehrzonenmodell kein Lösungsschema.</w:t>
      </w:r>
    </w:p>
    <w:p>
      <w:r>
        <w:rPr>
          <w:b/>
        </w:rPr>
        <w:t xml:space="preserve">Kontext.</w:t>
      </w:r>
      <w:r>
        <w:t xml:space="preserve"> Richtlinie und Nachbarnorm nehmen die Zonierung eines Gebäudes ausdrücklich aus; geregelt ist allein die Randbedingung eines einzelnen Raums zum Nachbarraum. Das validierte Netz je Zone darf sich nicht ändern, die Kopplung darf nur in der Randbedingung sitzen. Die Bisektion des Umschaltzeitpunkts macht das System innerhalb der Stunde stückweise linear — ein gemeinsames Zustandssystem aller Zonen müsste bei jedem Umschalten einer Zone neu zerlegt werden. Der Luftaustausch zwischen Zonen koppelt die Luftknoten unmittelbar und ist der Grund, warum eine Kopplung über die Vorstunde zu weit hinkt.</w:t>
      </w:r>
    </w:p>
    <w:p>
      <w:r>
        <w:rPr>
          <w:b/>
        </w:rPr>
        <w:t xml:space="preserve">Entscheidung.</w:t>
      </w:r>
    </w:p>
    <w:p>
      <w:pPr>
        <w:pStyle w:val="ListBullet"/>
        <w:numPr>
          <w:ilvl w:val="0"/>
          <w:numId w:val="10"/>
        </w:numPr>
      </w:pPr>
      <w:r>
        <w:rPr>
          <w:b/>
        </w:rPr>
        <w:t xml:space="preserve">Kopplung über die Nachbarraum-Randbedingung:</w:t>
      </w:r>
      <w:r>
        <w:t xml:space="preserve"> Trennbauteile gehören in die Außenbauteilgruppe der Zone, die Nachbartemperatur geht als äquivalente Temperatur ein und wird gewichtet; der Strahlungsaustausch endet an der Zonengrenze.</w:t>
      </w:r>
    </w:p>
    <w:p>
      <w:pPr>
        <w:pStyle w:val="ListBullet"/>
        <w:numPr>
          <w:ilvl w:val="0"/>
          <w:numId w:val="10"/>
        </w:numPr>
      </w:pPr>
      <w:r>
        <w:rPr>
          <w:b/>
        </w:rPr>
        <w:t xml:space="preserve">Gauß-Seidel innerhalb der Stunde:</w:t>
      </w:r>
      <w:r>
        <w:t xml:space="preserve"> feste Reihenfolge, jede Zone rechnet mit den jüngsten Nachbartemperaturen; Abbruch bei 0,01 K und 0,1 W, spätestens nach 50 Durchläufen mit benanntem Fehler, der die beteiligten Zonen und den Volumenstrom nennt. Wechselt die Regelungszuordnung zwischen zwei Durchläufen, wird das Muster des ersten Durchlaufs festgehalten und der Wechsel gezählt.</w:t>
      </w:r>
    </w:p>
    <w:p>
      <w:pPr>
        <w:pStyle w:val="ListBullet"/>
        <w:numPr>
          <w:ilvl w:val="0"/>
          <w:numId w:val="10"/>
        </w:numPr>
      </w:pPr>
      <w:r>
        <w:rPr>
          <w:b/>
        </w:rPr>
        <w:t xml:space="preserve">Zonen-Luftaustausch</w:t>
      </w:r>
      <w:r>
        <w:t xml:space="preserve"> als normierte Paare, im selben Durchlauf berücksichtigt.</w:t>
      </w:r>
    </w:p>
    <w:p>
      <w:pPr>
        <w:pStyle w:val="ListBullet"/>
        <w:numPr>
          <w:ilvl w:val="0"/>
          <w:numId w:val="10"/>
        </w:numPr>
      </w:pPr>
      <w:r>
        <w:rPr>
          <w:b/>
        </w:rPr>
        <w:t xml:space="preserve">Nachweis:</w:t>
      </w:r>
      <w:r>
        <w:t xml:space="preserve"> Vorstundenkopplung als Vergleichsrechnung, das Gesamtsystem für zwei Zonen als exaktes Orakel, „eine Zone bitgleich" als Gate.</w:t>
      </w:r>
    </w:p>
    <w:p>
      <w:r>
        <w:rPr>
          <w:b/>
        </w:rPr>
        <w:t xml:space="preserve">Konsequenz.</w:t>
      </w:r>
      <w:r>
        <w:t xml:space="preserve"> Einfacher wird: unbeheizte Zonen bekommen eine eigene Temperatur, und Zonen aus dem Import lassen sich koppeln, ohne ein zweites Modell zu bauen. Schwerer wird: eine Abbruchregel mit benanntem Fehler, eine festzulegende Zonenreihenfolge, und der an der Zonengrenze endende Strahlungsaustausch als Argument für große Zonen. </w:t>
      </w:r>
      <w:r>
        <w:rPr>
          <w:b/>
        </w:rPr>
        <w:t xml:space="preserve">Normstatus:</w:t>
      </w:r>
      <w:r>
        <w:t xml:space="preserve"> „Mehrzonensimulation nach VDI 6007" wäre falsch — der Ausweis gilt je Zone, die Kopplung ist als EPOS-Erweiterung benannt.</w:t>
      </w:r>
    </w:p>
    <w:p>
      <w:r>
        <w:rPr>
          <w:b/>
        </w:rPr>
        <w:t xml:space="preserve">Einzelheiten:</w:t>
      </w:r>
      <w:r>
        <w:t xml:space="preserve"> </w:t>
      </w:r>
      <w:r>
        <w:rPr>
          <w:rFonts w:ascii="Consolas" w:hAnsi="Consolas" w:cs="Consolas"/>
          <w:noProof/>
          <w:sz w:val="20"/>
          <w:szCs w:val="20"/>
          <w:shd w:val="clear" w:color="auto" w:fill="EFEFEF"/>
        </w:rPr>
        <w:t xml:space="preserve">Dokumentation/aktuell/ADR-002_Stundenmodell_VDI6007_Einbindung.md</w:t>
      </w:r>
      <w:r>
        <w:t xml:space="preserve">, </w:t>
      </w:r>
      <w:r>
        <w:rPr>
          <w:rFonts w:ascii="Consolas" w:hAnsi="Consolas" w:cs="Consolas"/>
          <w:noProof/>
          <w:sz w:val="20"/>
          <w:szCs w:val="20"/>
          <w:shd w:val="clear" w:color="auto" w:fill="EFEFEF"/>
        </w:rPr>
        <w:t xml:space="preserve">Dokumentation/aktuell/ADR-003_IFC_xBIM_ohne_Geometriekernel.md</w:t>
      </w:r>
      <w:r>
        <w:t xml:space="preserve">, </w:t>
      </w:r>
      <w:r>
        <w:rPr>
          <w:rFonts w:ascii="Consolas" w:hAnsi="Consolas" w:cs="Consolas"/>
          <w:noProof/>
          <w:sz w:val="20"/>
          <w:szCs w:val="20"/>
          <w:shd w:val="clear" w:color="auto" w:fill="EFEFEF"/>
        </w:rPr>
        <w:t xml:space="preserve">Dokumentation/aktuell/ADR-004_gbXML_LINQ_to_XML.md</w:t>
      </w:r>
      <w:r>
        <w:t xml:space="preserve">, </w:t>
      </w:r>
      <w:r>
        <w:rPr>
          <w:rFonts w:ascii="Consolas" w:hAnsi="Consolas" w:cs="Consolas"/>
          <w:noProof/>
          <w:sz w:val="20"/>
          <w:szCs w:val="20"/>
          <w:shd w:val="clear" w:color="auto" w:fill="EFEFEF"/>
        </w:rPr>
        <w:t xml:space="preserve">Dokumentation/aktuell/ADR-005_Zonenkopplung_Mehrzonenmodell.md</w:t>
      </w:r>
      <w:r>
        <w:t xml:space="preserve"> und, für die Schema-Ausrollung, </w:t>
      </w:r>
      <w:r>
        <w:rPr>
          <w:rFonts w:ascii="Consolas" w:hAnsi="Consolas" w:cs="Consolas"/>
          <w:noProof/>
          <w:sz w:val="20"/>
          <w:szCs w:val="20"/>
          <w:shd w:val="clear" w:color="auto" w:fill="EFEFEF"/>
        </w:rPr>
        <w:t xml:space="preserve">Dokumentation/aktuell/ADR-001_Schema-Ausrollung.md</w:t>
      </w:r>
      <w:r>
        <w:t xml:space="preserve">.</w:t>
      </w:r>
    </w:p>
    <w:p>
      <w:pPr>
        <w:pStyle w:val="Trennlinie"/>
      </w:pPr>
    </w:p>
    <w:p>
      <w:pPr>
        <w:pStyle w:val="Heading1"/>
      </w:pPr>
      <w:r>
        <w:t xml:space="preserve">10 Die Berechnung in Schritten</w:t>
      </w:r>
    </w:p>
    <w:p>
      <w:r>
        <w:rPr>
          <w:b/>
        </w:rPr>
        <w:t xml:space="preserve">Bezeichnungen.</w:t>
      </w:r>
      <w:r>
        <w:t xml:space="preserve"> Die Richtlinie nennt das Modell </w:t>
      </w:r>
      <w:r>
        <w:rPr>
          <w:b/>
        </w:rPr>
        <w:t xml:space="preserve">2-K-Modell</w:t>
      </w:r>
      <w:r>
        <w:t xml:space="preserve"> (zwei Kapazitäten); „7R2C" ist nur Kurzform und steht nicht in der Richtlinie. Gleichungsnummern in Klammern verweisen auf </w:t>
      </w:r>
      <w:r>
        <w:rPr>
          <w:b/>
        </w:rPr>
        <w:t xml:space="preserve">VDI 6007 Blatt 1</w:t>
      </w:r>
      <w:r>
        <w:t xml:space="preserve"> (Juni 2015), Nummern mit dem Zusatz „Blatt 3" auf Blatt 3 (Juni 2015), mit „Blatt 2" auf Blatt 2 (März 2012). Wo keine Gleichungsnummer steht, ist die Formel eine </w:t>
      </w:r>
      <w:r>
        <w:rPr>
          <w:b/>
        </w:rPr>
        <w:t xml:space="preserve">EPOS-Festlegung</w:t>
      </w:r>
      <w:r>
        <w:t xml:space="preserve">. Temperaturen θ in °C, Leistungen Φ in W, Widerstände R in K/W, Leitwerte G in W/K, Kapazitäten C in J/K.</w:t>
      </w:r>
    </w:p>
    <w:p>
      <w:pPr>
        <w:pStyle w:val="Heading2"/>
      </w:pPr>
      <w:r>
        <w:t xml:space="preserve">10.1 Überblick</w:t>
      </w:r>
    </w:p>
    <w:p>
      <w:r>
        <w:t xml:space="preserve">Die Rechnung in zwölf Sätzen, gekürzt:</w:t>
      </w:r>
    </w:p>
    <w:p>
      <w:pPr>
        <w:pStyle w:val="ListNumber"/>
        <w:numPr>
          <w:ilvl w:val="0"/>
          <w:numId w:val="11"/>
        </w:numPr>
      </w:pPr>
      <w:r>
        <w:t xml:space="preserve">Für jedes Gebäude wird </w:t>
      </w:r>
      <w:r>
        <w:rPr>
          <w:b/>
        </w:rPr>
        <w:t xml:space="preserve">einmal je Lauf</w:t>
      </w:r>
      <w:r>
        <w:t xml:space="preserve"> aus U-Werten, Flächen, Bauweise und Nutzung ein Netz aus zwei Massenknoten, drei algebraischen Knoten und sieben Widerständen gebaut (Schritt A; in Stufe G3 aus Schichtaufbauten, Schritt B).</w:t>
      </w:r>
    </w:p>
    <w:p>
      <w:pPr>
        <w:pStyle w:val="ListNumber"/>
        <w:numPr>
          <w:ilvl w:val="0"/>
          <w:numId w:val="11"/>
        </w:numPr>
      </w:pPr>
      <w:r>
        <w:t xml:space="preserve">Die beiden Oberflächenknoten und der Luftknoten sind kapazitätslos und werden </w:t>
      </w:r>
      <w:r>
        <w:rPr>
          <w:b/>
        </w:rPr>
        <w:t xml:space="preserve">algebraisch eliminiert</w:t>
      </w:r>
      <w:r>
        <w:t xml:space="preserve">; übrig bleibt ein Zustandssystem zweiter Ordnung mit </w:t>
      </w:r>
      <w:r>
        <w:rPr>
          <w:b/>
        </w:rPr>
        <w:t xml:space="preserve">voll besetzter</w:t>
      </w:r>
      <w:r>
        <w:t xml:space="preserve"> 2×2-Matrix (Schritt C).</w:t>
      </w:r>
    </w:p>
    <w:p>
      <w:pPr>
        <w:pStyle w:val="ListNumber"/>
        <w:numPr>
          <w:ilvl w:val="0"/>
          <w:numId w:val="11"/>
        </w:numPr>
      </w:pPr>
      <w:r>
        <w:t xml:space="preserve">Die Systemmatrix hängt nicht von den Lasten ab, sondern nur vom Betriebsfall und vom Lüftungsleitwert; die Übergangsmatrizen für h = 3 600 s entstehen deshalb </w:t>
      </w:r>
      <w:r>
        <w:rPr>
          <w:b/>
        </w:rPr>
        <w:t xml:space="preserve">einmal je Gebäude, Betriebsfall und Lüftungszustand</w:t>
      </w:r>
      <w:r>
        <w:t xml:space="preserve">, nicht je Stunde (Schritt D).</w:t>
      </w:r>
    </w:p>
    <w:p>
      <w:pPr>
        <w:pStyle w:val="ListNumber"/>
        <w:numPr>
          <w:ilvl w:val="0"/>
          <w:numId w:val="11"/>
        </w:numPr>
      </w:pPr>
      <w:r>
        <w:t xml:space="preserve">Aus den Klimareihen entstehen je Stunde die Randbedingungen: Außentemperatur, äquivalente Außentemperatur am Außenwandpfad, Erdreich- oder Kellertemperatur, Fenstersolareintrag je Orientierung, innere Lasten, Sollwert und obere Grenze (Schritt E).</w:t>
      </w:r>
    </w:p>
    <w:p>
      <w:pPr>
        <w:pStyle w:val="ListNumber"/>
        <w:numPr>
          <w:ilvl w:val="0"/>
          <w:numId w:val="11"/>
        </w:numPr>
      </w:pPr>
      <w:r>
        <w:t xml:space="preserve">Die Strahlungslasten werden flächenproportional auf die beiden Oberflächenknoten verteilt, die konvektiven Anteile auf die Luft.</w:t>
      </w:r>
    </w:p>
    <w:p>
      <w:pPr>
        <w:pStyle w:val="ListNumber"/>
        <w:numPr>
          <w:ilvl w:val="0"/>
          <w:numId w:val="11"/>
        </w:numPr>
      </w:pPr>
      <w:r>
        <w:t xml:space="preserve">Die Stundenschleife läuft über 8 760 Blockstunden, nach einem Vorlauf von 30 Tagen, dessen Ergebnisse verworfen werden (Schritt F).</w:t>
      </w:r>
    </w:p>
    <w:p>
      <w:pPr>
        <w:pStyle w:val="ListNumber"/>
        <w:numPr>
          <w:ilvl w:val="0"/>
          <w:numId w:val="11"/>
        </w:numPr>
      </w:pPr>
      <w:r>
        <w:t xml:space="preserve">Innerhalb einer Stunde hält die ideale Regelung die Lufttemperatur </w:t>
      </w:r>
      <w:r>
        <w:rPr>
          <w:b/>
        </w:rPr>
        <w:t xml:space="preserve">durchgehend</w:t>
      </w:r>
      <w:r>
        <w:t xml:space="preserve"> auf dem Sollwert; die dafür nötige Leistung ist eine affine Funktion des Zustands, ihr Stundenmittel folgt geschlossen.</w:t>
      </w:r>
    </w:p>
    <w:p>
      <w:pPr>
        <w:pStyle w:val="ListNumber"/>
        <w:numPr>
          <w:ilvl w:val="0"/>
          <w:numId w:val="11"/>
        </w:numPr>
      </w:pPr>
      <w:r>
        <w:t xml:space="preserve">Wechselt der Betrieb innerhalb der Stunde — Heizung erreicht null, Leistungsgrenze greift, Kühlgrenze wird erreicht —, sucht der Löser den Umschaltzeitpunkt per Bisektion und setzt die Stunde aus zwei oder mehr Abschnitten zusammen. </w:t>
      </w:r>
      <w:r>
        <w:rPr>
          <w:b/>
        </w:rPr>
        <w:t xml:space="preserve">Das ist die einzige Iteration.</w:t>
      </w:r>
    </w:p>
    <w:p>
      <w:pPr>
        <w:pStyle w:val="ListNumber"/>
        <w:numPr>
          <w:ilvl w:val="0"/>
          <w:numId w:val="11"/>
        </w:numPr>
      </w:pPr>
      <w:r>
        <w:t xml:space="preserve">Prüfgröße ist das </w:t>
      </w:r>
      <w:r>
        <w:rPr>
          <w:b/>
        </w:rPr>
        <w:t xml:space="preserve">Blockmittel</w:t>
      </w:r>
      <w:r>
        <w:t xml:space="preserve"> der Stunde, nicht der Momentanwert am Stundenende.</w:t>
      </w:r>
    </w:p>
    <w:p>
      <w:pPr>
        <w:pStyle w:val="ListNumber"/>
        <w:numPr>
          <w:ilvl w:val="0"/>
          <w:numId w:val="11"/>
        </w:numPr>
      </w:pPr>
      <w:r>
        <w:t xml:space="preserve">Je Gebäude entstehen vier Reihen und sieben Kennzahlen (Schritt G).</w:t>
      </w:r>
    </w:p>
    <w:p>
      <w:pPr>
        <w:pStyle w:val="ListNumber"/>
        <w:numPr>
          <w:ilvl w:val="0"/>
          <w:numId w:val="11"/>
        </w:numPr>
      </w:pPr>
      <w:r>
        <w:t xml:space="preserve">Die Heizlastreihe geht in </w:t>
      </w:r>
      <w:r>
        <w:rPr>
          <w:b/>
        </w:rPr>
        <w:t xml:space="preserve">Watt</w:t>
      </w:r>
      <w:r>
        <w:t xml:space="preserve"> in den vorhandenen Gebäudepuffer und von dort unverändert in den Heizkanal; alles danach bleibt Zeichen für Zeichen der Bestandsweg.</w:t>
      </w:r>
    </w:p>
    <w:p>
      <w:pPr>
        <w:pStyle w:val="ListNumber"/>
        <w:numPr>
          <w:ilvl w:val="0"/>
          <w:numId w:val="11"/>
        </w:numPr>
      </w:pPr>
      <w:r>
        <w:t xml:space="preserve">Die Skalierung vom Katalogbau auf die Projektfläche und die Verbrauchs-Rückrechnung sind eine Verhältnisrechnung </w:t>
      </w:r>
      <w:r>
        <w:rPr>
          <w:b/>
        </w:rPr>
        <w:t xml:space="preserve">nach</w:t>
      </w:r>
      <w:r>
        <w:t xml:space="preserve"> der Simulation und ändern die Physik nicht.</w:t>
      </w:r>
    </w:p>
    <w:p>
      <w:pPr>
        <w:pStyle w:val="Diagrammbild"/>
      </w:pPr>
      <w:r>
        <w:drawing>
          <wp:inline xmlns:wp="http://schemas.openxmlformats.org/drawingml/2006/wordprocessingDrawing" distT="0" distB="0" distL="0" distR="0">
            <wp:extent cx="5163814" cy="7920000"/>
            <wp:effectExtent l="0" t="0" r="0" b="0"/>
            <wp:docPr id="12"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2.png"/>
                    <pic:cNvPicPr/>
                  </pic:nvPicPr>
                  <pic:blipFill>
                    <a:blip xmlns:r="http://schemas.openxmlformats.org/officeDocument/2006/relationships" r:embed="R50565ecdd1554a5e"/>
                    <a:stretch>
                      <a:fillRect/>
                    </a:stretch>
                  </pic:blipFill>
                  <pic:spPr>
                    <a:xfrm>
                      <a:off x="0" y="0"/>
                      <a:ext cx="5163814" cy="7920000"/>
                    </a:xfrm>
                    <a:prstGeom prst="rect">
                      <a:avLst/>
                    </a:prstGeom>
                  </pic:spPr>
                </pic:pic>
              </a:graphicData>
            </a:graphic>
          </wp:inline>
        </w:drawing>
      </w:r>
    </w:p>
    <w:p>
      <w:pPr>
        <w:pStyle w:val="Bildunterschrift"/>
      </w:pPr>
      <w:r>
        <w:rPr>
          <w:i/>
          <w:iCs/>
        </w:rPr>
        <w:t xml:space="preserve">Bild 12: 10.1 Überblick</w:t>
      </w:r>
    </w:p>
    <w:p>
      <w:pPr>
        <w:pStyle w:val="Heading2"/>
      </w:pPr>
      <w:r>
        <w:t xml:space="preserve">10.2 Eingaben</w:t>
      </w:r>
    </w:p>
    <w:p>
      <w:r>
        <w:t xml:space="preserve">Quelle der Gebäudedaten ist </w:t>
      </w:r>
      <w:r>
        <w:rPr>
          <w:rFonts w:ascii="Consolas" w:hAnsi="Consolas" w:cs="Consolas"/>
          <w:noProof/>
          <w:sz w:val="20"/>
          <w:szCs w:val="20"/>
          <w:shd w:val="clear" w:color="auto" w:fill="EFEFEF"/>
        </w:rPr>
        <w:t xml:space="preserve">Tab_Gebaeude</w:t>
      </w:r>
      <w:r>
        <w:t xml:space="preserve">, die Projektkopie des Katalogs, gelesen über die Sicht </w:t>
      </w:r>
      <w:r>
        <w:rPr>
          <w:rFonts w:ascii="Consolas" w:hAnsi="Consolas" w:cs="Consolas"/>
          <w:noProof/>
          <w:sz w:val="20"/>
          <w:szCs w:val="20"/>
          <w:shd w:val="clear" w:color="auto" w:fill="EFEFEF"/>
        </w:rPr>
        <w:t xml:space="preserve">Abfrage_Projektgebaeude</w:t>
      </w:r>
      <w:r>
        <w:t xml:space="preserve">. </w:t>
      </w:r>
      <w:r>
        <w:rPr>
          <w:b/>
        </w:rPr>
        <w:t xml:space="preserve">„Vorgabe bei NULL" ist die Vorgabe des Eingangsbauers</w:t>
      </w:r>
      <w:r>
        <w:t xml:space="preserve">, nicht ein DDL-Vorgabewert: auf den neuen Fachwerten steht kein </w:t>
      </w:r>
      <w:r>
        <w:rPr>
          <w:rFonts w:ascii="Consolas" w:hAnsi="Consolas" w:cs="Consolas"/>
          <w:noProof/>
          <w:sz w:val="20"/>
          <w:szCs w:val="20"/>
          <w:shd w:val="clear" w:color="auto" w:fill="EFEFEF"/>
        </w:rPr>
        <w:t xml:space="preserve">DEFAULT</w:t>
      </w:r>
      <w:r>
        <w:t xml:space="preserve">.</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Zeichen</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Vorgabe bei NULL</w:t>
            </w:r>
          </w:p>
        </w:tc>
        <w:tc>
          <w:tcPr>
            <w:tcW w:w="0" w:type="auto"/>
            <w:shd w:val="clear" w:color="auto" w:fill="D9D9D9"/>
          </w:tcPr>
          <w:p>
            <w:pPr>
              <w:spacing w:after="0" w:line="240" w:lineRule="auto"/>
              <w:rPr>
                <w:b/>
              </w:rPr>
            </w:pPr>
            <w:r>
              <w:rPr>
                <w:b/>
              </w:rPr>
              <w:t xml:space="preserve">Grenze</w:t>
            </w:r>
          </w:p>
        </w:tc>
      </w:tr>
      <w:tr>
        <w:tc>
          <w:tcPr>
            <w:tcW w:w="0" w:type="auto"/>
          </w:tcPr>
          <w:p>
            <w:pPr>
              <w:spacing w:after="0" w:line="240" w:lineRule="auto"/>
            </w:pPr>
            <w:r>
              <w:t xml:space="preserve">Rechenmodell</w:t>
            </w:r>
          </w:p>
        </w:tc>
        <w:tc>
          <w:tcPr>
            <w:tcW w:w="0" w:type="auto"/>
          </w:tcPr>
          <w:p>
            <w:pPr>
              <w:spacing w:after="0" w:line="240" w:lineRule="auto"/>
            </w:pPr>
            <w:r>
              <w:t xml:space="preserve">—</w:t>
            </w:r>
          </w:p>
        </w:tc>
        <w:tc>
          <w:tcPr>
            <w:tcW w:w="0" w:type="auto"/>
          </w:tcPr>
          <w:p>
            <w:pPr>
              <w:spacing w:after="0" w:line="240" w:lineRule="auto"/>
            </w:pPr>
            <w:r>
              <w:t xml:space="preserve">—</w:t>
            </w:r>
          </w:p>
        </w:tc>
        <w:tc>
          <w:tcPr>
            <w:tcW w:w="0" w:type="auto"/>
          </w:tcPr>
          <w:p>
            <w:pPr>
              <w:spacing w:after="0" w:line="240" w:lineRule="auto"/>
            </w:pPr>
            <w:r>
              <w:t xml:space="preserve">VDI 6007 (E1)</w:t>
            </w:r>
          </w:p>
        </w:tc>
        <w:tc>
          <w:tcPr>
            <w:tcW w:w="0" w:type="auto"/>
          </w:tcPr>
          <w:p>
            <w:pPr>
              <w:spacing w:after="0" w:line="240" w:lineRule="auto"/>
            </w:pPr>
            <w:r>
              <w:t xml:space="preserve">Wertliste</w:t>
            </w:r>
          </w:p>
        </w:tc>
      </w:tr>
      <w:tr>
        <w:tc>
          <w:tcPr>
            <w:tcW w:w="0" w:type="auto"/>
          </w:tcPr>
          <w:p>
            <w:pPr>
              <w:spacing w:after="0" w:line="240" w:lineRule="auto"/>
            </w:pPr>
            <w:r>
              <w:t xml:space="preserve">Wohnfläche des Katalogbaus</w:t>
            </w:r>
          </w:p>
        </w:tc>
        <w:tc>
          <w:tcPr>
            <w:tcW w:w="0" w:type="auto"/>
          </w:tcPr>
          <w:p>
            <w:pPr>
              <w:spacing w:after="0" w:line="240" w:lineRule="auto"/>
            </w:pPr>
            <w:r>
              <w:t xml:space="preserve">A_f</w:t>
            </w:r>
          </w:p>
        </w:tc>
        <w:tc>
          <w:tcPr>
            <w:tcW w:w="0" w:type="auto"/>
          </w:tcPr>
          <w:p>
            <w:pPr>
              <w:spacing w:after="0" w:line="240" w:lineRule="auto"/>
            </w:pPr>
            <w:r>
              <w:t xml:space="preserve">m²</w:t>
            </w:r>
          </w:p>
        </w:tc>
        <w:tc>
          <w:tcPr>
            <w:tcW w:w="0" w:type="auto"/>
          </w:tcPr>
          <w:p>
            <w:pPr>
              <w:spacing w:after="0" w:line="240" w:lineRule="auto"/>
            </w:pPr>
            <w:r>
              <w:t xml:space="preserve">Pflicht</w:t>
            </w:r>
          </w:p>
        </w:tc>
        <w:tc>
          <w:tcPr>
            <w:tcW w:w="0" w:type="auto"/>
          </w:tcPr>
          <w:p>
            <w:pPr>
              <w:spacing w:after="0" w:line="240" w:lineRule="auto"/>
            </w:pPr>
            <w:r>
              <w:t xml:space="preserve">&gt; 0</w:t>
            </w:r>
          </w:p>
        </w:tc>
      </w:tr>
      <w:tr>
        <w:tc>
          <w:tcPr>
            <w:tcW w:w="0" w:type="auto"/>
          </w:tcPr>
          <w:p>
            <w:pPr>
              <w:spacing w:after="0" w:line="240" w:lineRule="auto"/>
            </w:pPr>
            <w:r>
              <w:t xml:space="preserve">Raumhöhe</w:t>
            </w:r>
          </w:p>
        </w:tc>
        <w:tc>
          <w:tcPr>
            <w:tcW w:w="0" w:type="auto"/>
          </w:tcPr>
          <w:p>
            <w:pPr>
              <w:spacing w:after="0" w:line="240" w:lineRule="auto"/>
            </w:pPr>
            <w:r>
              <w:t xml:space="preserve">H</w:t>
            </w:r>
          </w:p>
        </w:tc>
        <w:tc>
          <w:tcPr>
            <w:tcW w:w="0" w:type="auto"/>
          </w:tcPr>
          <w:p>
            <w:pPr>
              <w:spacing w:after="0" w:line="240" w:lineRule="auto"/>
            </w:pPr>
            <w:r>
              <w:t xml:space="preserve">m</w:t>
            </w:r>
          </w:p>
        </w:tc>
        <w:tc>
          <w:tcPr>
            <w:tcW w:w="0" w:type="auto"/>
          </w:tcPr>
          <w:p>
            <w:pPr>
              <w:spacing w:after="0" w:line="240" w:lineRule="auto"/>
            </w:pPr>
            <w:r>
              <w:t xml:space="preserve">Pflicht</w:t>
            </w:r>
          </w:p>
        </w:tc>
        <w:tc>
          <w:tcPr>
            <w:tcW w:w="0" w:type="auto"/>
          </w:tcPr>
          <w:p>
            <w:pPr>
              <w:spacing w:after="0" w:line="240" w:lineRule="auto"/>
            </w:pPr>
            <w:r>
              <w:t xml:space="preserve">&gt; 0</w:t>
            </w:r>
          </w:p>
        </w:tc>
      </w:tr>
      <w:tr>
        <w:tc>
          <w:tcPr>
            <w:tcW w:w="0" w:type="auto"/>
          </w:tcPr>
          <w:p>
            <w:pPr>
              <w:spacing w:after="0" w:line="240" w:lineRule="auto"/>
            </w:pPr>
            <w:r>
              <w:t xml:space="preserve">Speichermasse</w:t>
            </w:r>
          </w:p>
        </w:tc>
        <w:tc>
          <w:tcPr>
            <w:tcW w:w="0" w:type="auto"/>
          </w:tcPr>
          <w:p>
            <w:pPr>
              <w:spacing w:after="0" w:line="240" w:lineRule="auto"/>
            </w:pPr>
            <w:r>
              <w:t xml:space="preserve">C_ges</w:t>
            </w:r>
          </w:p>
        </w:tc>
        <w:tc>
          <w:tcPr>
            <w:tcW w:w="0" w:type="auto"/>
          </w:tcPr>
          <w:p>
            <w:pPr>
              <w:spacing w:after="0" w:line="240" w:lineRule="auto"/>
            </w:pPr>
            <w:r>
              <w:t xml:space="preserve">Wh/K</w:t>
            </w:r>
          </w:p>
        </w:tc>
        <w:tc>
          <w:tcPr>
            <w:tcW w:w="0" w:type="auto"/>
          </w:tcPr>
          <w:p>
            <w:pPr>
              <w:spacing w:after="0" w:line="240" w:lineRule="auto"/>
            </w:pPr>
            <w:r>
              <w:t xml:space="preserve">Pflicht</w:t>
            </w:r>
          </w:p>
        </w:tc>
        <w:tc>
          <w:tcPr>
            <w:tcW w:w="0" w:type="auto"/>
          </w:tcPr>
          <w:p>
            <w:pPr>
              <w:spacing w:after="0" w:line="240" w:lineRule="auto"/>
            </w:pPr>
            <w:r>
              <w:t xml:space="preserve">5 ≤ C_ges/A_f ≤ 200 Wh/(m²K)</w:t>
            </w:r>
          </w:p>
        </w:tc>
      </w:tr>
      <w:tr>
        <w:tc>
          <w:tcPr>
            <w:tcW w:w="0" w:type="auto"/>
          </w:tcPr>
          <w:p>
            <w:pPr>
              <w:spacing w:after="0" w:line="240" w:lineRule="auto"/>
            </w:pPr>
            <w:r>
              <w:t xml:space="preserve">U-Werte Außenwand, Fenster, Dach, Grundfläche, Sonstiges</w:t>
            </w:r>
          </w:p>
        </w:tc>
        <w:tc>
          <w:tcPr>
            <w:tcW w:w="0" w:type="auto"/>
          </w:tcPr>
          <w:p>
            <w:pPr>
              <w:spacing w:after="0" w:line="240" w:lineRule="auto"/>
            </w:pPr>
            <w:r>
              <w:t xml:space="preserve">U_AW, U_w, U_D, U_G, U_So</w:t>
            </w:r>
          </w:p>
        </w:tc>
        <w:tc>
          <w:tcPr>
            <w:tcW w:w="0" w:type="auto"/>
          </w:tcPr>
          <w:p>
            <w:pPr>
              <w:spacing w:after="0" w:line="240" w:lineRule="auto"/>
            </w:pPr>
            <w:r>
              <w:t xml:space="preserve">W/(m²K)</w:t>
            </w:r>
          </w:p>
        </w:tc>
        <w:tc>
          <w:tcPr>
            <w:tcW w:w="0" w:type="auto"/>
          </w:tcPr>
          <w:p>
            <w:pPr>
              <w:spacing w:after="0" w:line="240" w:lineRule="auto"/>
            </w:pPr>
            <w:r>
              <w:t xml:space="preserve">—</w:t>
            </w:r>
          </w:p>
        </w:tc>
        <w:tc>
          <w:tcPr>
            <w:tcW w:w="0" w:type="auto"/>
          </w:tcPr>
          <w:p>
            <w:pPr>
              <w:spacing w:after="0" w:line="240" w:lineRule="auto"/>
            </w:pPr>
            <w:r>
              <w:t xml:space="preserve">0,1 … 6</w:t>
            </w:r>
          </w:p>
        </w:tc>
      </w:tr>
      <w:tr>
        <w:tc>
          <w:tcPr>
            <w:tcW w:w="0" w:type="auto"/>
          </w:tcPr>
          <w:p>
            <w:pPr>
              <w:spacing w:after="0" w:line="240" w:lineRule="auto"/>
            </w:pPr>
            <w:r>
              <w:t xml:space="preserve">Flächen Außenwand, Fenster gesamt, Dach, Grundfläche, Sonstiges</w:t>
            </w:r>
          </w:p>
        </w:tc>
        <w:tc>
          <w:tcPr>
            <w:tcW w:w="0" w:type="auto"/>
          </w:tcPr>
          <w:p>
            <w:pPr>
              <w:spacing w:after="0" w:line="240" w:lineRule="auto"/>
            </w:pPr>
            <w:r>
              <w:t xml:space="preserve">A_AW, A_w, A_D, A_G, A_So</w:t>
            </w:r>
          </w:p>
        </w:tc>
        <w:tc>
          <w:tcPr>
            <w:tcW w:w="0" w:type="auto"/>
          </w:tcPr>
          <w:p>
            <w:pPr>
              <w:spacing w:after="0" w:line="240" w:lineRule="auto"/>
            </w:pPr>
            <w:r>
              <w:t xml:space="preserve">m²</w:t>
            </w:r>
          </w:p>
        </w:tc>
        <w:tc>
          <w:tcPr>
            <w:tcW w:w="0" w:type="auto"/>
          </w:tcPr>
          <w:p>
            <w:pPr>
              <w:spacing w:after="0" w:line="240" w:lineRule="auto"/>
            </w:pPr>
            <w:r>
              <w:t xml:space="preserve">—</w:t>
            </w:r>
          </w:p>
        </w:tc>
        <w:tc>
          <w:tcPr>
            <w:tcW w:w="0" w:type="auto"/>
          </w:tcPr>
          <w:p>
            <w:pPr>
              <w:spacing w:after="0" w:line="240" w:lineRule="auto"/>
            </w:pPr>
            <w:r>
              <w:t xml:space="preserve">≥ 0</w:t>
            </w:r>
          </w:p>
        </w:tc>
      </w:tr>
      <w:tr>
        <w:tc>
          <w:tcPr>
            <w:tcW w:w="0" w:type="auto"/>
          </w:tcPr>
          <w:p>
            <w:pPr>
              <w:spacing w:after="0" w:line="240" w:lineRule="auto"/>
            </w:pPr>
            <w:r>
              <w:t xml:space="preserve">Fensterflächen Süd, Nord, Ost, West</w:t>
            </w:r>
          </w:p>
        </w:tc>
        <w:tc>
          <w:tcPr>
            <w:tcW w:w="0" w:type="auto"/>
          </w:tcPr>
          <w:p>
            <w:pPr>
              <w:spacing w:after="0" w:line="240" w:lineRule="auto"/>
            </w:pPr>
            <w:r>
              <w:t xml:space="preserve">A_w,S … A_w,W</w:t>
            </w:r>
          </w:p>
        </w:tc>
        <w:tc>
          <w:tcPr>
            <w:tcW w:w="0" w:type="auto"/>
          </w:tcPr>
          <w:p>
            <w:pPr>
              <w:spacing w:after="0" w:line="240" w:lineRule="auto"/>
            </w:pPr>
            <w:r>
              <w:t xml:space="preserve">m²</w:t>
            </w:r>
          </w:p>
        </w:tc>
        <w:tc>
          <w:tcPr>
            <w:tcW w:w="0" w:type="auto"/>
          </w:tcPr>
          <w:p>
            <w:pPr>
              <w:spacing w:after="0" w:line="240" w:lineRule="auto"/>
            </w:pPr>
            <w:r>
              <w:t xml:space="preserve">Ost und West je ½ der Ost-West-Summe</w:t>
            </w:r>
          </w:p>
        </w:tc>
        <w:tc>
          <w:tcPr>
            <w:tcW w:w="0" w:type="auto"/>
          </w:tcPr>
          <w:p>
            <w:pPr>
              <w:spacing w:after="0" w:line="240" w:lineRule="auto"/>
            </w:pPr>
            <w:r>
              <w:t xml:space="preserve">Summe aller vier = A_w</w:t>
            </w:r>
          </w:p>
        </w:tc>
      </w:tr>
      <w:tr>
        <w:tc>
          <w:tcPr>
            <w:tcW w:w="0" w:type="auto"/>
          </w:tcPr>
          <w:p>
            <w:pPr>
              <w:spacing w:after="0" w:line="240" w:lineRule="auto"/>
            </w:pPr>
            <w:r>
              <w:t xml:space="preserve">Gesamtenergiedurchlassgrad</w:t>
            </w:r>
          </w:p>
        </w:tc>
        <w:tc>
          <w:tcPr>
            <w:tcW w:w="0" w:type="auto"/>
          </w:tcPr>
          <w:p>
            <w:pPr>
              <w:spacing w:after="0" w:line="240" w:lineRule="auto"/>
            </w:pPr>
            <w:r>
              <w:t xml:space="preserve">g</w:t>
            </w:r>
          </w:p>
        </w:tc>
        <w:tc>
          <w:tcPr>
            <w:tcW w:w="0" w:type="auto"/>
          </w:tcPr>
          <w:p>
            <w:pPr>
              <w:spacing w:after="0" w:line="240" w:lineRule="auto"/>
            </w:pPr>
            <w:r>
              <w:t xml:space="preserve">—</w:t>
            </w:r>
          </w:p>
        </w:tc>
        <w:tc>
          <w:tcPr>
            <w:tcW w:w="0" w:type="auto"/>
          </w:tcPr>
          <w:p>
            <w:pPr>
              <w:spacing w:after="0" w:line="240" w:lineRule="auto"/>
            </w:pPr>
            <w:r>
              <w:t xml:space="preserve">—</w:t>
            </w:r>
          </w:p>
        </w:tc>
        <w:tc>
          <w:tcPr>
            <w:tcW w:w="0" w:type="auto"/>
          </w:tcPr>
          <w:p>
            <w:pPr>
              <w:spacing w:after="0" w:line="240" w:lineRule="auto"/>
            </w:pPr>
            <w:r>
              <w:t xml:space="preserve">0 &lt; g ≤ 1</w:t>
            </w:r>
          </w:p>
        </w:tc>
      </w:tr>
      <w:tr>
        <w:tc>
          <w:tcPr>
            <w:tcW w:w="0" w:type="auto"/>
          </w:tcPr>
          <w:p>
            <w:pPr>
              <w:spacing w:after="0" w:line="240" w:lineRule="auto"/>
            </w:pPr>
            <w:r>
              <w:t xml:space="preserve">Rahmenanteil, Verschattungsfaktor</w:t>
            </w:r>
          </w:p>
        </w:tc>
        <w:tc>
          <w:tcPr>
            <w:tcW w:w="0" w:type="auto"/>
          </w:tcPr>
          <w:p>
            <w:pPr>
              <w:spacing w:after="0" w:line="240" w:lineRule="auto"/>
            </w:pPr>
            <w:r>
              <w:t xml:space="preserve">1 − F_F, F_S</w:t>
            </w:r>
          </w:p>
        </w:tc>
        <w:tc>
          <w:tcPr>
            <w:tcW w:w="0" w:type="auto"/>
          </w:tcPr>
          <w:p>
            <w:pPr>
              <w:spacing w:after="0" w:line="240" w:lineRule="auto"/>
            </w:pPr>
            <w:r>
              <w:t xml:space="preserve">—</w:t>
            </w:r>
          </w:p>
        </w:tc>
        <w:tc>
          <w:tcPr>
            <w:tcW w:w="0" w:type="auto"/>
          </w:tcPr>
          <w:p>
            <w:pPr>
              <w:spacing w:after="0" w:line="240" w:lineRule="auto"/>
            </w:pPr>
            <w:r>
              <w:t xml:space="preserve">0,3 bzw. 0,9</w:t>
            </w:r>
          </w:p>
        </w:tc>
        <w:tc>
          <w:tcPr>
            <w:tcW w:w="0" w:type="auto"/>
          </w:tcPr>
          <w:p>
            <w:pPr>
              <w:spacing w:after="0" w:line="240" w:lineRule="auto"/>
            </w:pPr>
            <w:r>
              <w:t xml:space="preserve">0 ≤ Wert &lt; 1 bzw. 0 &lt; F_S ≤ 1</w:t>
            </w:r>
          </w:p>
        </w:tc>
      </w:tr>
      <w:tr>
        <w:tc>
          <w:tcPr>
            <w:tcW w:w="0" w:type="auto"/>
          </w:tcPr>
          <w:p>
            <w:pPr>
              <w:spacing w:after="0" w:line="240" w:lineRule="auto"/>
            </w:pPr>
            <w:r>
              <w:t xml:space="preserve">Wärmebrücken, drei Paare aus ψ und Länge</w:t>
            </w:r>
          </w:p>
        </w:tc>
        <w:tc>
          <w:tcPr>
            <w:tcW w:w="0" w:type="auto"/>
          </w:tcPr>
          <w:p>
            <w:pPr>
              <w:spacing w:after="0" w:line="240" w:lineRule="auto"/>
            </w:pPr>
            <w:r>
              <w:t xml:space="preserve">ψ_k, L_k</w:t>
            </w:r>
          </w:p>
        </w:tc>
        <w:tc>
          <w:tcPr>
            <w:tcW w:w="0" w:type="auto"/>
          </w:tcPr>
          <w:p>
            <w:pPr>
              <w:spacing w:after="0" w:line="240" w:lineRule="auto"/>
            </w:pPr>
            <w:r>
              <w:t xml:space="preserve">W/(mK), m</w:t>
            </w:r>
          </w:p>
        </w:tc>
        <w:tc>
          <w:tcPr>
            <w:tcW w:w="0" w:type="auto"/>
          </w:tcPr>
          <w:p>
            <w:pPr>
              <w:spacing w:after="0" w:line="240" w:lineRule="auto"/>
            </w:pPr>
            <w:r>
              <w:t xml:space="preserve">0</w:t>
            </w:r>
          </w:p>
        </w:tc>
        <w:tc>
          <w:tcPr>
            <w:tcW w:w="0" w:type="auto"/>
          </w:tcPr>
          <w:p>
            <w:pPr>
              <w:spacing w:after="0" w:line="240" w:lineRule="auto"/>
            </w:pPr>
            <w:r>
              <w:t xml:space="preserve">≥ 0</w:t>
            </w:r>
          </w:p>
        </w:tc>
      </w:tr>
      <w:tr>
        <w:tc>
          <w:tcPr>
            <w:tcW w:w="0" w:type="auto"/>
          </w:tcPr>
          <w:p>
            <w:pPr>
              <w:spacing w:after="0" w:line="240" w:lineRule="auto"/>
            </w:pPr>
            <w:r>
              <w:t xml:space="preserve">Luftwechselrate</w:t>
            </w:r>
          </w:p>
        </w:tc>
        <w:tc>
          <w:tcPr>
            <w:tcW w:w="0" w:type="auto"/>
          </w:tcPr>
          <w:p>
            <w:pPr>
              <w:spacing w:after="0" w:line="240" w:lineRule="auto"/>
            </w:pPr>
            <w:r>
              <w:t xml:space="preserve">n</w:t>
            </w:r>
          </w:p>
        </w:tc>
        <w:tc>
          <w:tcPr>
            <w:tcW w:w="0" w:type="auto"/>
          </w:tcPr>
          <w:p>
            <w:pPr>
              <w:spacing w:after="0" w:line="240" w:lineRule="auto"/>
            </w:pPr>
            <w:r>
              <w:t xml:space="preserve">1/h</w:t>
            </w:r>
          </w:p>
        </w:tc>
        <w:tc>
          <w:tcPr>
            <w:tcW w:w="0" w:type="auto"/>
          </w:tcPr>
          <w:p>
            <w:pPr>
              <w:spacing w:after="0" w:line="240" w:lineRule="auto"/>
            </w:pPr>
            <w:r>
              <w:t xml:space="preserve">— (DDL-Vorgabe 0)</w:t>
            </w:r>
          </w:p>
        </w:tc>
        <w:tc>
          <w:tcPr>
            <w:tcW w:w="0" w:type="auto"/>
          </w:tcPr>
          <w:p>
            <w:pPr>
              <w:spacing w:after="0" w:line="240" w:lineRule="auto"/>
            </w:pPr>
            <w:r>
              <w:t xml:space="preserve">&gt; 0</w:t>
            </w:r>
          </w:p>
        </w:tc>
      </w:tr>
      <w:tr>
        <w:tc>
          <w:tcPr>
            <w:tcW w:w="0" w:type="auto"/>
          </w:tcPr>
          <w:p>
            <w:pPr>
              <w:spacing w:after="0" w:line="240" w:lineRule="auto"/>
            </w:pPr>
            <w:r>
              <w:t xml:space="preserve">Infiltration und Nutzerlüftung (G2)</w:t>
            </w:r>
          </w:p>
        </w:tc>
        <w:tc>
          <w:tcPr>
            <w:tcW w:w="0" w:type="auto"/>
          </w:tcPr>
          <w:p>
            <w:pPr>
              <w:spacing w:after="0" w:line="240" w:lineRule="auto"/>
            </w:pPr>
            <w:r>
              <w:t xml:space="preserve">n_inf, n_nutz</w:t>
            </w:r>
          </w:p>
        </w:tc>
        <w:tc>
          <w:tcPr>
            <w:tcW w:w="0" w:type="auto"/>
          </w:tcPr>
          <w:p>
            <w:pPr>
              <w:spacing w:after="0" w:line="240" w:lineRule="auto"/>
            </w:pPr>
            <w:r>
              <w:t xml:space="preserve">1/h</w:t>
            </w:r>
          </w:p>
        </w:tc>
        <w:tc>
          <w:tcPr>
            <w:tcW w:w="0" w:type="auto"/>
          </w:tcPr>
          <w:p>
            <w:pPr>
              <w:spacing w:after="0" w:line="240" w:lineRule="auto"/>
            </w:pPr>
            <w:r>
              <w:t xml:space="preserve">0,3 bzw. 0,4</w:t>
            </w:r>
          </w:p>
        </w:tc>
        <w:tc>
          <w:tcPr>
            <w:tcW w:w="0" w:type="auto"/>
          </w:tcPr>
          <w:p>
            <w:pPr>
              <w:spacing w:after="0" w:line="240" w:lineRule="auto"/>
            </w:pPr>
            <w:r>
              <w:t xml:space="preserve">&gt; 0 bzw. ≥ 0</w:t>
            </w:r>
          </w:p>
        </w:tc>
      </w:tr>
      <w:tr>
        <w:tc>
          <w:tcPr>
            <w:tcW w:w="0" w:type="auto"/>
          </w:tcPr>
          <w:p>
            <w:pPr>
              <w:spacing w:after="0" w:line="240" w:lineRule="auto"/>
            </w:pPr>
            <w:r>
              <w:t xml:space="preserve">Innere Wärmegewinne</w:t>
            </w:r>
          </w:p>
        </w:tc>
        <w:tc>
          <w:tcPr>
            <w:tcW w:w="0" w:type="auto"/>
          </w:tcPr>
          <w:p>
            <w:pPr>
              <w:spacing w:after="0" w:line="240" w:lineRule="auto"/>
            </w:pPr>
            <w:r>
              <w:t xml:space="preserve">Φ_int</w:t>
            </w:r>
          </w:p>
        </w:tc>
        <w:tc>
          <w:tcPr>
            <w:tcW w:w="0" w:type="auto"/>
          </w:tcPr>
          <w:p>
            <w:pPr>
              <w:spacing w:after="0" w:line="240" w:lineRule="auto"/>
            </w:pPr>
            <w:r>
              <w:t xml:space="preserve">W</w:t>
            </w:r>
          </w:p>
        </w:tc>
        <w:tc>
          <w:tcPr>
            <w:tcW w:w="0" w:type="auto"/>
          </w:tcPr>
          <w:p>
            <w:pPr>
              <w:spacing w:after="0" w:line="240" w:lineRule="auto"/>
            </w:pPr>
            <w:r>
              <w:t xml:space="preserve">0</w:t>
            </w:r>
          </w:p>
        </w:tc>
        <w:tc>
          <w:tcPr>
            <w:tcW w:w="0" w:type="auto"/>
          </w:tcPr>
          <w:p>
            <w:pPr>
              <w:spacing w:after="0" w:line="240" w:lineRule="auto"/>
            </w:pPr>
            <w:r>
              <w:t xml:space="preserve">≥ 0, Leistung des ganzen Katalogbaus</w:t>
            </w:r>
          </w:p>
        </w:tc>
      </w:tr>
      <w:tr>
        <w:tc>
          <w:tcPr>
            <w:tcW w:w="0" w:type="auto"/>
          </w:tcPr>
          <w:p>
            <w:pPr>
              <w:spacing w:after="0" w:line="240" w:lineRule="auto"/>
            </w:pPr>
            <w:r>
              <w:t xml:space="preserve">Sollwerte Tag, Nacht, Wochenende, Ferien</w:t>
            </w:r>
          </w:p>
        </w:tc>
        <w:tc>
          <w:tcPr>
            <w:tcW w:w="0" w:type="auto"/>
          </w:tcPr>
          <w:p>
            <w:pPr>
              <w:spacing w:after="0" w:line="240" w:lineRule="auto"/>
            </w:pPr>
            <w:r>
              <w:t xml:space="preserve">θ_soll,*</w:t>
            </w:r>
          </w:p>
        </w:tc>
        <w:tc>
          <w:tcPr>
            <w:tcW w:w="0" w:type="auto"/>
          </w:tcPr>
          <w:p>
            <w:pPr>
              <w:spacing w:after="0" w:line="240" w:lineRule="auto"/>
            </w:pPr>
            <w:r>
              <w:t xml:space="preserve">°C</w:t>
            </w:r>
          </w:p>
        </w:tc>
        <w:tc>
          <w:tcPr>
            <w:tcW w:w="0" w:type="auto"/>
          </w:tcPr>
          <w:p>
            <w:pPr>
              <w:spacing w:after="0" w:line="240" w:lineRule="auto"/>
            </w:pPr>
            <w:r>
              <w:t xml:space="preserve">—</w:t>
            </w:r>
          </w:p>
        </w:tc>
        <w:tc>
          <w:tcPr>
            <w:tcW w:w="0" w:type="auto"/>
          </w:tcPr>
          <w:p>
            <w:pPr>
              <w:spacing w:after="0" w:line="240" w:lineRule="auto"/>
            </w:pPr>
            <w:r>
              <w:t xml:space="preserve">Tag gilt Stunden 7…22; Wochenende wirkt nur über Wert &gt; 5</w:t>
            </w:r>
          </w:p>
        </w:tc>
      </w:tr>
      <w:tr>
        <w:tc>
          <w:tcPr>
            <w:tcW w:w="0" w:type="auto"/>
          </w:tcPr>
          <w:p>
            <w:pPr>
              <w:spacing w:after="0" w:line="240" w:lineRule="auto"/>
            </w:pPr>
            <w:r>
              <w:t xml:space="preserve">Obere Raumtemperatur</w:t>
            </w:r>
          </w:p>
        </w:tc>
        <w:tc>
          <w:tcPr>
            <w:tcW w:w="0" w:type="auto"/>
          </w:tcPr>
          <w:p>
            <w:pPr>
              <w:spacing w:after="0" w:line="240" w:lineRule="auto"/>
            </w:pPr>
            <w:r>
              <w:t xml:space="preserve">θ_max</w:t>
            </w:r>
          </w:p>
        </w:tc>
        <w:tc>
          <w:tcPr>
            <w:tcW w:w="0" w:type="auto"/>
          </w:tcPr>
          <w:p>
            <w:pPr>
              <w:spacing w:after="0" w:line="240" w:lineRule="auto"/>
            </w:pPr>
            <w:r>
              <w:t xml:space="preserve">°C</w:t>
            </w:r>
          </w:p>
        </w:tc>
        <w:tc>
          <w:tcPr>
            <w:tcW w:w="0" w:type="auto"/>
          </w:tcPr>
          <w:p>
            <w:pPr>
              <w:spacing w:after="0" w:line="240" w:lineRule="auto"/>
            </w:pPr>
            <w:r>
              <w:t xml:space="preserve">—</w:t>
            </w:r>
          </w:p>
        </w:tc>
        <w:tc>
          <w:tcPr>
            <w:tcW w:w="0" w:type="auto"/>
          </w:tcPr>
          <w:p>
            <w:pPr>
              <w:spacing w:after="0" w:line="240" w:lineRule="auto"/>
            </w:pPr>
            <w:r>
              <w:t xml:space="preserve">&gt; θ_soll,Tag</w:t>
            </w:r>
          </w:p>
        </w:tc>
      </w:tr>
      <w:tr>
        <w:tc>
          <w:tcPr>
            <w:tcW w:w="0" w:type="auto"/>
          </w:tcPr>
          <w:p>
            <w:pPr>
              <w:spacing w:after="0" w:line="240" w:lineRule="auto"/>
            </w:pPr>
            <w:r>
              <w:t xml:space="preserve">Ferienzeiträume</w:t>
            </w:r>
          </w:p>
        </w:tc>
        <w:tc>
          <w:tcPr>
            <w:tcW w:w="0" w:type="auto"/>
          </w:tcPr>
          <w:p>
            <w:pPr>
              <w:spacing w:after="0" w:line="240" w:lineRule="auto"/>
            </w:pPr>
            <w:r>
              <w:t xml:space="preserve">—</w:t>
            </w:r>
          </w:p>
        </w:tc>
        <w:tc>
          <w:tcPr>
            <w:tcW w:w="0" w:type="auto"/>
          </w:tcPr>
          <w:p>
            <w:pPr>
              <w:spacing w:after="0" w:line="240" w:lineRule="auto"/>
            </w:pPr>
            <w:r>
              <w:t xml:space="preserve">Tag 1…365</w:t>
            </w:r>
          </w:p>
        </w:tc>
        <w:tc>
          <w:tcPr>
            <w:tcW w:w="0" w:type="auto"/>
          </w:tcPr>
          <w:p>
            <w:pPr>
              <w:spacing w:after="0" w:line="240" w:lineRule="auto"/>
            </w:pPr>
            <w:r>
              <w:t xml:space="preserve">aus</w:t>
            </w:r>
          </w:p>
        </w:tc>
        <w:tc>
          <w:tcPr>
            <w:tcW w:w="0" w:type="auto"/>
          </w:tcPr>
          <w:p>
            <w:pPr>
              <w:spacing w:after="0" w:line="240" w:lineRule="auto"/>
            </w:pPr>
            <w:r>
              <w:rPr>
                <w:b/>
              </w:rPr>
              <w:t xml:space="preserve">0 und 366 heißen „aus"</w:t>
            </w:r>
          </w:p>
        </w:tc>
      </w:tr>
      <w:tr>
        <w:tc>
          <w:tcPr>
            <w:tcW w:w="0" w:type="auto"/>
          </w:tcPr>
          <w:p>
            <w:pPr>
              <w:spacing w:after="0" w:line="240" w:lineRule="auto"/>
            </w:pPr>
            <w:r>
              <w:t xml:space="preserve">Masseanteil außen, Innenflächenfaktor</w:t>
            </w:r>
          </w:p>
        </w:tc>
        <w:tc>
          <w:tcPr>
            <w:tcW w:w="0" w:type="auto"/>
          </w:tcPr>
          <w:p>
            <w:pPr>
              <w:spacing w:after="0" w:line="240" w:lineRule="auto"/>
            </w:pPr>
            <w:r>
              <w:t xml:space="preserve">a_AW, f_IW</w:t>
            </w:r>
          </w:p>
        </w:tc>
        <w:tc>
          <w:tcPr>
            <w:tcW w:w="0" w:type="auto"/>
          </w:tcPr>
          <w:p>
            <w:pPr>
              <w:spacing w:after="0" w:line="240" w:lineRule="auto"/>
            </w:pPr>
            <w:r>
              <w:t xml:space="preserve">—</w:t>
            </w:r>
          </w:p>
        </w:tc>
        <w:tc>
          <w:tcPr>
            <w:tcW w:w="0" w:type="auto"/>
          </w:tcPr>
          <w:p>
            <w:pPr>
              <w:spacing w:after="0" w:line="240" w:lineRule="auto"/>
            </w:pPr>
            <w:r>
              <w:t xml:space="preserve">0,3 bzw. 2,5</w:t>
            </w:r>
          </w:p>
        </w:tc>
        <w:tc>
          <w:tcPr>
            <w:tcW w:w="0" w:type="auto"/>
          </w:tcPr>
          <w:p>
            <w:pPr>
              <w:spacing w:after="0" w:line="240" w:lineRule="auto"/>
            </w:pPr>
            <w:r>
              <w:t xml:space="preserve">0 &lt; a_AW &lt; 1; f_IW &gt; 0</w:t>
            </w:r>
          </w:p>
        </w:tc>
      </w:tr>
      <w:tr>
        <w:tc>
          <w:tcPr>
            <w:tcW w:w="0" w:type="auto"/>
          </w:tcPr>
          <w:p>
            <w:pPr>
              <w:spacing w:after="0" w:line="240" w:lineRule="auto"/>
            </w:pPr>
            <w:r>
              <w:t xml:space="preserve">Strahlungsanteil der Heizung</w:t>
            </w:r>
          </w:p>
        </w:tc>
        <w:tc>
          <w:tcPr>
            <w:tcW w:w="0" w:type="auto"/>
          </w:tcPr>
          <w:p>
            <w:pPr>
              <w:spacing w:after="0" w:line="240" w:lineRule="auto"/>
            </w:pPr>
            <w:r>
              <w:t xml:space="preserve">a_str,H</w:t>
            </w:r>
          </w:p>
        </w:tc>
        <w:tc>
          <w:tcPr>
            <w:tcW w:w="0" w:type="auto"/>
          </w:tcPr>
          <w:p>
            <w:pPr>
              <w:spacing w:after="0" w:line="240" w:lineRule="auto"/>
            </w:pPr>
            <w:r>
              <w:t xml:space="preserve">—</w:t>
            </w:r>
          </w:p>
        </w:tc>
        <w:tc>
          <w:tcPr>
            <w:tcW w:w="0" w:type="auto"/>
          </w:tcPr>
          <w:p>
            <w:pPr>
              <w:spacing w:after="0" w:line="240" w:lineRule="auto"/>
            </w:pPr>
            <w:r>
              <w:t xml:space="preserve">0,3</w:t>
            </w:r>
          </w:p>
        </w:tc>
        <w:tc>
          <w:tcPr>
            <w:tcW w:w="0" w:type="auto"/>
          </w:tcPr>
          <w:p>
            <w:pPr>
              <w:spacing w:after="0" w:line="240" w:lineRule="auto"/>
            </w:pPr>
            <w:r>
              <w:t xml:space="preserve">0 … 1</w:t>
            </w:r>
          </w:p>
        </w:tc>
      </w:tr>
      <w:tr>
        <w:tc>
          <w:tcPr>
            <w:tcW w:w="0" w:type="auto"/>
          </w:tcPr>
          <w:p>
            <w:pPr>
              <w:spacing w:after="0" w:line="240" w:lineRule="auto"/>
            </w:pPr>
            <w:r>
              <w:t xml:space="preserve">Heizleistungsgrenze</w:t>
            </w:r>
          </w:p>
        </w:tc>
        <w:tc>
          <w:tcPr>
            <w:tcW w:w="0" w:type="auto"/>
          </w:tcPr>
          <w:p>
            <w:pPr>
              <w:spacing w:after="0" w:line="240" w:lineRule="auto"/>
            </w:pPr>
            <w:r>
              <w:t xml:space="preserve">Φ_h,max</w:t>
            </w:r>
          </w:p>
        </w:tc>
        <w:tc>
          <w:tcPr>
            <w:tcW w:w="0" w:type="auto"/>
          </w:tcPr>
          <w:p>
            <w:pPr>
              <w:spacing w:after="0" w:line="240" w:lineRule="auto"/>
            </w:pPr>
            <w:r>
              <w:rPr>
                <w:b/>
              </w:rPr>
              <w:t xml:space="preserve">kW</w:t>
            </w:r>
          </w:p>
        </w:tc>
        <w:tc>
          <w:tcPr>
            <w:tcW w:w="0" w:type="auto"/>
          </w:tcPr>
          <w:p>
            <w:pPr>
              <w:spacing w:after="0" w:line="240" w:lineRule="auto"/>
            </w:pPr>
            <w:r>
              <w:t xml:space="preserve">unbegrenzt</w:t>
            </w:r>
          </w:p>
        </w:tc>
        <w:tc>
          <w:tcPr>
            <w:tcW w:w="0" w:type="auto"/>
          </w:tcPr>
          <w:p>
            <w:pPr>
              <w:spacing w:after="0" w:line="240" w:lineRule="auto"/>
            </w:pPr>
            <w:r>
              <w:t xml:space="preserve">der Eingangsbauer bildet daraus </w:t>
            </w:r>
            <w:r>
              <w:rPr>
                <w:b/>
              </w:rPr>
              <w:t xml:space="preserve">einmal</w:t>
            </w:r>
            <w:r>
              <w:t xml:space="preserve"> den Wattwert</w:t>
            </w:r>
          </w:p>
        </w:tc>
      </w:tr>
      <w:tr>
        <w:tc>
          <w:tcPr>
            <w:tcW w:w="0" w:type="auto"/>
          </w:tcPr>
          <w:p>
            <w:pPr>
              <w:spacing w:after="0" w:line="240" w:lineRule="auto"/>
            </w:pPr>
            <w:r>
              <w:t xml:space="preserve">Randbedingung Grundfläche, Kellertemperatur</w:t>
            </w:r>
          </w:p>
        </w:tc>
        <w:tc>
          <w:tcPr>
            <w:tcW w:w="0" w:type="auto"/>
          </w:tcPr>
          <w:p>
            <w:pPr>
              <w:spacing w:after="0" w:line="240" w:lineRule="auto"/>
            </w:pPr>
            <w:r>
              <w:t xml:space="preserve">— , θ_NR</w:t>
            </w:r>
          </w:p>
        </w:tc>
        <w:tc>
          <w:tcPr>
            <w:tcW w:w="0" w:type="auto"/>
          </w:tcPr>
          <w:p>
            <w:pPr>
              <w:spacing w:after="0" w:line="240" w:lineRule="auto"/>
            </w:pPr>
            <w:r>
              <w:t xml:space="preserve">— , °C</w:t>
            </w:r>
          </w:p>
        </w:tc>
        <w:tc>
          <w:tcPr>
            <w:tcW w:w="0" w:type="auto"/>
          </w:tcPr>
          <w:p>
            <w:pPr>
              <w:spacing w:after="0" w:line="240" w:lineRule="auto"/>
            </w:pPr>
            <w:r>
              <w:t xml:space="preserve">ERDREICH bzw. 10</w:t>
            </w:r>
          </w:p>
        </w:tc>
        <w:tc>
          <w:tcPr>
            <w:tcW w:w="0" w:type="auto"/>
          </w:tcPr>
          <w:p>
            <w:pPr>
              <w:spacing w:after="0" w:line="240" w:lineRule="auto"/>
            </w:pPr>
            <w:r>
              <w:t xml:space="preserve">ERDREICH / KELLER / AUSSENLUFT</w:t>
            </w:r>
          </w:p>
        </w:tc>
      </w:tr>
      <w:tr>
        <w:tc>
          <w:tcPr>
            <w:tcW w:w="0" w:type="auto"/>
          </w:tcPr>
          <w:p>
            <w:pPr>
              <w:spacing w:after="0" w:line="240" w:lineRule="auto"/>
            </w:pPr>
            <w:r>
              <w:t xml:space="preserve">Strahlung auf Außenbauteile</w:t>
            </w:r>
          </w:p>
        </w:tc>
        <w:tc>
          <w:tcPr>
            <w:tcW w:w="0" w:type="auto"/>
          </w:tcPr>
          <w:p>
            <w:pPr>
              <w:spacing w:after="0" w:line="240" w:lineRule="auto"/>
            </w:pPr>
            <w:r>
              <w:t xml:space="preserve">—</w:t>
            </w:r>
          </w:p>
        </w:tc>
        <w:tc>
          <w:tcPr>
            <w:tcW w:w="0" w:type="auto"/>
          </w:tcPr>
          <w:p>
            <w:pPr>
              <w:spacing w:after="0" w:line="240" w:lineRule="auto"/>
            </w:pPr>
            <w:r>
              <w:t xml:space="preserve">0/1</w:t>
            </w:r>
          </w:p>
        </w:tc>
        <w:tc>
          <w:tcPr>
            <w:tcW w:w="0" w:type="auto"/>
          </w:tcPr>
          <w:p>
            <w:pPr>
              <w:spacing w:after="0" w:line="240" w:lineRule="auto"/>
            </w:pPr>
            <w:r>
              <w:t xml:space="preserve">0 (Schalter)</w:t>
            </w:r>
          </w:p>
        </w:tc>
        <w:tc>
          <w:tcPr>
            <w:tcW w:w="0" w:type="auto"/>
          </w:tcPr>
          <w:p>
            <w:pPr>
              <w:spacing w:after="0" w:line="240" w:lineRule="auto"/>
            </w:pPr>
            <w:r>
              <w:t xml:space="preserve">—</w:t>
            </w:r>
          </w:p>
        </w:tc>
      </w:tr>
      <w:tr>
        <w:tc>
          <w:tcPr>
            <w:tcW w:w="0" w:type="auto"/>
          </w:tcPr>
          <w:p>
            <w:pPr>
              <w:spacing w:after="0" w:line="240" w:lineRule="auto"/>
            </w:pPr>
            <w:r>
              <w:t xml:space="preserve">Projektfläche, Katalogfläche, Jahresnutzungsgrad, Fläche je Person</w:t>
            </w:r>
          </w:p>
        </w:tc>
        <w:tc>
          <w:tcPr>
            <w:tcW w:w="0" w:type="auto"/>
          </w:tcPr>
          <w:p>
            <w:pPr>
              <w:spacing w:after="0" w:line="240" w:lineRule="auto"/>
            </w:pPr>
            <w:r>
              <w:t xml:space="preserve">A_proj, A_alt, η, —</w:t>
            </w:r>
          </w:p>
        </w:tc>
        <w:tc>
          <w:tcPr>
            <w:tcW w:w="0" w:type="auto"/>
          </w:tcPr>
          <w:p>
            <w:pPr>
              <w:spacing w:after="0" w:line="240" w:lineRule="auto"/>
            </w:pPr>
            <w:r>
              <w:t xml:space="preserve">m², m², —, m²/Person</w:t>
            </w:r>
          </w:p>
        </w:tc>
        <w:tc>
          <w:tcPr>
            <w:tcW w:w="0" w:type="auto"/>
          </w:tcPr>
          <w:p>
            <w:pPr>
              <w:spacing w:after="0" w:line="240" w:lineRule="auto"/>
            </w:pPr>
            <w:r>
              <w:t xml:space="preserve">—</w:t>
            </w:r>
          </w:p>
        </w:tc>
        <w:tc>
          <w:tcPr>
            <w:tcW w:w="0" w:type="auto"/>
          </w:tcPr>
          <w:p>
            <w:pPr>
              <w:spacing w:after="0" w:line="240" w:lineRule="auto"/>
            </w:pPr>
            <w:r>
              <w:t xml:space="preserve">&gt; 0</w:t>
            </w:r>
          </w:p>
        </w:tc>
      </w:tr>
    </w:tbl>
    <w:p>
      <w:pPr>
        <w:spacing w:after="120"/>
      </w:pPr>
    </w:p>
    <w:p>
      <w:r>
        <w:rPr>
          <w:b/>
        </w:rPr>
        <w:t xml:space="preserve">Klimadaten:</w:t>
      </w:r>
      <w:r>
        <w:t xml:space="preserve"> Außenlufttemperatur, Global-, Direkt- (normal zur Sonne) und Diffusstrahlung sowie Sonnenhöhe aus </w:t>
      </w:r>
      <w:r>
        <w:rPr>
          <w:rFonts w:ascii="Consolas" w:hAnsi="Consolas" w:cs="Consolas"/>
          <w:noProof/>
          <w:sz w:val="20"/>
          <w:szCs w:val="20"/>
          <w:shd w:val="clear" w:color="auto" w:fill="EFEFEF"/>
        </w:rPr>
        <w:t xml:space="preserve">Tab_Solar</w:t>
      </w:r>
      <w:r>
        <w:t xml:space="preserve">, gelesen über den Ortszeitweg; atmosphärische Gegenstrahlung, Windgeschwindigkeit und Luftfeuchte kommen mit einem eigenen Schemaschritt hinzu; die Wochenendmaske über 365 Tage aus </w:t>
      </w:r>
      <w:r>
        <w:rPr>
          <w:rFonts w:ascii="Consolas" w:hAnsi="Consolas" w:cs="Consolas"/>
          <w:noProof/>
          <w:sz w:val="20"/>
          <w:szCs w:val="20"/>
          <w:shd w:val="clear" w:color="auto" w:fill="EFEFEF"/>
        </w:rPr>
        <w:t xml:space="preserve">Tab_Klimadaten</w:t>
      </w:r>
      <w:r>
        <w:t xml:space="preserve">; Längen- und Breitengrad aus der Klimaregion des Projekts. Die isotropen Tagesmittel gehören dem Tagesbilanz-Weg; die gleichnamigen Stundenspalten werden beim Import geschrieben, aber </w:t>
      </w:r>
      <w:r>
        <w:rPr>
          <w:b/>
        </w:rPr>
        <w:t xml:space="preserve">von keinem Rechenweg des Kerns gelesen</w:t>
      </w:r>
      <w:r>
        <w:t xml:space="preserve"> — das Stundenmodell rechnet die Fassadenstrahlung selbst.</w:t>
      </w:r>
    </w:p>
    <w:p>
      <w:r>
        <w:rPr>
          <w:b/>
        </w:rPr>
        <w:t xml:space="preserve">Festwerte des Modells</w:t>
      </w:r>
      <w:r>
        <w:t xml:space="preserve"> (im Quelltext, nicht in der Datenbank): innerer Strahlungsübergang α_str,i = 5,0 W/(m²K); innerer konvektiver Übergang α_kon,i = 2,7 W/(m²K); äußerer Übergang α_A = 25 W/(m²K) als Summe 20,0 + 5,0 aus den Testräumen — </w:t>
      </w:r>
      <w:r>
        <w:rPr>
          <w:b/>
        </w:rPr>
        <w:t xml:space="preserve">kein gesetzter Normwert</w:t>
      </w:r>
      <w:r>
        <w:t xml:space="preserve">; Massen-Oberflächen-Koeffizient h_ms = 9,1 W/(m²K); innerer Wärmeübergangswiderstand R_si = 0,13 m²K/W; Winkelkorrektur Fenster F_W = 0,9; konvektiver Anteil des Fenstersolars a_kon = 0,09; Absorptionsgrad opaker Außenflächen a_F = 0,6; Wärmekapazität der Luft 0,34 Wh/(m³K); Erdreich in z = 1,0 m mit α_Erd = 0,06 m²/d, daraus Dämpfung 0,68 und Phasenverzug 22 d; Albedo 0,2; Zeitschritt 3 600 s; Vorlauf 30 d; Abschneidegrenze des Exponentialterms bei Z &gt; 170.</w:t>
      </w:r>
    </w:p>
    <w:p>
      <w:pPr>
        <w:pStyle w:val="Heading2"/>
      </w:pPr>
      <w:r>
        <w:t xml:space="preserve">10.3 Schritt A — Klassenweg: vom Katalogbau zu den Ersatzparametern</w:t>
      </w:r>
    </w:p>
    <w:p>
      <w:r>
        <w:rPr>
          <w:b/>
        </w:rPr>
        <w:t xml:space="preserve">Zweck.</w:t>
      </w:r>
      <w:r>
        <w:t xml:space="preserve"> Die RC-Größen ohne neue Eingaben aus dem bauen, was </w:t>
      </w:r>
      <w:r>
        <w:rPr>
          <w:rFonts w:ascii="Consolas" w:hAnsi="Consolas" w:cs="Consolas"/>
          <w:noProof/>
          <w:sz w:val="20"/>
          <w:szCs w:val="20"/>
          <w:shd w:val="clear" w:color="auto" w:fill="EFEFEF"/>
        </w:rPr>
        <w:t xml:space="preserve">Tab_Gebaeude</w:t>
      </w:r>
      <w:r>
        <w:t xml:space="preserve"> heute führt. Läuft </w:t>
      </w:r>
      <w:r>
        <w:rPr>
          <w:b/>
        </w:rPr>
        <w:t xml:space="preserve">einmal je Gebäude und Lauf</w:t>
      </w:r>
      <w:r>
        <w:t xml:space="preserve">.</w:t>
      </w:r>
    </w:p>
    <w:p>
      <w:r>
        <w:rPr>
          <w:b/>
        </w:rPr>
        <w:t xml:space="preserve">A1 — Speichermasse und ihre Aufteilung</w:t>
      </w:r>
      <w:r>
        <w:t xml:space="preserve"> (EPOS-Klassenweg)</w:t>
      </w:r>
    </w:p>
    <w:p>
      <w:pPr>
        <w:pStyle w:val="Codeblock"/>
      </w:pPr>
      <w:r>
        <w:t xml:space="preserve">C_ges  = Bauweise · 3 600            [J/K]      (Bauweise in Wh/K)</w:t>
      </w:r>
      <w:r>
        <w:br/>
        <w:t xml:space="preserve">C_AW   = a_AW · C_ges                [J/K]</w:t>
      </w:r>
      <w:r>
        <w:br/>
        <w:t xml:space="preserve">C_IW   = (1 − a_AW) · C_ges          [J/K]</w:t>
      </w:r>
    </w:p>
    <w:p>
      <w:r>
        <w:t xml:space="preserve">Die drei EPOS-Bauarten entsprechen 20 / 50 / 100 Wh/(m²K) je m² Wohnfläche. Prüfung 5 ≤ Bauweise/A_f ≤ 200 Wh/(m²K), sonst benannter Abbruch.</w:t>
      </w:r>
    </w:p>
    <w:p>
      <w:r>
        <w:rPr>
          <w:b/>
        </w:rPr>
        <w:t xml:space="preserve">A2 — Bezugsflächen</w:t>
      </w:r>
      <w:r>
        <w:t xml:space="preserve"> (EPOS-Klassenweg)</w:t>
      </w:r>
    </w:p>
    <w:p>
      <w:pPr>
        <w:pStyle w:val="Codeblock"/>
      </w:pPr>
      <w:r>
        <w:t xml:space="preserve">A_AW,opak = A_AW + A_D + A_G + A_So   [m²]</w:t>
      </w:r>
      <w:r>
        <w:br/>
        <w:t xml:space="preserve">A_IW      = f_IW · A_f                [m²]</w:t>
      </w:r>
      <w:r>
        <w:br/>
        <w:t xml:space="preserve">A_rad     = min(A_AW,opak, A_IW)      [m²]</w:t>
      </w:r>
    </w:p>
    <w:p>
      <w:r>
        <w:rPr>
          <w:b/>
        </w:rPr>
        <w:t xml:space="preserve">A3 — Transmissionsleitwerte je Gruppe</w:t>
      </w:r>
      <w:r>
        <w:t xml:space="preserve"> (ungewichtet nach E2)</w:t>
      </w:r>
    </w:p>
    <w:p>
      <w:pPr>
        <w:pStyle w:val="Codeblock"/>
      </w:pPr>
      <w:r>
        <w:t xml:space="preserve">(U·A)_AW  = U_AW · A_AW      (U·A)_D  = U_D · A_D</w:t>
      </w:r>
      <w:r>
        <w:br/>
        <w:t xml:space="preserve">(U·A)_G   = U_G  · A_G       (U·A)_So = U_So · A_So          [W/K]</w:t>
      </w:r>
      <w:r>
        <w:br/>
        <w:t xml:space="preserve">Σ(U·A)_opak = (U·A)_AW + (U·A)_D + (U·A)_G + (U·A)_So        [W/K]</w:t>
      </w:r>
      <w:r>
        <w:br/>
        <w:t xml:space="preserve">(U·A)_w   = U_w · A_w                                        [W/K]</w:t>
      </w:r>
      <w:r>
        <w:br/>
        <w:t xml:space="preserve">Σψ·L      = ψ_1·L_1 + ψ_2·L_2 + ψ_3·L_3                      [W/K]</w:t>
      </w:r>
    </w:p>
    <w:p>
      <w:r>
        <w:rPr>
          <w:b/>
        </w:rPr>
        <w:t xml:space="preserve">A4 — Widerstände des Außenwandpfads</w:t>
      </w:r>
      <w:r>
        <w:t xml:space="preserve"> (EPOS-Klassenweg; normkonformes Gegenstück (25)–(28))</w:t>
      </w:r>
    </w:p>
    <w:p>
      <w:pPr>
        <w:pStyle w:val="Codeblock"/>
      </w:pPr>
      <w:r>
        <w:t xml:space="preserve">R_1,AW    = 1 / (h_ms · A_AW,opak)                           [K/W]</w:t>
      </w:r>
      <w:r>
        <w:br/>
        <w:t xml:space="preserve">R_ges     = 1 / Σ(U·A)_opak                                  [K/W]</w:t>
      </w:r>
      <w:r>
        <w:br/>
        <w:t xml:space="preserve">R_Rest,AW = R_ges − R_1,AW − R_si / A_AW,opak                [K/W]</w:t>
      </w:r>
    </w:p>
    <w:p>
      <w:r>
        <w:t xml:space="preserve">Der Abzug R_si/A ist die Stelle, an der U-Wert und Netz zusammengeführt werden: der innere Übergang steckt bereits im U-Wert, im Netz liegt an seiner Stelle das innere Oberflächennetz; ohne den Abzug zählt er doppelt. </w:t>
      </w:r>
      <w:r>
        <w:rPr>
          <w:b/>
        </w:rPr>
        <w:t xml:space="preserve">Kein Klemmwert:</w:t>
      </w:r>
      <w:r>
        <w:t xml:space="preserve"> wird R_Rest,AW ≤ 0 — rechnerisch ab einem mittleren U über 4,17 W/(m²K) —, bricht die Rechnung mit benanntem Fehler ab.</w:t>
      </w:r>
    </w:p>
    <w:p>
      <w:r>
        <w:t xml:space="preserve">Damit gibt der Klassenweg die Katalog-U-Werte bewusst </w:t>
      </w:r>
      <w:r>
        <w:rPr>
          <w:b/>
        </w:rPr>
        <w:t xml:space="preserve">nicht</w:t>
      </w:r>
      <w:r>
        <w:t xml:space="preserve"> wieder. Der Weg von der Luft zur Außenwandoberfläche ist R_conv,AW </w:t>
      </w:r>
      <w:r>
        <w:rPr>
          <w:b/>
        </w:rPr>
        <w:t xml:space="preserve">parallel zu</w:t>
      </w:r>
      <w:r>
        <w:t xml:space="preserve"> (R_conv,IW + R_rad):</w:t>
      </w:r>
    </w:p>
    <w:p>
      <w:pPr>
        <w:pStyle w:val="Codeblock"/>
      </w:pPr>
      <w:r>
        <w:t xml:space="preserve">R_innen,eff = R_conv,AW · (R_conv,IW + R_rad) / (R_conv,AW + R_conv,IW + R_rad)   [K/W]</w:t>
      </w:r>
      <w:r>
        <w:br/>
        <w:t xml:space="preserve">(U·A)_opak,wirksam = 1 / (R_Rest,AW + R_1,AW + R_innen,eff)                       [W/K]</w:t>
      </w:r>
    </w:p>
    <w:p>
      <w:r>
        <w:rPr>
          <w:b/>
        </w:rPr>
        <w:t xml:space="preserve">A5 bis A7 — Innenpfad, Übergänge im Raum und masseloser Zweig</w:t>
      </w:r>
    </w:p>
    <w:p>
      <w:pPr>
        <w:pStyle w:val="Codeblock"/>
      </w:pPr>
      <w:r>
        <w:t xml:space="preserve">R_1,IW    = 1 / (h_ms · A_IW)                                [K/W]</w:t>
      </w:r>
      <w:r>
        <w:br/>
        <w:t xml:space="preserve">R_conv,AW = 1 / (α_kon,i · A_AW,opak)                        [K/W]</w:t>
      </w:r>
      <w:r>
        <w:br/>
        <w:t xml:space="preserve">R_conv,IW = 1 / (α_kon,i · A_IW)                             [K/W]</w:t>
      </w:r>
      <w:r>
        <w:br/>
        <w:t xml:space="preserve">R_rad     = 1 / (α_str,i · A_rad)                            [K/W]</w:t>
      </w:r>
      <w:r>
        <w:br/>
        <w:t xml:space="preserve">H_ve      = n · V · c·ρ           mit V = A_f · H             [W/K]      (75)</w:t>
      </w:r>
      <w:r>
        <w:br/>
        <w:t xml:space="preserve">H_ext     = H_ve + (U·A)_w + Σψ·L                             [W/K]</w:t>
      </w:r>
      <w:r>
        <w:br/>
        <w:t xml:space="preserve">R_ext     = 1 / H_ext                                         [K/W]</w:t>
      </w:r>
    </w:p>
    <w:p>
      <w:r>
        <w:t xml:space="preserve">In Stufe G2 tritt an die Stelle von n die Summe n_inf + n_nutz, in der Sommerlüftungsregel n = 2,0 1/h, solange θ_air &gt; 23 °C </w:t>
      </w:r>
      <w:r>
        <w:rPr>
          <w:b/>
        </w:rPr>
        <w:t xml:space="preserve">und</w:t>
      </w:r>
      <w:r>
        <w:t xml:space="preserve"> θ_out &lt; θ_air − 2 K.</w:t>
      </w:r>
    </w:p>
    <w:p>
      <w:r>
        <w:rPr>
          <w:b/>
        </w:rPr>
        <w:t xml:space="preserve">Ausgabe.</w:t>
      </w:r>
      <w:r>
        <w:t xml:space="preserve"> Der Datensatz der Ersatzparameter: C_AW, C_IW; R_Rest,AW, R_1,AW, R_1,IW, R_conv,AW, R_conv,IW, R_rad, R_ext; dazu A_AW,opak, A_IW und Σ(U·A)_opak für Schritt E. Für die Knotenrechnung entstehen daraus die Leitwerte G_1, G_2, G_Rest, G_cAW, G_cIW, G_rad und G_ext.</w:t>
      </w:r>
    </w:p>
    <w:p>
      <w:pPr>
        <w:pStyle w:val="Heading2"/>
      </w:pPr>
      <w:r>
        <w:t xml:space="preserve">10.4 Schritt B — Bauteilweg (Stufe G3, Vorschau)</w:t>
      </w:r>
    </w:p>
    <w:p>
      <w:r>
        <w:rPr>
          <w:b/>
        </w:rPr>
        <w:t xml:space="preserve">Zweck.</w:t>
      </w:r>
      <w:r>
        <w:t xml:space="preserve"> Liegt ein Bauteilkatalog mit Schichtaufbauten vor, ersetzt der normkonforme Bauteilweg die Schritte A4 bis A6.</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Teilschritt</w:t>
            </w:r>
          </w:p>
        </w:tc>
        <w:tc>
          <w:tcPr>
            <w:tcW w:w="0" w:type="auto"/>
            <w:shd w:val="clear" w:color="auto" w:fill="D9D9D9"/>
          </w:tcPr>
          <w:p>
            <w:pPr>
              <w:spacing w:after="0" w:line="240" w:lineRule="auto"/>
              <w:rPr>
                <w:b/>
              </w:rPr>
            </w:pPr>
            <w:r>
              <w:rPr>
                <w:b/>
              </w:rPr>
              <w:t xml:space="preserve">Was geschieht</w:t>
            </w:r>
          </w:p>
        </w:tc>
        <w:tc>
          <w:tcPr>
            <w:tcW w:w="0" w:type="auto"/>
            <w:shd w:val="clear" w:color="auto" w:fill="D9D9D9"/>
          </w:tcPr>
          <w:p>
            <w:pPr>
              <w:spacing w:after="0" w:line="240" w:lineRule="auto"/>
              <w:rPr>
                <w:b/>
              </w:rPr>
            </w:pPr>
            <w:r>
              <w:rPr>
                <w:b/>
              </w:rPr>
              <w:t xml:space="preserve">Gleichung</w:t>
            </w:r>
          </w:p>
        </w:tc>
        <w:tc>
          <w:tcPr>
            <w:tcW w:w="0" w:type="auto"/>
            <w:shd w:val="clear" w:color="auto" w:fill="D9D9D9"/>
          </w:tcPr>
          <w:p>
            <w:pPr>
              <w:spacing w:after="0" w:line="240" w:lineRule="auto"/>
              <w:rPr>
                <w:b/>
              </w:rPr>
            </w:pPr>
            <w:r>
              <w:rPr>
                <w:b/>
              </w:rPr>
              <w:t xml:space="preserve">Eingabe</w:t>
            </w:r>
          </w:p>
        </w:tc>
        <w:tc>
          <w:tcPr>
            <w:tcW w:w="0" w:type="auto"/>
            <w:shd w:val="clear" w:color="auto" w:fill="D9D9D9"/>
          </w:tcPr>
          <w:p>
            <w:pPr>
              <w:spacing w:after="0" w:line="240" w:lineRule="auto"/>
              <w:rPr>
                <w:b/>
              </w:rPr>
            </w:pPr>
            <w:r>
              <w:rPr>
                <w:b/>
              </w:rPr>
              <w:t xml:space="preserve">Ausgabe</w:t>
            </w:r>
          </w:p>
        </w:tc>
      </w:tr>
      <w:tr>
        <w:tc>
          <w:tcPr>
            <w:tcW w:w="0" w:type="auto"/>
          </w:tcPr>
          <w:p>
            <w:pPr>
              <w:spacing w:after="0" w:line="240" w:lineRule="auto"/>
            </w:pPr>
            <w:r>
              <w:t xml:space="preserve">B1</w:t>
            </w:r>
          </w:p>
        </w:tc>
        <w:tc>
          <w:tcPr>
            <w:tcW w:w="0" w:type="auto"/>
          </w:tcPr>
          <w:p>
            <w:pPr>
              <w:spacing w:after="0" w:line="240" w:lineRule="auto"/>
            </w:pPr>
            <w:r>
              <w:t xml:space="preserve">Bezugsperiode je Bauteil: 7 d, bei raumseitig abgedeckter Speichermasse 2 d</w:t>
            </w:r>
          </w:p>
        </w:tc>
        <w:tc>
          <w:tcPr>
            <w:tcW w:w="0" w:type="auto"/>
          </w:tcPr>
          <w:p>
            <w:pPr>
              <w:spacing w:after="0" w:line="240" w:lineRule="auto"/>
            </w:pPr>
            <w:r>
              <w:t xml:space="preserve">(10a)–(10d)</w:t>
            </w:r>
          </w:p>
        </w:tc>
        <w:tc>
          <w:tcPr>
            <w:tcW w:w="0" w:type="auto"/>
          </w:tcPr>
          <w:p>
            <w:pPr>
              <w:spacing w:after="0" w:line="240" w:lineRule="auto"/>
            </w:pPr>
            <w:r>
              <w:t xml:space="preserve">Schichtfolge</w:t>
            </w:r>
          </w:p>
        </w:tc>
        <w:tc>
          <w:tcPr>
            <w:tcW w:w="0" w:type="auto"/>
          </w:tcPr>
          <w:p>
            <w:pPr>
              <w:spacing w:after="0" w:line="240" w:lineRule="auto"/>
            </w:pPr>
            <w:r>
              <w:t xml:space="preserve">T_BT</w:t>
            </w:r>
          </w:p>
        </w:tc>
      </w:tr>
      <w:tr>
        <w:tc>
          <w:tcPr>
            <w:tcW w:w="0" w:type="auto"/>
          </w:tcPr>
          <w:p>
            <w:pPr>
              <w:spacing w:after="0" w:line="240" w:lineRule="auto"/>
            </w:pPr>
            <w:r>
              <w:t xml:space="preserve">B2</w:t>
            </w:r>
          </w:p>
        </w:tc>
        <w:tc>
          <w:tcPr>
            <w:tcW w:w="0" w:type="auto"/>
          </w:tcPr>
          <w:p>
            <w:pPr>
              <w:spacing w:after="0" w:line="240" w:lineRule="auto"/>
            </w:pPr>
            <w:r>
              <w:t xml:space="preserve">Kettenmatrix je Schicht aus d, λ, ρ, c und der Kreisfrequenz der Bezugsperiode</w:t>
            </w:r>
          </w:p>
        </w:tc>
        <w:tc>
          <w:tcPr>
            <w:tcW w:w="0" w:type="auto"/>
          </w:tcPr>
          <w:p>
            <w:pPr>
              <w:spacing w:after="0" w:line="240" w:lineRule="auto"/>
            </w:pPr>
            <w:r>
              <w:t xml:space="preserve">(1)–(9)</w:t>
            </w:r>
          </w:p>
        </w:tc>
        <w:tc>
          <w:tcPr>
            <w:tcW w:w="0" w:type="auto"/>
          </w:tcPr>
          <w:p>
            <w:pPr>
              <w:spacing w:after="0" w:line="240" w:lineRule="auto"/>
            </w:pPr>
            <w:r>
              <w:t xml:space="preserve">d, λ, ρ, c</w:t>
            </w:r>
          </w:p>
        </w:tc>
        <w:tc>
          <w:tcPr>
            <w:tcW w:w="0" w:type="auto"/>
          </w:tcPr>
          <w:p>
            <w:pPr>
              <w:spacing w:after="0" w:line="240" w:lineRule="auto"/>
            </w:pPr>
            <w:r>
              <w:t xml:space="preserve">komplexe 2×2-Matrix</w:t>
            </w:r>
          </w:p>
        </w:tc>
      </w:tr>
      <w:tr>
        <w:tc>
          <w:tcPr>
            <w:tcW w:w="0" w:type="auto"/>
          </w:tcPr>
          <w:p>
            <w:pPr>
              <w:spacing w:after="0" w:line="240" w:lineRule="auto"/>
            </w:pPr>
            <w:r>
              <w:t xml:space="preserve">B3</w:t>
            </w:r>
          </w:p>
        </w:tc>
        <w:tc>
          <w:tcPr>
            <w:tcW w:w="0" w:type="auto"/>
          </w:tcPr>
          <w:p>
            <w:pPr>
              <w:spacing w:after="0" w:line="240" w:lineRule="auto"/>
            </w:pPr>
            <w:r>
              <w:t xml:space="preserve">Kettenmatrizen </w:t>
            </w:r>
            <w:r>
              <w:rPr>
                <w:b/>
              </w:rPr>
              <w:t xml:space="preserve">von innen nach außen</w:t>
            </w:r>
            <w:r>
              <w:t xml:space="preserve"> multiplizieren — die Reihenfolge ist nicht vertauschbar</w:t>
            </w:r>
          </w:p>
        </w:tc>
        <w:tc>
          <w:tcPr>
            <w:tcW w:w="0" w:type="auto"/>
          </w:tcPr>
          <w:p>
            <w:pPr>
              <w:spacing w:after="0" w:line="240" w:lineRule="auto"/>
            </w:pPr>
            <w:r>
              <w:t xml:space="preserve">(11)</w:t>
            </w:r>
          </w:p>
        </w:tc>
        <w:tc>
          <w:tcPr>
            <w:tcW w:w="0" w:type="auto"/>
          </w:tcPr>
          <w:p>
            <w:pPr>
              <w:spacing w:after="0" w:line="240" w:lineRule="auto"/>
            </w:pPr>
            <w:r>
              <w:t xml:space="preserve">B2 je Schicht</w:t>
            </w:r>
          </w:p>
        </w:tc>
        <w:tc>
          <w:tcPr>
            <w:tcW w:w="0" w:type="auto"/>
          </w:tcPr>
          <w:p>
            <w:pPr>
              <w:spacing w:after="0" w:line="240" w:lineRule="auto"/>
            </w:pPr>
            <w:r>
              <w:t xml:space="preserve">Gesamtmatrix des Bauteils</w:t>
            </w:r>
          </w:p>
        </w:tc>
      </w:tr>
      <w:tr>
        <w:tc>
          <w:tcPr>
            <w:tcW w:w="0" w:type="auto"/>
          </w:tcPr>
          <w:p>
            <w:pPr>
              <w:spacing w:after="0" w:line="240" w:lineRule="auto"/>
            </w:pPr>
            <w:r>
              <w:t xml:space="preserve">B4</w:t>
            </w:r>
          </w:p>
        </w:tc>
        <w:tc>
          <w:tcPr>
            <w:tcW w:w="0" w:type="auto"/>
          </w:tcPr>
          <w:p>
            <w:pPr>
              <w:spacing w:after="0" w:line="240" w:lineRule="auto"/>
            </w:pPr>
            <w:r>
              <w:t xml:space="preserve">Identifikation der Ersatzgrößen samt Korrektur</w:t>
            </w:r>
          </w:p>
        </w:tc>
        <w:tc>
          <w:tcPr>
            <w:tcW w:w="0" w:type="auto"/>
          </w:tcPr>
          <w:p>
            <w:pPr>
              <w:spacing w:after="0" w:line="240" w:lineRule="auto"/>
            </w:pPr>
            <w:r>
              <w:t xml:space="preserve">(12)–(17)</w:t>
            </w:r>
          </w:p>
        </w:tc>
        <w:tc>
          <w:tcPr>
            <w:tcW w:w="0" w:type="auto"/>
          </w:tcPr>
          <w:p>
            <w:pPr>
              <w:spacing w:after="0" w:line="240" w:lineRule="auto"/>
            </w:pPr>
            <w:r>
              <w:t xml:space="preserve">Gesamtmatrix</w:t>
            </w:r>
          </w:p>
        </w:tc>
        <w:tc>
          <w:tcPr>
            <w:tcW w:w="0" w:type="auto"/>
          </w:tcPr>
          <w:p>
            <w:pPr>
              <w:spacing w:after="0" w:line="240" w:lineRule="auto"/>
            </w:pPr>
            <w:r>
              <w:t xml:space="preserve">R_1, C_1 je Bauteil</w:t>
            </w:r>
          </w:p>
        </w:tc>
      </w:tr>
      <w:tr>
        <w:tc>
          <w:tcPr>
            <w:tcW w:w="0" w:type="auto"/>
          </w:tcPr>
          <w:p>
            <w:pPr>
              <w:spacing w:after="0" w:line="240" w:lineRule="auto"/>
            </w:pPr>
            <w:r>
              <w:t xml:space="preserve">B5</w:t>
            </w:r>
          </w:p>
        </w:tc>
        <w:tc>
          <w:tcPr>
            <w:tcW w:w="0" w:type="auto"/>
          </w:tcPr>
          <w:p>
            <w:pPr>
              <w:spacing w:after="0" w:line="240" w:lineRule="auto"/>
            </w:pPr>
            <w:r>
              <w:t xml:space="preserve">Bauteile einer Gruppe parallel schalten</w:t>
            </w:r>
          </w:p>
        </w:tc>
        <w:tc>
          <w:tcPr>
            <w:tcW w:w="0" w:type="auto"/>
          </w:tcPr>
          <w:p>
            <w:pPr>
              <w:spacing w:after="0" w:line="240" w:lineRule="auto"/>
            </w:pPr>
            <w:r>
              <w:t xml:space="preserve">Abschnitt 6.3</w:t>
            </w:r>
          </w:p>
        </w:tc>
        <w:tc>
          <w:tcPr>
            <w:tcW w:w="0" w:type="auto"/>
          </w:tcPr>
          <w:p>
            <w:pPr>
              <w:spacing w:after="0" w:line="240" w:lineRule="auto"/>
            </w:pPr>
            <w:r>
              <w:t xml:space="preserve">B4 je Bauteil</w:t>
            </w:r>
          </w:p>
        </w:tc>
        <w:tc>
          <w:tcPr>
            <w:tcW w:w="0" w:type="auto"/>
          </w:tcPr>
          <w:p>
            <w:pPr>
              <w:spacing w:after="0" w:line="240" w:lineRule="auto"/>
            </w:pPr>
            <w:r>
              <w:t xml:space="preserve">R_1,AW, C_AW bzw. R_1,IW, C_IW</w:t>
            </w:r>
          </w:p>
        </w:tc>
      </w:tr>
      <w:tr>
        <w:tc>
          <w:tcPr>
            <w:tcW w:w="0" w:type="auto"/>
          </w:tcPr>
          <w:p>
            <w:pPr>
              <w:spacing w:after="0" w:line="240" w:lineRule="auto"/>
            </w:pPr>
            <w:r>
              <w:t xml:space="preserve">B6</w:t>
            </w:r>
          </w:p>
        </w:tc>
        <w:tc>
          <w:tcPr>
            <w:tcW w:w="0" w:type="auto"/>
          </w:tcPr>
          <w:p>
            <w:pPr>
              <w:spacing w:after="0" w:line="240" w:lineRule="auto"/>
            </w:pPr>
            <w:r>
              <w:t xml:space="preserve">Fenster </w:t>
            </w:r>
            <w:r>
              <w:rPr>
                <w:b/>
              </w:rPr>
              <w:t xml:space="preserve">nach</w:t>
            </w:r>
            <w:r>
              <w:t xml:space="preserve"> den Wänden parallel anschließen; die Kapazität der Wände bleibt unverändert</w:t>
            </w:r>
          </w:p>
        </w:tc>
        <w:tc>
          <w:tcPr>
            <w:tcW w:w="0" w:type="auto"/>
          </w:tcPr>
          <w:p>
            <w:pPr>
              <w:spacing w:after="0" w:line="240" w:lineRule="auto"/>
            </w:pPr>
            <w:r>
              <w:t xml:space="preserve">(25)–(28)</w:t>
            </w:r>
          </w:p>
        </w:tc>
        <w:tc>
          <w:tcPr>
            <w:tcW w:w="0" w:type="auto"/>
          </w:tcPr>
          <w:p>
            <w:pPr>
              <w:spacing w:after="0" w:line="240" w:lineRule="auto"/>
            </w:pPr>
            <w:r>
              <w:t xml:space="preserve">U und A des Fensters</w:t>
            </w:r>
          </w:p>
        </w:tc>
        <w:tc>
          <w:tcPr>
            <w:tcW w:w="0" w:type="auto"/>
          </w:tcPr>
          <w:p>
            <w:pPr>
              <w:spacing w:after="0" w:line="240" w:lineRule="auto"/>
            </w:pPr>
            <w:r>
              <w:t xml:space="preserve">R_ges,AW, R_Rest,AW</w:t>
            </w:r>
          </w:p>
        </w:tc>
      </w:tr>
      <w:tr>
        <w:tc>
          <w:tcPr>
            <w:tcW w:w="0" w:type="auto"/>
          </w:tcPr>
          <w:p>
            <w:pPr>
              <w:spacing w:after="0" w:line="240" w:lineRule="auto"/>
            </w:pPr>
            <w:r>
              <w:t xml:space="preserve">B7</w:t>
            </w:r>
          </w:p>
        </w:tc>
        <w:tc>
          <w:tcPr>
            <w:tcW w:w="0" w:type="auto"/>
          </w:tcPr>
          <w:p>
            <w:pPr>
              <w:spacing w:after="0" w:line="240" w:lineRule="auto"/>
            </w:pPr>
            <w:r>
              <w:t xml:space="preserve">Zusammenfassung zum Raum mit der Bezugsperiode 5 d</w:t>
            </w:r>
          </w:p>
        </w:tc>
        <w:tc>
          <w:tcPr>
            <w:tcW w:w="0" w:type="auto"/>
          </w:tcPr>
          <w:p>
            <w:pPr>
              <w:spacing w:after="0" w:line="240" w:lineRule="auto"/>
            </w:pPr>
            <w:r>
              <w:t xml:space="preserve">(10e)</w:t>
            </w:r>
          </w:p>
        </w:tc>
        <w:tc>
          <w:tcPr>
            <w:tcW w:w="0" w:type="auto"/>
          </w:tcPr>
          <w:p>
            <w:pPr>
              <w:spacing w:after="0" w:line="240" w:lineRule="auto"/>
            </w:pPr>
            <w:r>
              <w:t xml:space="preserve">B5, B6</w:t>
            </w:r>
          </w:p>
        </w:tc>
        <w:tc>
          <w:tcPr>
            <w:tcW w:w="0" w:type="auto"/>
          </w:tcPr>
          <w:p>
            <w:pPr>
              <w:spacing w:after="0" w:line="240" w:lineRule="auto"/>
            </w:pPr>
            <w:r>
              <w:t xml:space="preserve">Ersatzparameter des Raums</w:t>
            </w:r>
          </w:p>
        </w:tc>
      </w:tr>
    </w:tbl>
    <w:p>
      <w:pPr>
        <w:spacing w:after="120"/>
      </w:pPr>
    </w:p>
    <w:p>
      <w:r>
        <w:rPr>
          <w:b/>
        </w:rPr>
        <w:t xml:space="preserve">Fallen.</w:t>
      </w:r>
      <w:r>
        <w:t xml:space="preserve"> Innenbauteile gehen über den </w:t>
      </w:r>
      <w:r>
        <w:rPr>
          <w:b/>
        </w:rPr>
        <w:t xml:space="preserve">vollständigen</w:t>
      </w:r>
      <w:r>
        <w:t xml:space="preserve"> Schichtaufbau in die Kettenmatrix und werden erst danach reduziert; wer zusätzlich an der Mittelebene halbiert, halbiert zweimal. Die Richtlinie nennt </w:t>
      </w:r>
      <w:r>
        <w:rPr>
          <w:b/>
        </w:rPr>
        <w:t xml:space="preserve">keine</w:t>
      </w:r>
      <w:r>
        <w:t xml:space="preserve"> Soll-RC-Werte zum Abgleich — der Nachweis lautet: Reduktion aus den Bauteiltabellen der Testräume rechnen, damit simulieren und die Ergebnisreihen im Normband treffen.</w:t>
      </w:r>
    </w:p>
    <w:p>
      <w:pPr>
        <w:pStyle w:val="Heading2"/>
      </w:pPr>
      <w:r>
        <w:t xml:space="preserve">10.5 Schritt C — Systemmatrix</w:t>
      </w:r>
    </w:p>
    <w:p>
      <w:r>
        <w:rPr>
          <w:b/>
        </w:rPr>
        <w:t xml:space="preserve">Zweck.</w:t>
      </w:r>
      <w:r>
        <w:t xml:space="preserve"> Die drei kapazitätslosen Knoten eliminieren und ein Zustandssystem zweiter Ordnung bilden.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Knoten</w:t>
            </w:r>
          </w:p>
        </w:tc>
        <w:tc>
          <w:tcPr>
            <w:tcW w:w="0" w:type="auto"/>
            <w:shd w:val="clear" w:color="auto" w:fill="D9D9D9"/>
          </w:tcPr>
          <w:p>
            <w:pPr>
              <w:spacing w:after="0" w:line="240" w:lineRule="auto"/>
              <w:rPr>
                <w:b/>
              </w:rPr>
            </w:pPr>
            <w:r>
              <w:rPr>
                <w:b/>
              </w:rPr>
              <w:t xml:space="preserve">Zeichen</w:t>
            </w:r>
          </w:p>
        </w:tc>
        <w:tc>
          <w:tcPr>
            <w:tcW w:w="0" w:type="auto"/>
            <w:shd w:val="clear" w:color="auto" w:fill="D9D9D9"/>
          </w:tcPr>
          <w:p>
            <w:pPr>
              <w:spacing w:after="0" w:line="240" w:lineRule="auto"/>
              <w:rPr>
                <w:b/>
              </w:rPr>
            </w:pPr>
            <w:r>
              <w:rPr>
                <w:b/>
              </w:rPr>
              <w:t xml:space="preserve">Art</w:t>
            </w:r>
          </w:p>
        </w:tc>
        <w:tc>
          <w:tcPr>
            <w:tcW w:w="0" w:type="auto"/>
            <w:shd w:val="clear" w:color="auto" w:fill="D9D9D9"/>
          </w:tcPr>
          <w:p>
            <w:pPr>
              <w:spacing w:after="0" w:line="240" w:lineRule="auto"/>
              <w:rPr>
                <w:b/>
              </w:rPr>
            </w:pPr>
            <w:r>
              <w:rPr>
                <w:b/>
              </w:rPr>
              <w:t xml:space="preserve">Kapazität</w:t>
            </w:r>
          </w:p>
        </w:tc>
      </w:tr>
      <w:tr>
        <w:tc>
          <w:tcPr>
            <w:tcW w:w="0" w:type="auto"/>
          </w:tcPr>
          <w:p>
            <w:pPr>
              <w:spacing w:after="0" w:line="240" w:lineRule="auto"/>
            </w:pPr>
            <w:r>
              <w:t xml:space="preserve">Masse der Außenbauteile</w:t>
            </w:r>
          </w:p>
        </w:tc>
        <w:tc>
          <w:tcPr>
            <w:tcW w:w="0" w:type="auto"/>
          </w:tcPr>
          <w:p>
            <w:pPr>
              <w:spacing w:after="0" w:line="240" w:lineRule="auto"/>
            </w:pPr>
            <w:r>
              <w:t xml:space="preserve">θ_m,AW</w:t>
            </w:r>
          </w:p>
        </w:tc>
        <w:tc>
          <w:tcPr>
            <w:tcW w:w="0" w:type="auto"/>
          </w:tcPr>
          <w:p>
            <w:pPr>
              <w:spacing w:after="0" w:line="240" w:lineRule="auto"/>
            </w:pPr>
            <w:r>
              <w:t xml:space="preserve">Zustand x_1</w:t>
            </w:r>
          </w:p>
        </w:tc>
        <w:tc>
          <w:tcPr>
            <w:tcW w:w="0" w:type="auto"/>
          </w:tcPr>
          <w:p>
            <w:pPr>
              <w:spacing w:after="0" w:line="240" w:lineRule="auto"/>
            </w:pPr>
            <w:r>
              <w:t xml:space="preserve">C_AW</w:t>
            </w:r>
          </w:p>
        </w:tc>
      </w:tr>
      <w:tr>
        <w:tc>
          <w:tcPr>
            <w:tcW w:w="0" w:type="auto"/>
          </w:tcPr>
          <w:p>
            <w:pPr>
              <w:spacing w:after="0" w:line="240" w:lineRule="auto"/>
            </w:pPr>
            <w:r>
              <w:t xml:space="preserve">Masse der Innenbauteile</w:t>
            </w:r>
          </w:p>
        </w:tc>
        <w:tc>
          <w:tcPr>
            <w:tcW w:w="0" w:type="auto"/>
          </w:tcPr>
          <w:p>
            <w:pPr>
              <w:spacing w:after="0" w:line="240" w:lineRule="auto"/>
            </w:pPr>
            <w:r>
              <w:t xml:space="preserve">θ_m,IW</w:t>
            </w:r>
          </w:p>
        </w:tc>
        <w:tc>
          <w:tcPr>
            <w:tcW w:w="0" w:type="auto"/>
          </w:tcPr>
          <w:p>
            <w:pPr>
              <w:spacing w:after="0" w:line="240" w:lineRule="auto"/>
            </w:pPr>
            <w:r>
              <w:t xml:space="preserve">Zustand x_2</w:t>
            </w:r>
          </w:p>
        </w:tc>
        <w:tc>
          <w:tcPr>
            <w:tcW w:w="0" w:type="auto"/>
          </w:tcPr>
          <w:p>
            <w:pPr>
              <w:spacing w:after="0" w:line="240" w:lineRule="auto"/>
            </w:pPr>
            <w:r>
              <w:t xml:space="preserve">C_IW</w:t>
            </w:r>
          </w:p>
        </w:tc>
      </w:tr>
      <w:tr>
        <w:tc>
          <w:tcPr>
            <w:tcW w:w="0" w:type="auto"/>
          </w:tcPr>
          <w:p>
            <w:pPr>
              <w:spacing w:after="0" w:line="240" w:lineRule="auto"/>
            </w:pPr>
            <w:r>
              <w:t xml:space="preserve">Innenoberfläche der Außenbauteile</w:t>
            </w:r>
          </w:p>
        </w:tc>
        <w:tc>
          <w:tcPr>
            <w:tcW w:w="0" w:type="auto"/>
          </w:tcPr>
          <w:p>
            <w:pPr>
              <w:spacing w:after="0" w:line="240" w:lineRule="auto"/>
            </w:pPr>
            <w:r>
              <w:t xml:space="preserve">θ_s,AW</w:t>
            </w:r>
          </w:p>
        </w:tc>
        <w:tc>
          <w:tcPr>
            <w:tcW w:w="0" w:type="auto"/>
          </w:tcPr>
          <w:p>
            <w:pPr>
              <w:spacing w:after="0" w:line="240" w:lineRule="auto"/>
            </w:pPr>
            <w:r>
              <w:t xml:space="preserve">algebraisch</w:t>
            </w:r>
          </w:p>
        </w:tc>
        <w:tc>
          <w:tcPr>
            <w:tcW w:w="0" w:type="auto"/>
          </w:tcPr>
          <w:p>
            <w:pPr>
              <w:spacing w:after="0" w:line="240" w:lineRule="auto"/>
            </w:pPr>
            <w:r>
              <w:t xml:space="preserve">0</w:t>
            </w:r>
          </w:p>
        </w:tc>
      </w:tr>
      <w:tr>
        <w:tc>
          <w:tcPr>
            <w:tcW w:w="0" w:type="auto"/>
          </w:tcPr>
          <w:p>
            <w:pPr>
              <w:spacing w:after="0" w:line="240" w:lineRule="auto"/>
            </w:pPr>
            <w:r>
              <w:t xml:space="preserve">Innenoberfläche der Innenbauteile</w:t>
            </w:r>
          </w:p>
        </w:tc>
        <w:tc>
          <w:tcPr>
            <w:tcW w:w="0" w:type="auto"/>
          </w:tcPr>
          <w:p>
            <w:pPr>
              <w:spacing w:after="0" w:line="240" w:lineRule="auto"/>
            </w:pPr>
            <w:r>
              <w:t xml:space="preserve">θ_s,IW</w:t>
            </w:r>
          </w:p>
        </w:tc>
        <w:tc>
          <w:tcPr>
            <w:tcW w:w="0" w:type="auto"/>
          </w:tcPr>
          <w:p>
            <w:pPr>
              <w:spacing w:after="0" w:line="240" w:lineRule="auto"/>
            </w:pPr>
            <w:r>
              <w:t xml:space="preserve">algebraisch</w:t>
            </w:r>
          </w:p>
        </w:tc>
        <w:tc>
          <w:tcPr>
            <w:tcW w:w="0" w:type="auto"/>
          </w:tcPr>
          <w:p>
            <w:pPr>
              <w:spacing w:after="0" w:line="240" w:lineRule="auto"/>
            </w:pPr>
            <w:r>
              <w:t xml:space="preserve">0</w:t>
            </w:r>
          </w:p>
        </w:tc>
      </w:tr>
      <w:tr>
        <w:tc>
          <w:tcPr>
            <w:tcW w:w="0" w:type="auto"/>
          </w:tcPr>
          <w:p>
            <w:pPr>
              <w:spacing w:after="0" w:line="240" w:lineRule="auto"/>
            </w:pPr>
            <w:r>
              <w:t xml:space="preserve">Raumluft</w:t>
            </w:r>
          </w:p>
        </w:tc>
        <w:tc>
          <w:tcPr>
            <w:tcW w:w="0" w:type="auto"/>
          </w:tcPr>
          <w:p>
            <w:pPr>
              <w:spacing w:after="0" w:line="240" w:lineRule="auto"/>
            </w:pPr>
            <w:r>
              <w:t xml:space="preserve">θ_air</w:t>
            </w:r>
          </w:p>
        </w:tc>
        <w:tc>
          <w:tcPr>
            <w:tcW w:w="0" w:type="auto"/>
          </w:tcPr>
          <w:p>
            <w:pPr>
              <w:spacing w:after="0" w:line="240" w:lineRule="auto"/>
            </w:pPr>
            <w:r>
              <w:t xml:space="preserve">algebraisch</w:t>
            </w:r>
          </w:p>
        </w:tc>
        <w:tc>
          <w:tcPr>
            <w:tcW w:w="0" w:type="auto"/>
          </w:tcPr>
          <w:p>
            <w:pPr>
              <w:spacing w:after="0" w:line="240" w:lineRule="auto"/>
            </w:pPr>
            <w:r>
              <w:t xml:space="preserve">0 (Zeitkonstante der Luft ≪ 1 h)</w:t>
            </w:r>
          </w:p>
        </w:tc>
      </w:tr>
    </w:tbl>
    <w:p>
      <w:pPr>
        <w:spacing w:after="120"/>
      </w:pPr>
    </w:p>
    <w:p>
      <w:r>
        <w:t xml:space="preserve">Die Knotenbilanzen:</w:t>
      </w:r>
    </w:p>
    <w:p>
      <w:pPr>
        <w:pStyle w:val="Codeblock"/>
      </w:pPr>
      <w:r>
        <w:t xml:space="preserve">C_AW · dθ_m,AW/dt = G_Rest·(θ_eq − θ_m,AW) + G_1·(θ_s,AW − θ_m,AW)</w:t>
      </w:r>
      <w:r>
        <w:br/>
        <w:t xml:space="preserve">C_IW · dθ_m,IW/dt = G_2·(θ_s,IW − θ_m,IW)</w:t>
      </w:r>
      <w:r>
        <w:br/>
        <w:t xml:space="preserve">0 = G_1·(θ_m,AW − θ_s,AW) + G_cAW·(θ_air − θ_s,AW) + G_rad·(θ_s,IW − θ_s,AW) + Φ_rad,AW</w:t>
      </w:r>
      <w:r>
        <w:br/>
        <w:t xml:space="preserve">0 = G_2·(θ_m,IW − θ_s,IW) + G_cIW·(θ_air − θ_s,IW) + G_rad·(θ_s,AW − θ_s,IW) + Φ_rad,IW</w:t>
      </w:r>
      <w:r>
        <w:br/>
        <w:t xml:space="preserve">0 = G_cAW·(θ_s,AW − θ_air) + G_cIW·(θ_s,IW − θ_air) + G_ext·(θ_out − θ_air) + Φ_conv + Φ_h</w:t>
      </w:r>
    </w:p>
    <w:p>
      <w:r>
        <w:t xml:space="preserve">θ_eq ist die U·A-gewichtete äquivalente Außentemperatur aus Schritt E, Gl. (41)/(42). Der Dreieckssatz der Richtlinie mit der Stern-Dreieck-Transformation (55)–(57) ist dieselbe Algebra; die obige Schreibweise löst das Dreieck direkt auf.</w:t>
      </w:r>
    </w:p>
    <w:p>
      <w:r>
        <w:rPr>
          <w:b/>
        </w:rPr>
        <w:t xml:space="preserve">Fall 1 — freier Lauf.</w:t>
      </w:r>
      <w:r>
        <w:t xml:space="preserve"> Der Luftknoten wird zuerst aufgelöst:</w:t>
      </w:r>
    </w:p>
    <w:p>
      <w:pPr>
        <w:pStyle w:val="Codeblock"/>
      </w:pPr>
      <w:r>
        <w:t xml:space="preserve">S       = G_cAW + G_cIW + G_ext                              [W/K]</w:t>
      </w:r>
      <w:r>
        <w:br/>
        <w:t xml:space="preserve">Φ_Luft  = G_ext·θ_out + Φ_conv                               [W]</w:t>
      </w:r>
      <w:r>
        <w:br/>
        <w:t xml:space="preserve">θ_air   = (G_cAW·θ_s,AW + G_cIW·θ_s,IW + Φ_Luft) / S</w:t>
      </w:r>
      <w:r>
        <w:br/>
        <w:t xml:space="preserve"/>
      </w:r>
      <w:r>
        <w:br/>
        <w:t xml:space="preserve">M_11 = G_1 + G_rad + G_cAW − G_cAW² / S</w:t>
      </w:r>
      <w:r>
        <w:br/>
        <w:t xml:space="preserve">M_22 = G_2 + G_rad + G_cIW − G_cIW² / S</w:t>
      </w:r>
      <w:r>
        <w:br/>
        <w:t xml:space="preserve">M_12 = M_21 = −(G_rad + G_cAW·G_cIW / S)</w:t>
      </w:r>
      <w:r>
        <w:br/>
        <w:t xml:space="preserve">v_1  = Φ_rad,AW + G_cAW·Φ_Luft / S</w:t>
      </w:r>
      <w:r>
        <w:br/>
        <w:t xml:space="preserve">v_2  = Φ_rad,IW + G_cIW·Φ_Luft / S</w:t>
      </w:r>
    </w:p>
    <w:p>
      <w:r>
        <w:t xml:space="preserve">Einsetzen von θ_s = M⁻¹(K·x + v) mit K = diag(G_1, G_2) liefert dx/dt = A·x + b:</w:t>
      </w:r>
    </w:p>
    <w:p>
      <w:pPr>
        <w:pStyle w:val="Codeblock"/>
      </w:pPr>
      <w:r>
        <w:t xml:space="preserve">A_11 = ( (K·M⁻¹·K)_11 − (G_1 + G_Rest) ) / C_AW</w:t>
      </w:r>
      <w:r>
        <w:br/>
        <w:t xml:space="preserve">A_12 =   (K·M⁻¹·K)_12 / C_AW</w:t>
      </w:r>
      <w:r>
        <w:br/>
        <w:t xml:space="preserve">A_21 =   (K·M⁻¹·K)_21 / C_IW</w:t>
      </w:r>
      <w:r>
        <w:br/>
        <w:t xml:space="preserve">A_22 = ( (K·M⁻¹·K)_22 − G_2 ) / C_IW</w:t>
      </w:r>
      <w:r>
        <w:br/>
        <w:t xml:space="preserve">b_1  = ( (K·M⁻¹·v)_1 + G_Rest·θ_eq ) / C_AW</w:t>
      </w:r>
      <w:r>
        <w:br/>
        <w:t xml:space="preserve">b_2  =   (K·M⁻¹·v)_2 / C_IW</w:t>
      </w:r>
    </w:p>
    <w:p>
      <w:r>
        <w:rPr>
          <w:b/>
        </w:rPr>
        <w:t xml:space="preserve">Die Nebendiagonale verschwindet nur ohne Strahlungskopplung und ohne gemeinsamen Luftknoten — eine diagonale Systemmatrix ist genau der Strukturfehler, den die Richtlinie ausschließt.</w:t>
      </w:r>
      <w:r>
        <w:t xml:space="preserve"> Beide Eigenwerte sind reell und negativ. Die Lufttemperatur folgt affin: θ_air = c_air·x + d_air.</w:t>
      </w:r>
    </w:p>
    <w:p>
      <w:r>
        <w:rPr>
          <w:b/>
        </w:rPr>
        <w:t xml:space="preserve">Fall 2 — ideale Regelung am Luftknoten.</w:t>
      </w:r>
      <w:r>
        <w:t xml:space="preserve"> Hält die Anlage θ_air = θ_soll durchgehend, entfällt die Luftbilanz als Bestimmungsgleichung und wird zur Leistungsgleichung:</w:t>
      </w:r>
    </w:p>
    <w:p>
      <w:pPr>
        <w:pStyle w:val="Codeblock"/>
      </w:pPr>
      <w:r>
        <w:t xml:space="preserve">N_11 = G_1 + G_rad + G_cAW      N_22 = G_2 + G_rad + G_cIW      N_12 = N_21 = −G_rad</w:t>
      </w:r>
      <w:r>
        <w:br/>
        <w:t xml:space="preserve">w_1  = Φ_rad,AW + G_cAW·θ_soll</w:t>
      </w:r>
      <w:r>
        <w:br/>
        <w:t xml:space="preserve">w_2  = Φ_rad,IW + G_cIW·θ_soll</w:t>
      </w:r>
      <w:r>
        <w:br/>
        <w:t xml:space="preserve"/>
      </w:r>
      <w:r>
        <w:br/>
        <w:t xml:space="preserve">Φ_h(x) = c_Q·x + d_Q                                          (96)–(98)</w:t>
      </w:r>
      <w:r>
        <w:br/>
        <w:t xml:space="preserve">c_Q    = −( (G_cAW, G_cIW)·N⁻¹ ) · K</w:t>
      </w:r>
      <w:r>
        <w:br/>
        <w:t xml:space="preserve">d_Q    = (G_cAW + G_cIW)·θ_soll − (G_cAW, G_cIW)·N⁻¹·w + G_ext·(θ_soll − θ_out) − Φ_conv</w:t>
      </w:r>
    </w:p>
    <w:p>
      <w:r>
        <w:t xml:space="preserve">Vorzeichen nach Blatt 1: </w:t>
      </w:r>
      <w:r>
        <w:rPr>
          <w:b/>
        </w:rPr>
        <w:t xml:space="preserve">Φ_h &gt; 0 heißt Heizen</w:t>
      </w:r>
      <w:r>
        <w:t xml:space="preserve">, Φ_h &lt; 0 heißt Kühlen. Die geregelte Matrix hängt </w:t>
      </w:r>
      <w:r>
        <w:rPr>
          <w:b/>
        </w:rPr>
        <w:t xml:space="preserve">nicht</w:t>
      </w:r>
      <w:r>
        <w:t xml:space="preserve"> von den Lasten und nicht vom Lüftungsleitwert ab.</w:t>
      </w:r>
    </w:p>
    <w:p>
      <w:r>
        <w:rPr>
          <w:b/>
        </w:rPr>
        <w:t xml:space="preserve">Fall 3 — Leistungsgrenze erreicht.</w:t>
      </w:r>
      <w:r>
        <w:t xml:space="preserve"> Ist die geforderte Leistung größer als Φ_h,max oder kleiner als null, wird sie festgehalten und als konvektive Last — bzw. nach a_str,H aufgeteilt — in den freien Lauf eingespeist. Das ist wieder Fall 1 mit anderer rechter Seite.</w:t>
      </w:r>
    </w:p>
    <w:p>
      <w:r>
        <w:rPr>
          <w:b/>
        </w:rPr>
        <w:t xml:space="preserve">Ausgabe.</w:t>
      </w:r>
      <w:r>
        <w:t xml:space="preserve"> Je Betriebsfall eine Matrix A, ein Vektor b, die Rückrechnung der Oberflächentemperaturen und die affinen Ausgänge θ_air(x) und Φ_h(x); b wechselt je Stunde mit den Randbedingungen. In G1 ist A über den ganzen Lauf konstant; mit der Sommerlüftungsregel aus G2 sind </w:t>
      </w:r>
      <w:r>
        <w:rPr>
          <w:b/>
        </w:rPr>
        <w:t xml:space="preserve">zwei</w:t>
      </w:r>
      <w:r>
        <w:t xml:space="preserve"> Sätze vorzuhalten, einer je Lüftungszustand.</w:t>
      </w:r>
    </w:p>
    <w:p>
      <w:pPr>
        <w:pStyle w:val="Heading2"/>
      </w:pPr>
      <w:r>
        <w:t xml:space="preserve">10.6 Schritt D — exakte Diskretisierung</w:t>
      </w:r>
    </w:p>
    <w:p>
      <w:r>
        <w:rPr>
          <w:b/>
        </w:rPr>
        <w:t xml:space="preserve">Zweck.</w:t>
      </w:r>
      <w:r>
        <w:t xml:space="preserve"> Für stückweise konstante Eingänge über eine Blockstunde Endwert </w:t>
      </w:r>
      <w:r>
        <w:rPr>
          <w:b/>
        </w:rPr>
        <w:t xml:space="preserve">und</w:t>
      </w:r>
      <w:r>
        <w:t xml:space="preserve"> Stundenmittel geschlossen bilden.</w:t>
      </w:r>
    </w:p>
    <w:p>
      <w:pPr>
        <w:pStyle w:val="Codeblock"/>
      </w:pPr>
      <w:r>
        <w:t xml:space="preserve">x(h)             = Φ·x₀ + Γ·b</w:t>
      </w:r>
      <w:r>
        <w:br/>
        <w:t xml:space="preserve">Mittelwert x̄     = (1/h)·(Γ·x₀ + Ψ·b)</w:t>
      </w:r>
      <w:r>
        <w:br/>
        <w:t xml:space="preserve">mit  Φ = exp(A·h),   Γ = ∫₀ʰ exp(A·τ) dτ,   Ψ = ∫₀ʰ ∫₀^τ exp(A·s) ds dτ</w:t>
      </w:r>
    </w:p>
    <w:p>
      <w:r>
        <w:t xml:space="preserve">Die drei Matrixfunktionen entstehen über die </w:t>
      </w:r>
      <w:r>
        <w:rPr>
          <w:b/>
        </w:rPr>
        <w:t xml:space="preserve">Sylvester-Formel</w:t>
      </w:r>
      <w:r>
        <w:t xml:space="preserve">. Mit μ = ½·Spur(A), d = √(μ² − det A) und λ_1,2 = μ ± d gilt für eine 2×2-Matrix und eine skalare Funktion f</w:t>
      </w:r>
    </w:p>
    <w:p>
      <w:pPr>
        <w:pStyle w:val="Codeblock"/>
      </w:pPr>
      <w:r>
        <w:t xml:space="preserve">f(A) = ½·(f(λ_1) + f(λ_2))·I  +  (f(λ_1) − f(λ_2))/(λ_1 − λ_2) · (A − μ·I)</w:t>
      </w:r>
    </w:p>
    <w:p>
      <w:r>
        <w:t xml:space="preserve">und im zusammenfallenden Fall f(A) = f(μ)·I + f′(μ)·(A − μ·I). Die drei Funktionen sind</w:t>
      </w:r>
    </w:p>
    <w:p>
      <w:pPr>
        <w:pStyle w:val="Codeblock"/>
      </w:pPr>
      <w:r>
        <w:t xml:space="preserve">Φ:  f(λ) = e^(λh)</w:t>
      </w:r>
      <w:r>
        <w:br/>
        <w:t xml:space="preserve">Γ:  f(λ) = (e^(λh) − 1) / λ                 nahe λ = 0:  h·(1 + λh/2 + (λh)²/6)</w:t>
      </w:r>
      <w:r>
        <w:br/>
        <w:t xml:space="preserve">Ψ:  f(λ) = (e^(λh) − 1 − λh) / λ²           nahe λ = 0:  h²·(½ + λh/6 + (λh)²/24)</w:t>
      </w:r>
    </w:p>
    <w:p>
      <w:r>
        <w:rPr>
          <w:b/>
        </w:rPr>
        <w:t xml:space="preserve">Die Reihenentwicklungen nahe null sind Pflicht, nicht Verzierung:</w:t>
      </w:r>
      <w:r>
        <w:t xml:space="preserve"> ohne sie löschen sich Zähler und Nenner aus. Das Verfahren ist unbedingt stabil, weil jeder Eigenwert negativ ist, deterministisch und liefert Endwert und Stundenmittel </w:t>
      </w:r>
      <w:r>
        <w:rPr>
          <w:b/>
        </w:rPr>
        <w:t xml:space="preserve">exakt</w:t>
      </w:r>
      <w:r>
        <w:t xml:space="preserve">. Das Stundenmittel ist zwingend, weil die Richtlinie Blockmittel je Stunde vergleicht. Φ, Γ und Ψ werden im Erbauer des Lösers </w:t>
      </w:r>
      <w:r>
        <w:rPr>
          <w:b/>
        </w:rPr>
        <w:t xml:space="preserve">einmal je Gebäude, Betriebsfall und Lüftungszustand</w:t>
      </w:r>
      <w:r>
        <w:t xml:space="preserve"> gebildet; nur die Bisektion braucht Matrixfunktionen zu einer Teilzeit und rechnet sie auf Abruf. Aus den Eigenwerten folgen zugleich die Zeitkonstanten τ_i = −1/λ_i für die Bemessung des Vorlaufs.</w:t>
      </w:r>
    </w:p>
    <w:p>
      <w:pPr>
        <w:pStyle w:val="Heading2"/>
      </w:pPr>
      <w:r>
        <w:t xml:space="preserve">10.7 Schritt E — Klimaweg je Stunde</w:t>
      </w:r>
    </w:p>
    <w:p>
      <w:r>
        <w:rPr>
          <w:b/>
        </w:rPr>
        <w:t xml:space="preserve">Zweck.</w:t>
      </w:r>
      <w:r>
        <w:t xml:space="preserve"> Acht Reihen zu 8 760 Werten bauen. Das Modell hat </w:t>
      </w:r>
      <w:r>
        <w:rPr>
          <w:b/>
        </w:rPr>
        <w:t xml:space="preserve">einen</w:t>
      </w:r>
      <w:r>
        <w:t xml:space="preserve"> Lesepfad: Ortszeit wie bei PV und Solarthermie. Zwei Zeitbezüge bleiben darin stehen und sind beide gewollt: der </w:t>
      </w:r>
      <w:r>
        <w:rPr>
          <w:b/>
        </w:rPr>
        <w:t xml:space="preserve">Sonnenstand rechnet auf UTC</w:t>
      </w:r>
      <w:r>
        <w:t xml:space="preserve">, und die Wochenendmaske trägt </w:t>
      </w:r>
      <w:r>
        <w:rPr>
          <w:b/>
        </w:rPr>
        <w:t xml:space="preserve">UTC-Tage</w:t>
      </w:r>
      <w:r>
        <w:t xml:space="preserve"> — genau wie im Bestandsweg.</w:t>
      </w:r>
    </w:p>
    <w:p>
      <w:r>
        <w:rPr>
          <w:b/>
        </w:rPr>
        <w:t xml:space="preserve">E1 — Sonnenstand</w:t>
      </w:r>
      <w:r>
        <w:t xml:space="preserve"> (Blatt 3, Abschnitt 5). Aus Längen- und Breitengrad, Tag des Jahres und Stunde folgen Zeitgleichung (5), Deklination (6), Sonnenhöhe (7), Stundenwinkel (8), Azimut (9)/(10) und Einstrahlwinkel (11). Zwei Festlegungen: Blatt 3 rechnet zur </w:t>
      </w:r>
      <w:r>
        <w:rPr>
          <w:b/>
        </w:rPr>
        <w:t xml:space="preserve">Stundenmitte</w:t>
      </w:r>
      <w:r>
        <w:t xml:space="preserve">, der Klimaimport des Bestands übergibt den Stundenanfang — der Unterschied ist eine halbe Stunde Stundenwinkel, also 7,5°, und verschiebt gerade Ost und West; entschieden wird an </w:t>
      </w:r>
      <w:r>
        <w:rPr>
          <w:b/>
        </w:rPr>
        <w:t xml:space="preserve">einer</w:t>
      </w:r>
      <w:r>
        <w:t xml:space="preserve"> Stelle, im Eingangsbauer. Die Azimutkonvention des Eingangsbauers zählt Grad gegen Süd, die Umrechnung steht an derselben einen Stelle.</w:t>
      </w:r>
    </w:p>
    <w:p>
      <w:r>
        <w:rPr>
          <w:b/>
        </w:rPr>
        <w:t xml:space="preserve">E2 — Strahlung auf die geneigte Fläche</w:t>
      </w:r>
      <w:r>
        <w:t xml:space="preserve"> (Hay-Davies; normkonformes Gegenstück Blatt 3 (29)–(50)). Je Orientierung und für das Dach anisotrop aus GHI, DNI, DHI und der Sonnengeometrie, mit Zirkumsolaranteil und Bodenreflexion. Die isotrope Bestandsfunktion darf </w:t>
      </w:r>
      <w:r>
        <w:rPr>
          <w:b/>
        </w:rPr>
        <w:t xml:space="preserve">nicht</w:t>
      </w:r>
      <w:r>
        <w:t xml:space="preserve"> benutzt werden — sie schreibt prozessweite statische Felder.</w:t>
      </w:r>
    </w:p>
    <w:p>
      <w:r>
        <w:rPr>
          <w:b/>
        </w:rPr>
        <w:t xml:space="preserve">E3 — Fenstersolareintrag</w:t>
      </w:r>
      <w:r>
        <w:t xml:space="preserve"> (EPOS-Klassenweg)</w:t>
      </w:r>
    </w:p>
    <w:p>
      <w:pPr>
        <w:pStyle w:val="Codeblock"/>
      </w:pPr>
      <w:r>
        <w:t xml:space="preserve">Φ_sol = Σ_o  A_w,o · g · F_F · F_S · F_W · I_o(h)            [W]</w:t>
      </w:r>
      <w:r>
        <w:br/>
        <w:t xml:space="preserve">mit F_F = 1 − Rahmenanteil,  F_S = Verschattungsfaktor,  F_W = 0,9</w:t>
      </w:r>
      <w:r>
        <w:br/>
        <w:t xml:space="preserve"/>
      </w:r>
      <w:r>
        <w:br/>
        <w:t xml:space="preserve">A_AW,opak = A_AW + A_D + A_G + A_So                          [m²]</w:t>
      </w:r>
      <w:r>
        <w:br/>
        <w:t xml:space="preserve">A_Raum    = A_AW,opak + A_IW                                 [m²]   ohne die Fensterflaeche</w:t>
      </w:r>
      <w:r>
        <w:br/>
        <w:t xml:space="preserve"/>
      </w:r>
      <w:r>
        <w:br/>
        <w:t xml:space="preserve">Φ_sol,Luft = a_kon · Φ_sol</w:t>
      </w:r>
      <w:r>
        <w:br/>
        <w:t xml:space="preserve">Φ_sol,AW   = (1 − a_kon) · Φ_sol · A_AW,opak / A_Raum</w:t>
      </w:r>
      <w:r>
        <w:br/>
        <w:t xml:space="preserve">Φ_sol,IW   = (1 − a_kon) · Φ_sol · A_IW      / A_Raum</w:t>
      </w:r>
    </w:p>
    <w:p>
      <w:r>
        <w:t xml:space="preserve">Die Fenster tragen im 2-K-Netz </w:t>
      </w:r>
      <w:r>
        <w:rPr>
          <w:b/>
        </w:rPr>
        <w:t xml:space="preserve">keinen</w:t>
      </w:r>
      <w:r>
        <w:t xml:space="preserve"> Oberflächenknoten. Die Richtlinie verteilt nach (45)/(46) mit der Fläche der bestrahlten Orientierung; diese Fläche ist im Klassenweg nicht rechenbar, weil </w:t>
      </w:r>
      <w:r>
        <w:rPr>
          <w:rFonts w:ascii="Consolas" w:hAnsi="Consolas" w:cs="Consolas"/>
          <w:noProof/>
          <w:sz w:val="20"/>
          <w:szCs w:val="20"/>
          <w:shd w:val="clear" w:color="auto" w:fill="EFEFEF"/>
        </w:rPr>
        <w:t xml:space="preserve">Tab_Gebaeude</w:t>
      </w:r>
      <w:r>
        <w:t xml:space="preserve"> nur die Summe der Außenwandfläche führt. In G1 gilt sie deshalb als null, und die Verteilung ist flächenproportional; mit dem Bauteilkatalog wird auf (45)/(46) umgestellt.</w:t>
      </w:r>
    </w:p>
    <w:p>
      <w:r>
        <w:rPr>
          <w:b/>
        </w:rPr>
        <w:t xml:space="preserve">E4 — innere Lasten</w:t>
      </w:r>
      <w:r>
        <w:t xml:space="preserve"> (Verteilung nach (43)/(44), flächenproportional wie E3)</w:t>
      </w:r>
    </w:p>
    <w:p>
      <w:pPr>
        <w:pStyle w:val="Codeblock"/>
      </w:pPr>
      <w:r>
        <w:t xml:space="preserve">Φ_int,conv = 0,5 · Interne_Waermegewinne                     [W]</w:t>
      </w:r>
      <w:r>
        <w:br/>
        <w:t xml:space="preserve">Φ_int,rad  = 0,5 · Interne_Waermegewinne                     [W]</w:t>
      </w:r>
      <w:r>
        <w:br/>
        <w:t xml:space="preserve">Φ_int,AW   = Φ_int,rad · A_AW,opak / A_Raum</w:t>
      </w:r>
      <w:r>
        <w:br/>
        <w:t xml:space="preserve">Φ_int,IW   = Φ_int,rad · A_IW      / A_Raum</w:t>
      </w:r>
    </w:p>
    <w:p>
      <w:r>
        <w:t xml:space="preserve">Für den Löser wird je Oberflächenknoten die </w:t>
      </w:r>
      <w:r>
        <w:rPr>
          <w:b/>
        </w:rPr>
        <w:t xml:space="preserve">Summe</w:t>
      </w:r>
      <w:r>
        <w:t xml:space="preserve"> aus solarem und innerem Strahlungsanteil gebraucht.</w:t>
      </w:r>
    </w:p>
    <w:p>
      <w:r>
        <w:rPr>
          <w:b/>
        </w:rPr>
        <w:t xml:space="preserve">E5 — äquivalente Außentemperatur je Fläche</w:t>
      </w:r>
      <w:r>
        <w:t xml:space="preserve"> (32)–(40)</w:t>
      </w:r>
    </w:p>
    <w:p>
      <w:pPr>
        <w:pStyle w:val="Codeblock"/>
      </w:pPr>
      <w:r>
        <w:t xml:space="preserve">θ_A,eq,k = θ_out + Δθ_lw,k + Δθ_kw,k                          [°C]</w:t>
      </w:r>
      <w:r>
        <w:br/>
        <w:t xml:space="preserve">Δθ_kw,k  = (I_dir,k + I_diff,k) · a_F / α_A                   (32), (38)</w:t>
      </w:r>
      <w:r>
        <w:br/>
        <w:t xml:space="preserve">Δθ_lw,k  = φ_k · ε_F · (E_A − E_E) / α_A                      (33)–(37)</w:t>
      </w:r>
      <w:r>
        <w:br/>
        <w:t xml:space="preserve">mit φ_k  = (1 + cos γ_F,k)/2                                  (36a)</w:t>
      </w:r>
      <w:r>
        <w:br/>
        <w:t xml:space="preserve"/>
      </w:r>
      <w:r>
        <w:br/>
        <w:t xml:space="preserve">α_str,A = (E_A + E_E) / (θ_Atm − θ_Erd)      (37)   Rueckfallwert 5,0 W/(m²K)</w:t>
      </w:r>
      <w:r>
        <w:br/>
        <w:t xml:space="preserve">α_A     = α_kon,A + α_str,A                  (38)   mit α_kon,A = 20,0  -&gt;  25 W/(m²K)</w:t>
      </w:r>
    </w:p>
    <w:p>
      <w:r>
        <w:t xml:space="preserve">φ ist der </w:t>
      </w:r>
      <w:r>
        <w:rPr>
          <w:b/>
        </w:rPr>
        <w:t xml:space="preserve">geometrische</w:t>
      </w:r>
      <w:r>
        <w:t xml:space="preserve"> Sichtfaktor — 0,5 für die senkrechte Wand, 1,0 für das waagerechte Dach —; die Bewölkung steckt allein in der Gegenstrahlung. Für transparente Flächen entfällt der kurzwellige Term. Fehlt die Gegenstrahlung, ist der langwellige Term gar nicht rechenbar; dann gilt er als null und α_A bleibt bei 25 W/(m²K). </w:t>
      </w:r>
      <w:r>
        <w:rPr>
          <w:b/>
        </w:rPr>
        <w:t xml:space="preserve">In Stufe G1 steht der Schalter auf aus</w:t>
      </w:r>
      <w:r>
        <w:t xml:space="preserve">, also θ_A,eq = θ_out für Wand, Dach und Sonstiges — Parität mit dem Tagesbilanz-Weg; mit G2 wird der Schalter mit der Normformel gefüllt.</w:t>
      </w:r>
    </w:p>
    <w:p>
      <w:r>
        <w:rPr>
          <w:b/>
        </w:rPr>
        <w:t xml:space="preserve">E6 — Grundfläche: Erdreich, Keller oder Außenluft</w:t>
      </w:r>
    </w:p>
    <w:p>
      <w:pPr>
        <w:pStyle w:val="Codeblock"/>
      </w:pPr>
      <w:r>
        <w:t xml:space="preserve">θ_grund(d) = θ̄_a − Â_a · D · cos( 2π/365 · (d − d_min − Δt) )     [°C]</w:t>
      </w:r>
      <w:r>
        <w:br/>
        <w:t xml:space="preserve">D  = exp( −z · √(π / (365 · α_Erd)) )            = 0,68   bei z = 1 m, α_Erd = 0,06 m²/d</w:t>
      </w:r>
      <w:r>
        <w:br/>
        <w:t xml:space="preserve">Δt = ½ · z · √(365 / (π · α_Erd))                = 22 d</w:t>
      </w:r>
    </w:p>
    <w:p>
      <w:r>
        <w:t xml:space="preserve">θ̄_a ist das Jahresmittel der Außenluft, Â_a die Amplitude der </w:t>
      </w:r>
      <w:r>
        <w:rPr>
          <w:b/>
        </w:rPr>
        <w:t xml:space="preserve">ersten Harmonischen</w:t>
      </w:r>
      <w:r>
        <w:t xml:space="preserve"> der Tagesmittel im Ausgleich nach kleinsten Quadraten, d_min der Tag ihres Minimums. </w:t>
      </w:r>
      <w:r>
        <w:rPr>
          <w:b/>
        </w:rPr>
        <w:t xml:space="preserve">Die Amplitude darf nicht als halbe Spannweite gebildet werden</w:t>
      </w:r>
      <w:r>
        <w:t xml:space="preserve"> — das ergäbe eine etwa doppelt so große Schwankung. Bei </w:t>
      </w:r>
      <w:r>
        <w:rPr>
          <w:rFonts w:ascii="Consolas" w:hAnsi="Consolas" w:cs="Consolas"/>
          <w:noProof/>
          <w:sz w:val="20"/>
          <w:szCs w:val="20"/>
          <w:shd w:val="clear" w:color="auto" w:fill="EFEFEF"/>
        </w:rPr>
        <w:t xml:space="preserve">KELLER</w:t>
      </w:r>
      <w:r>
        <w:t xml:space="preserve"> geht die vorgegebene Kellertemperatur nach Gl. (40) ein, bei </w:t>
      </w:r>
      <w:r>
        <w:rPr>
          <w:rFonts w:ascii="Consolas" w:hAnsi="Consolas" w:cs="Consolas"/>
          <w:noProof/>
          <w:sz w:val="20"/>
          <w:szCs w:val="20"/>
          <w:shd w:val="clear" w:color="auto" w:fill="EFEFEF"/>
        </w:rPr>
        <w:t xml:space="preserve">AUSSENLUFT</w:t>
      </w:r>
      <w:r>
        <w:t xml:space="preserve"> die Außenluft. Gerechnet wird mit der vorhandenen Erdreichklasse, aber mit den eigenen Parametern z = 1,0 m und α_Erd = 0,06 m²/d; ihre Vorgaben gelten dem Erdkollektor der Wärmepumpe, nicht der Bodenplatte, und der Unterschied ist bei der Umsetzung auszuweisen.</w:t>
      </w:r>
    </w:p>
    <w:p>
      <w:r>
        <w:rPr>
          <w:b/>
        </w:rPr>
        <w:t xml:space="preserve">E7 — U·A-gewichtete äquivalente Außentemperatur</w:t>
      </w:r>
      <w:r>
        <w:t xml:space="preserve"> (41)/(42)</w:t>
      </w:r>
    </w:p>
    <w:p>
      <w:pPr>
        <w:pStyle w:val="Codeblock"/>
      </w:pPr>
      <w:r>
        <w:t xml:space="preserve">θ_eq(h) = [ (U·A)_AW·θ_A,eq,AW + (U·A)_D·θ_A,eq,D + (U·A)_So·θ_A,eq,So + (U·A)_G·θ_grund ]</w:t>
      </w:r>
      <w:r>
        <w:br/>
        <w:t xml:space="preserve">          / Σ(U·A)_opak                                       [°C]</w:t>
      </w:r>
    </w:p>
    <w:p>
      <w:r>
        <w:rPr>
          <w:b/>
        </w:rPr>
        <w:t xml:space="preserve">E8 — Sollwertfahrplan</w:t>
      </w:r>
    </w:p>
    <w:p>
      <w:pPr>
        <w:pStyle w:val="Codeblock"/>
      </w:pPr>
      <w:r>
        <w:t xml:space="preserve">θ_soll(h) = θ_soll,Fer    wenn Tag in einem Ferienzeitraum und Ferien aktiv</w:t>
      </w:r>
      <w:r>
        <w:br/>
        <w:t xml:space="preserve">          = θ_soll,WE     wenn Wochenendtag und θ_soll,WE &gt; 5</w:t>
      </w:r>
      <w:r>
        <w:br/>
        <w:t xml:space="preserve">          = θ_soll,Tag    wenn Stunde des Tages 7 … 22</w:t>
      </w:r>
      <w:r>
        <w:br/>
        <w:t xml:space="preserve">          = θ_soll,Nacht  sonst</w:t>
      </w:r>
      <w:r>
        <w:br/>
        <w:t xml:space="preserve">θ_max(h)  = Maximaleraumtemperatur</w:t>
      </w:r>
    </w:p>
    <w:p>
      <w:r>
        <w:rPr>
          <w:b/>
        </w:rPr>
        <w:t xml:space="preserve">Stundenkonvention:</w:t>
      </w:r>
      <w:r>
        <w:t xml:space="preserve"> die Stunde des Tages ist </w:t>
      </w:r>
      <w:r>
        <w:rPr>
          <w:b/>
        </w:rPr>
        <w:t xml:space="preserve">1-basiert</w:t>
      </w:r>
      <w:r>
        <w:t xml:space="preserve"> — dieselbe Zählung wie der Bestandsweg, damit beide Wege denselben Fahrplan rechnen; mit 0-basiertem Index verschöbe sich der ganze Fahrplan um eine Stunde. Ferien haben Vorrang vor dem Wochenende; </w:t>
      </w:r>
      <w:r>
        <w:rPr>
          <w:b/>
        </w:rPr>
        <w:t xml:space="preserve">0 und 366 heißen „aus"</w:t>
      </w:r>
      <w:r>
        <w:t xml:space="preserve"> und laufen still durch, benannt abgelehnt wird nur ein Tag außerhalb 1…365 in einem </w:t>
      </w:r>
      <w:r>
        <w:rPr>
          <w:b/>
        </w:rPr>
        <w:t xml:space="preserve">aktiven</w:t>
      </w:r>
      <w:r>
        <w:t xml:space="preserve"> Fahrplan.</w:t>
      </w:r>
    </w:p>
    <w:p>
      <w:r>
        <w:rPr>
          <w:b/>
        </w:rPr>
        <w:t xml:space="preserve">Ausgabe.</w:t>
      </w:r>
      <w:r>
        <w:t xml:space="preserve"> Acht Reihen zu 8 760 Werten: Außentemperatur, äquivalente Außentemperatur, drei Solaranteile, innere Last, Sollwert, obere Grenze. Die innere Last führt die </w:t>
      </w:r>
      <w:r>
        <w:rPr>
          <w:b/>
        </w:rPr>
        <w:t xml:space="preserve">konstante Gesamtleistung</w:t>
      </w:r>
      <w:r>
        <w:t xml:space="preserve">; die Aufteilung und die Flächengewichte bildet erst der Löser.</w:t>
      </w:r>
    </w:p>
    <w:p>
      <w:pPr>
        <w:pStyle w:val="Heading2"/>
      </w:pPr>
      <w:r>
        <w:t xml:space="preserve">10.8 Schritt F — die Stundenschleife</w:t>
      </w:r>
    </w:p>
    <w:p>
      <w:pPr>
        <w:pStyle w:val="Codeblock"/>
      </w:pPr>
      <w:r>
        <w:t xml:space="preserve">Eingang:  ErsatzparameterRC p, acht Randreihen, Vorlauflaenge 30 Tage</w:t>
      </w:r>
      <w:r>
        <w:br/>
        <w:t xml:space="preserve">Zustand:  x = (theta_m,AW, theta_m,IW), Startwert theta_soll der ersten Stunde</w:t>
      </w:r>
      <w:r>
        <w:br/>
        <w:t xml:space="preserve"/>
      </w:r>
      <w:r>
        <w:br/>
        <w:t xml:space="preserve">Einheiten: Q und Phi_h in W, Phi_h_max = 1000 * Heizleistung_Max [kW] -&gt; W</w:t>
      </w:r>
      <w:r>
        <w:br/>
        <w:t xml:space="preserve">           Temperaturen in K bzw. Grad C</w:t>
      </w:r>
      <w:r>
        <w:br/>
        <w:t xml:space="preserve"/>
      </w:r>
      <w:r>
        <w:br/>
        <w:t xml:space="preserve">Loeser aufbauen:</w:t>
      </w:r>
      <w:r>
        <w:br/>
        <w:t xml:space="preserve">    A_frei, b-Struktur   aus p und dem Lueftungsleitwert          (Schritt C, Fall 1)</w:t>
      </w:r>
      <w:r>
        <w:br/>
        <w:t xml:space="preserve">    A_regel              aus p                                    (Schritt C, Fall 2)</w:t>
      </w:r>
      <w:r>
        <w:br/>
        <w:t xml:space="preserve">    Phi, Gamma, Psi      je Fall und Lueftungszustand, h = 3600 s (Schritt D)</w:t>
      </w:r>
      <w:r>
        <w:br/>
        <w:t xml:space="preserve"/>
      </w:r>
      <w:r>
        <w:br/>
        <w:t xml:space="preserve">Vorlauf:</w:t>
      </w:r>
      <w:r>
        <w:br/>
        <w:t xml:space="preserve">    fuer h = 8760-720 bis 8759:  Stundenschritt(h);  Ergebnisse verwerfen</w:t>
      </w:r>
      <w:r>
        <w:br/>
        <w:t xml:space="preserve"/>
      </w:r>
      <w:r>
        <w:br/>
        <w:t xml:space="preserve">Jahr:</w:t>
      </w:r>
      <w:r>
        <w:br/>
        <w:t xml:space="preserve">    fuer h = 0 bis 8759:</w:t>
      </w:r>
      <w:r>
        <w:br/>
        <w:t xml:space="preserve">        (Q[h], theta_air[h], theta_op[h], Kuehl[h]) = Stundenschritt(h)</w:t>
      </w:r>
      <w:r>
        <w:br/>
        <w:t xml:space="preserve"/>
      </w:r>
      <w:r>
        <w:br/>
        <w:t xml:space="preserve">Stundenschritt(h):</w:t>
      </w:r>
      <w:r>
        <w:br/>
        <w:t xml:space="preserve">    t = 0;  akkQ = 0;  akkAir = 0;  akkS = (0, 0);  Abschnitte = 0</w:t>
      </w:r>
      <w:r>
        <w:br/>
        <w:t xml:space="preserve">    solange t &lt; 3600 s und Abschnitte &lt; 60:</w:t>
      </w:r>
      <w:r>
        <w:br/>
        <w:t xml:space="preserve">        Abschnitte = Abschnitte + 1</w:t>
      </w:r>
      <w:r>
        <w:br/>
        <w:t xml:space="preserve">        rest = 3600 - t</w:t>
      </w:r>
      <w:r>
        <w:br/>
        <w:t xml:space="preserve">        Lasten und Sollwert der Stunde h einsetzen</w:t>
      </w:r>
      <w:r>
        <w:br/>
        <w:t xml:space="preserve"/>
      </w:r>
      <w:r>
        <w:br/>
        <w:t xml:space="preserve">        Betriebsfall waehlen:</w:t>
      </w:r>
      <w:r>
        <w:br/>
        <w:t xml:space="preserve">            Q0 = Phi_h(x)   im geregelten System</w:t>
      </w:r>
      <w:r>
        <w:br/>
        <w:t xml:space="preserve">            wenn Q0 &gt; Phi_h_max:  Fall = Grenze oben, Q_fest = Phi_h_max</w:t>
      </w:r>
      <w:r>
        <w:br/>
        <w:t xml:space="preserve">            sonst wenn Q0 &lt; 0:</w:t>
      </w:r>
      <w:r>
        <w:br/>
        <w:t xml:space="preserve">                wenn theta_air im freien Lauf &gt; theta_max:  Fall = Kuehlung, Sollwert = theta_max</w:t>
      </w:r>
      <w:r>
        <w:br/>
        <w:t xml:space="preserve">                sonst:                                      Fall = frei,     Q_fest = 0</w:t>
      </w:r>
      <w:r>
        <w:br/>
        <w:t xml:space="preserve">            sonst:                                          Fall = geregelt</w:t>
      </w:r>
      <w:r>
        <w:br/>
        <w:t xml:space="preserve"/>
      </w:r>
      <w:r>
        <w:br/>
        <w:t xml:space="preserve">        Gueltigkeit am Ende des Restintervalls pruefen:</w:t>
      </w:r>
      <w:r>
        <w:br/>
        <w:t xml:space="preserve">            geregelt:                       gueltig solange 0 &lt;= Phi_h(x) &lt;= Phi_h_max</w:t>
      </w:r>
      <w:r>
        <w:br/>
        <w:t xml:space="preserve">            Grenze oben (Q_fest &gt; 0):       gueltig solange theta_air(x) &lt;= theta_soll</w:t>
      </w:r>
      <w:r>
        <w:br/>
        <w:t xml:space="preserve">            frei, Heizfall (Q = 0):         gueltig solange theta_air(x) &gt;= theta_soll</w:t>
      </w:r>
      <w:r>
        <w:br/>
        <w:t xml:space="preserve">            Kuehlfall (Sollwert theta_max): gueltig solange theta_air(x) &lt;= theta_max</w:t>
      </w:r>
      <w:r>
        <w:br/>
        <w:t xml:space="preserve"/>
      </w:r>
      <w:r>
        <w:br/>
        <w:t xml:space="preserve">        wenn am Ende verletzt:</w:t>
      </w:r>
      <w:r>
        <w:br/>
        <w:t xml:space="preserve">            tau = Bisektion der ersten Nullstelle des Verletzungsmasses, 60 Halbierungen</w:t>
      </w:r>
      <w:r>
        <w:br/>
        <w:t xml:space="preserve">        sonst:</w:t>
      </w:r>
      <w:r>
        <w:br/>
        <w:t xml:space="preserve">            tau = rest</w:t>
      </w:r>
      <w:r>
        <w:br/>
        <w:t xml:space="preserve"/>
      </w:r>
      <w:r>
        <w:br/>
        <w:t xml:space="preserve">        x_mittel = (Gamma(tau)*x + Psi(tau)*b) / tau</w:t>
      </w:r>
      <w:r>
        <w:br/>
        <w:t xml:space="preserve">        akkQ   += Q(x_mittel) * tau        (bzw. Q_fest * tau in den Grenzfaellen)</w:t>
      </w:r>
      <w:r>
        <w:br/>
        <w:t xml:space="preserve">        akkAir += theta_air(x_mittel) * tau</w:t>
      </w:r>
      <w:r>
        <w:br/>
        <w:t xml:space="preserve">        akkS   += (S_C*x_mittel + S_D) * tau</w:t>
      </w:r>
      <w:r>
        <w:br/>
        <w:t xml:space="preserve">        x       = Phi(tau)*x + Gamma(tau)*b</w:t>
      </w:r>
      <w:r>
        <w:br/>
        <w:t xml:space="preserve">        t      += tau</w:t>
      </w:r>
      <w:r>
        <w:br/>
        <w:t xml:space="preserve"/>
      </w:r>
      <w:r>
        <w:br/>
        <w:t xml:space="preserve">    Q_Stunde        = akkQ / 3600                      (Blockmittel, W)</w:t>
      </w:r>
      <w:r>
        <w:br/>
        <w:t xml:space="preserve">    theta_air_Std   = akkAir / 3600                    (Blockmittel, Grad C)</w:t>
      </w:r>
      <w:r>
        <w:br/>
        <w:t xml:space="preserve">    theta_s_Std     = akkS / 3600                      (Blockmittel der Oberflaechen)</w:t>
      </w:r>
      <w:r>
        <w:br/>
        <w:t xml:space="preserve">    theta_op_Std    = 0,5*theta_air_Std + 0,5*flaechengewichtetes Mittel von theta_s_Std</w:t>
      </w:r>
    </w:p>
    <w:p>
      <w:r>
        <w:rPr>
          <w:b/>
        </w:rPr>
        <w:t xml:space="preserve">Zeitbezug aller drei Prüfgrößen.</w:t>
      </w:r>
      <w:r>
        <w:t xml:space="preserve"> Heiz- und Kühllast, Raumluft- </w:t>
      </w:r>
      <w:r>
        <w:rPr>
          <w:b/>
        </w:rPr>
        <w:t xml:space="preserve">und</w:t>
      </w:r>
      <w:r>
        <w:t xml:space="preserve"> operative Temperatur sind Blockmittel; Momentanwerte am Schrittende bilden die Verhältnisse nicht korrekt ab. Deshalb geht auch die Oberflächentemperatur als Blockmittel in die operative Temperatur ein und wird bei mehreren Abschnitten je Stunde abschnittsweise akkumuliert. Der Unterschied ist nicht vernachlässigbar: in der unten gerechneten Beispielstunde sind es 0,054 K, mehr als ein Drittel des Prüfbandes von ± 0,15 K.</w:t>
      </w:r>
    </w:p>
    <w:p>
      <w:r>
        <w:rPr>
          <w:b/>
        </w:rPr>
        <w:t xml:space="preserve">Die Regeln dahinter.</w:t>
      </w:r>
      <w:r>
        <w:t xml:space="preserve"> Der </w:t>
      </w:r>
      <w:r>
        <w:rPr>
          <w:b/>
        </w:rPr>
        <w:t xml:space="preserve">Vorlauf</w:t>
      </w:r>
      <w:r>
        <w:t xml:space="preserve"> rechnet die letzten 30 Tage des Jahres vor dem 1. Januar und verwirft ihre Ergebnisse; für die Referenzgebäude mit Zeitkonstanten von 7,5 bis 24,8 h deckt er die Anfangsabweichung auf unter 0,1 K ab, für die langsameren Normtesträume mit bis zu rund 264 h reicht er nicht und ist je Fall zu prüfen. Die </w:t>
      </w:r>
      <w:r>
        <w:rPr>
          <w:b/>
        </w:rPr>
        <w:t xml:space="preserve">ideale Regelung</w:t>
      </w:r>
      <w:r>
        <w:t xml:space="preserve"> hält den Sollwert zu jedem Zeitpunkt der Stunde, weil der Luftknoten kapazitätslos ist; eine Variante „Sollwert am Schrittende" ergäbe andere Stundenmittel und widerspräche der Richtlinie. Die </w:t>
      </w:r>
      <w:r>
        <w:rPr>
          <w:b/>
        </w:rPr>
        <w:t xml:space="preserve">Bisektion</w:t>
      </w:r>
      <w:r>
        <w:t xml:space="preserve"> ist die einzige Iteration, höchstens 60 Halbierungen, deterministisch. Die </w:t>
      </w:r>
      <w:r>
        <w:rPr>
          <w:b/>
        </w:rPr>
        <w:t xml:space="preserve">Kühlung</w:t>
      </w:r>
      <w:r>
        <w:t xml:space="preserve"> wird als Kappung an der oberen Raumtemperatur gerechnet und als informative Reihe geführt. Mit einem </w:t>
      </w:r>
      <w:r>
        <w:rPr>
          <w:b/>
        </w:rPr>
        <w:t xml:space="preserve">Strahlungsanteil der Heizung</w:t>
      </w:r>
      <w:r>
        <w:t xml:space="preserve"> größer null wird die Heizleistung nach (49)–(54) auf Luft und Oberflächen aufgeteilt; das ändert die Koeffizienten, nicht die Struktur. </w:t>
      </w:r>
      <w:r>
        <w:rPr>
          <w:b/>
        </w:rPr>
        <w:t xml:space="preserve">Kein Totband, keine Reglerdynamik</w:t>
      </w:r>
      <w:r>
        <w:t xml:space="preserve"> — das Modell liefert den Bedarf, die Deckung rechnet die Simulationssteuerung wie bisher.</w:t>
      </w:r>
    </w:p>
    <w:p>
      <w:pPr>
        <w:pStyle w:val="Diagrammbild"/>
      </w:pPr>
      <w:r>
        <w:drawing>
          <wp:inline xmlns:wp="http://schemas.openxmlformats.org/drawingml/2006/wordprocessingDrawing" distT="0" distB="0" distL="0" distR="0">
            <wp:extent cx="4569780" cy="7920000"/>
            <wp:effectExtent l="0" t="0" r="0" b="0"/>
            <wp:docPr id="13" name="Bild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3.png"/>
                    <pic:cNvPicPr/>
                  </pic:nvPicPr>
                  <pic:blipFill>
                    <a:blip xmlns:r="http://schemas.openxmlformats.org/officeDocument/2006/relationships" r:embed="R9b2c55bb2f9240ab"/>
                    <a:stretch>
                      <a:fillRect/>
                    </a:stretch>
                  </pic:blipFill>
                  <pic:spPr>
                    <a:xfrm>
                      <a:off x="0" y="0"/>
                      <a:ext cx="4569780" cy="7920000"/>
                    </a:xfrm>
                    <a:prstGeom prst="rect">
                      <a:avLst/>
                    </a:prstGeom>
                  </pic:spPr>
                </pic:pic>
              </a:graphicData>
            </a:graphic>
          </wp:inline>
        </w:drawing>
      </w:r>
    </w:p>
    <w:p>
      <w:pPr>
        <w:pStyle w:val="Bildunterschrift"/>
      </w:pPr>
      <w:r>
        <w:rPr>
          <w:i/>
          <w:iCs/>
        </w:rPr>
        <w:t xml:space="preserve">Bild 13: 10.8 Schritt F — die Stundenschleife</w:t>
      </w:r>
    </w:p>
    <w:p>
      <w:pPr>
        <w:pStyle w:val="Heading2"/>
      </w:pPr>
      <w:r>
        <w:t xml:space="preserve">10.9 Schritt G — Ergebnisse</w:t>
      </w:r>
    </w:p>
    <w:p>
      <w:r>
        <w:rPr>
          <w:b/>
        </w:rPr>
        <w:t xml:space="preserve">Vier Reihen je Gebäude.</w:t>
      </w:r>
      <w:r>
        <w:t xml:space="preserve"> Die Heizlast läuft in </w:t>
      </w:r>
      <w:r>
        <w:rPr>
          <w:b/>
        </w:rPr>
        <w:t xml:space="preserve">Watt</w:t>
      </w:r>
      <w:r>
        <w:t xml:space="preserve"> in den vorhandenen Puffer und von dort in den Heizkanal; Raumluft- und operative Temperatur sowie der Kühlbedarf gehen als je eine neue Vektordatei in den Referenzlauf-Export, die Temperaturen in °C, der Kühlbedarf in kWh. </w:t>
      </w:r>
      <w:r>
        <w:rPr>
          <w:b/>
        </w:rPr>
        <w:t xml:space="preserve">Die drei neuen Dateien entstehen nur für Gebäude mit dem Stundenmodell</w:t>
      </w:r>
      <w:r>
        <w:t xml:space="preserve"> — für Tagesbilanz-Gebäude dürfen sie gar nicht erst angelegt werden, nicht „mit Nullen gefüllt".</w:t>
      </w:r>
    </w:p>
    <w:p>
      <w:r>
        <w:t xml:space="preserve">Die operative Temperatur nach Gl. (103), als </w:t>
      </w:r>
      <w:r>
        <w:rPr>
          <w:b/>
        </w:rPr>
        <w:t xml:space="preserve">Blockmittel</w:t>
      </w:r>
      <w:r>
        <w:t xml:space="preserve"> beider Anteile:</w:t>
      </w:r>
    </w:p>
    <w:p>
      <w:pPr>
        <w:pStyle w:val="Codeblock"/>
      </w:pPr>
      <w:r>
        <w:t xml:space="preserve">θ_op = 0,5 · θ_air + 0,5 · ( Σ_k A_k · θ_s,k / Σ_k A_k )       [°C]</w:t>
      </w:r>
      <w:r>
        <w:br/>
        <w:t xml:space="preserve">mit den Flaechen A_AW,opak und A_IW, Σ A_k = A_Raum (ohne die Fensterflaeche)</w:t>
      </w:r>
    </w:p>
    <w:p>
      <w:r>
        <w:rPr>
          <w:b/>
        </w:rPr>
        <w:t xml:space="preserve">Sieben Kennzahlen je Gebäude: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Kennzahl</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Bildung</w:t>
            </w:r>
          </w:p>
        </w:tc>
      </w:tr>
      <w:tr>
        <w:tc>
          <w:tcPr>
            <w:tcW w:w="0" w:type="auto"/>
          </w:tcPr>
          <w:p>
            <w:pPr>
              <w:spacing w:after="0" w:line="240" w:lineRule="auto"/>
            </w:pPr>
            <w:r>
              <w:t xml:space="preserve">Jahresheizwärme</w:t>
            </w:r>
          </w:p>
        </w:tc>
        <w:tc>
          <w:tcPr>
            <w:tcW w:w="0" w:type="auto"/>
          </w:tcPr>
          <w:p>
            <w:pPr>
              <w:spacing w:after="0" w:line="240" w:lineRule="auto"/>
            </w:pPr>
            <w:r>
              <w:t xml:space="preserve">MWh</w:t>
            </w:r>
          </w:p>
        </w:tc>
        <w:tc>
          <w:tcPr>
            <w:tcW w:w="0" w:type="auto"/>
          </w:tcPr>
          <w:p>
            <w:pPr>
              <w:spacing w:after="0" w:line="240" w:lineRule="auto"/>
            </w:pPr>
            <w:r>
              <w:t xml:space="preserve">Summe der Heizlastreihe</w:t>
            </w:r>
          </w:p>
        </w:tc>
      </w:tr>
      <w:tr>
        <w:tc>
          <w:tcPr>
            <w:tcW w:w="0" w:type="auto"/>
          </w:tcPr>
          <w:p>
            <w:pPr>
              <w:spacing w:after="0" w:line="240" w:lineRule="auto"/>
            </w:pPr>
            <w:r>
              <w:t xml:space="preserve">Spitze</w:t>
            </w:r>
          </w:p>
        </w:tc>
        <w:tc>
          <w:tcPr>
            <w:tcW w:w="0" w:type="auto"/>
          </w:tcPr>
          <w:p>
            <w:pPr>
              <w:spacing w:after="0" w:line="240" w:lineRule="auto"/>
            </w:pPr>
            <w:r>
              <w:t xml:space="preserve">kW</w:t>
            </w:r>
          </w:p>
        </w:tc>
        <w:tc>
          <w:tcPr>
            <w:tcW w:w="0" w:type="auto"/>
          </w:tcPr>
          <w:p>
            <w:pPr>
              <w:spacing w:after="0" w:line="240" w:lineRule="auto"/>
            </w:pPr>
            <w:r>
              <w:t xml:space="preserve">Maximum der Stundenreihe</w:t>
            </w:r>
          </w:p>
        </w:tc>
      </w:tr>
      <w:tr>
        <w:tc>
          <w:tcPr>
            <w:tcW w:w="0" w:type="auto"/>
          </w:tcPr>
          <w:p>
            <w:pPr>
              <w:spacing w:after="0" w:line="240" w:lineRule="auto"/>
            </w:pPr>
            <w:r>
              <w:t xml:space="preserve">Spitze im Tagesmittel</w:t>
            </w:r>
          </w:p>
        </w:tc>
        <w:tc>
          <w:tcPr>
            <w:tcW w:w="0" w:type="auto"/>
          </w:tcPr>
          <w:p>
            <w:pPr>
              <w:spacing w:after="0" w:line="240" w:lineRule="auto"/>
            </w:pPr>
            <w:r>
              <w:t xml:space="preserve">kW</w:t>
            </w:r>
          </w:p>
        </w:tc>
        <w:tc>
          <w:tcPr>
            <w:tcW w:w="0" w:type="auto"/>
          </w:tcPr>
          <w:p>
            <w:pPr>
              <w:spacing w:after="0" w:line="240" w:lineRule="auto"/>
            </w:pPr>
            <w:r>
              <w:t xml:space="preserve">größtes </w:t>
            </w:r>
            <w:r>
              <w:rPr>
                <w:b/>
              </w:rPr>
              <w:t xml:space="preserve">gleitendes</w:t>
            </w:r>
            <w:r>
              <w:t xml:space="preserve"> Mittel über 24 aufeinanderfolgende Blockstunden (8 737 Fenster)</w:t>
            </w:r>
          </w:p>
        </w:tc>
      </w:tr>
      <w:tr>
        <w:tc>
          <w:tcPr>
            <w:tcW w:w="0" w:type="auto"/>
          </w:tcPr>
          <w:p>
            <w:pPr>
              <w:spacing w:after="0" w:line="240" w:lineRule="auto"/>
            </w:pPr>
            <w:r>
              <w:t xml:space="preserve">95-%-Quantil</w:t>
            </w:r>
          </w:p>
        </w:tc>
        <w:tc>
          <w:tcPr>
            <w:tcW w:w="0" w:type="auto"/>
          </w:tcPr>
          <w:p>
            <w:pPr>
              <w:spacing w:after="0" w:line="240" w:lineRule="auto"/>
            </w:pPr>
            <w:r>
              <w:t xml:space="preserve">kW</w:t>
            </w:r>
          </w:p>
        </w:tc>
        <w:tc>
          <w:tcPr>
            <w:tcW w:w="0" w:type="auto"/>
          </w:tcPr>
          <w:p>
            <w:pPr>
              <w:spacing w:after="0" w:line="240" w:lineRule="auto"/>
            </w:pPr>
            <w:r>
              <w:t xml:space="preserve">nach nächstgelegenem Rang über die 8 760 sortierten Stundenwerte</w:t>
            </w:r>
          </w:p>
        </w:tc>
      </w:tr>
      <w:tr>
        <w:tc>
          <w:tcPr>
            <w:tcW w:w="0" w:type="auto"/>
          </w:tcPr>
          <w:p>
            <w:pPr>
              <w:spacing w:after="0" w:line="240" w:lineRule="auto"/>
            </w:pPr>
            <w:r>
              <w:t xml:space="preserve">Kühlenergie</w:t>
            </w:r>
          </w:p>
        </w:tc>
        <w:tc>
          <w:tcPr>
            <w:tcW w:w="0" w:type="auto"/>
          </w:tcPr>
          <w:p>
            <w:pPr>
              <w:spacing w:after="0" w:line="240" w:lineRule="auto"/>
            </w:pPr>
            <w:r>
              <w:t xml:space="preserve">MWh</w:t>
            </w:r>
          </w:p>
        </w:tc>
        <w:tc>
          <w:tcPr>
            <w:tcW w:w="0" w:type="auto"/>
          </w:tcPr>
          <w:p>
            <w:pPr>
              <w:spacing w:after="0" w:line="240" w:lineRule="auto"/>
            </w:pPr>
            <w:r>
              <w:t xml:space="preserve">Summe der Kühlbedarfsreihe</w:t>
            </w:r>
          </w:p>
        </w:tc>
      </w:tr>
      <w:tr>
        <w:tc>
          <w:tcPr>
            <w:tcW w:w="0" w:type="auto"/>
          </w:tcPr>
          <w:p>
            <w:pPr>
              <w:spacing w:after="0" w:line="240" w:lineRule="auto"/>
            </w:pPr>
            <w:r>
              <w:t xml:space="preserve">Stunden mit Kühlbedarf</w:t>
            </w:r>
          </w:p>
        </w:tc>
        <w:tc>
          <w:tcPr>
            <w:tcW w:w="0" w:type="auto"/>
          </w:tcPr>
          <w:p>
            <w:pPr>
              <w:spacing w:after="0" w:line="240" w:lineRule="auto"/>
            </w:pPr>
            <w:r>
              <w:t xml:space="preserve">h</w:t>
            </w:r>
          </w:p>
        </w:tc>
        <w:tc>
          <w:tcPr>
            <w:tcW w:w="0" w:type="auto"/>
          </w:tcPr>
          <w:p>
            <w:pPr>
              <w:spacing w:after="0" w:line="240" w:lineRule="auto"/>
            </w:pPr>
            <w:r>
              <w:t xml:space="preserve">Anzahl Stunden mit Kühlleistung größer null</w:t>
            </w:r>
          </w:p>
        </w:tc>
      </w:tr>
      <w:tr>
        <w:tc>
          <w:tcPr>
            <w:tcW w:w="0" w:type="auto"/>
          </w:tcPr>
          <w:p>
            <w:pPr>
              <w:spacing w:after="0" w:line="240" w:lineRule="auto"/>
            </w:pPr>
            <w:r>
              <w:t xml:space="preserve">mittlere Raumtemperatur der Heizzeit</w:t>
            </w:r>
          </w:p>
        </w:tc>
        <w:tc>
          <w:tcPr>
            <w:tcW w:w="0" w:type="auto"/>
          </w:tcPr>
          <w:p>
            <w:pPr>
              <w:spacing w:after="0" w:line="240" w:lineRule="auto"/>
            </w:pPr>
            <w:r>
              <w:t xml:space="preserve">°C</w:t>
            </w:r>
          </w:p>
        </w:tc>
        <w:tc>
          <w:tcPr>
            <w:tcW w:w="0" w:type="auto"/>
          </w:tcPr>
          <w:p>
            <w:pPr>
              <w:spacing w:after="0" w:line="240" w:lineRule="auto"/>
            </w:pPr>
            <w:r>
              <w:t xml:space="preserve">Mittel über die Stunden mit Heizleistung größer null</w:t>
            </w:r>
          </w:p>
        </w:tc>
      </w:tr>
    </w:tbl>
    <w:p>
      <w:pPr>
        <w:spacing w:after="120"/>
      </w:pPr>
    </w:p>
    <w:p>
      <w:r>
        <w:t xml:space="preserve">Die Kennzahlen gehen </w:t>
      </w:r>
      <w:r>
        <w:rPr>
          <w:b/>
        </w:rPr>
        <w:t xml:space="preserve">nicht</w:t>
      </w:r>
      <w:r>
        <w:t xml:space="preserve"> in die Datenbank — die Ergebnistabelle ist einzeilig je Lauf, die Kennzahlen sind je Gebäude; sie reisen als Skalare mit Gebäudepräfix in der Sammeldatei des Referenzlaufs.</w:t>
      </w:r>
    </w:p>
    <w:p>
      <w:r>
        <w:rPr>
          <w:b/>
        </w:rPr>
        <w:t xml:space="preserve">Skalierung und Verbrauchs-Rückrechnung</w:t>
      </w:r>
      <w:r>
        <w:t xml:space="preserve"> laufen </w:t>
      </w:r>
      <w:r>
        <w:rPr>
          <w:b/>
        </w:rPr>
        <w:t xml:space="preserve">nach</w:t>
      </w:r>
      <w:r>
        <w:t xml:space="preserve"> der Simulation. Die Simulation rechnet mit den Katalogdaten; erst danach wird skaliert:</w:t>
      </w:r>
    </w:p>
    <w:p>
      <w:pPr>
        <w:pStyle w:val="Codeblock"/>
      </w:pPr>
      <w:r>
        <w:t xml:space="preserve">Φ_h,Projekt(h) = Φ_h,Katalog(h) · Z_AuswahlWohnflaeche / Wohnflaeche</w:t>
      </w:r>
    </w:p>
    <w:p>
      <w:r>
        <w:t xml:space="preserve">Die Rückrechnung ist eine reine Verhältnisrechnung mit </w:t>
      </w:r>
      <w:r>
        <w:rPr>
          <w:b/>
        </w:rPr>
        <w:t xml:space="preserve">einem</w:t>
      </w:r>
      <w:r>
        <w:t xml:space="preserve"> Kataloglauf, und ihre Reihenfolge ist die des Bestands und </w:t>
      </w:r>
      <w:r>
        <w:rPr>
          <w:b/>
        </w:rPr>
        <w:t xml:space="preserve">nicht vertauschbar</w:t>
      </w:r>
      <w:r>
        <w:t xml:space="preserve">:</w:t>
      </w:r>
    </w:p>
    <w:p>
      <w:pPr>
        <w:pStyle w:val="Codeblock"/>
      </w:pPr>
      <w:r>
        <w:t xml:space="preserve">1.  VerbrauchNeu je Einheit der Verbrauchseingabe bilden [kWh]:</w:t>
      </w:r>
      <w:r>
        <w:br/>
        <w:t xml:space="preserve">        Oel        [l/a]        -&gt; Wert · η · 10,08</w:t>
      </w:r>
      <w:r>
        <w:br/>
        <w:t xml:space="preserve">        Gas        [m³/a]       -&gt; Wert · η · 11,48</w:t>
      </w:r>
      <w:r>
        <w:br/>
        <w:t xml:space="preserve">        Gas        [MWh/a] (Ho) -&gt; Wert · η / 1,1 · 1000</w:t>
      </w:r>
      <w:r>
        <w:br/>
        <w:t xml:space="preserve">        Brennstoff [MWh/a]      -&gt; Wert · η · 1000</w:t>
      </w:r>
      <w:r>
        <w:br/>
        <w:t xml:space="preserve">        Verbrauch  [MWh/a]      -&gt; Wert · 1000</w:t>
      </w:r>
      <w:r>
        <w:br/>
        <w:t xml:space="preserve">        Wohnflaeche[m²]         -&gt; keine Rueckrechnung, nur Bewohner = Flaeche / Flaeche_Nutzer</w:t>
      </w:r>
      <w:r>
        <w:br/>
        <w:t xml:space="preserve">2.  Auswahlflaeche auf die Katalogflaeche setzen;  FlaecheAlt = Katalogflaeche</w:t>
      </w:r>
      <w:r>
        <w:br/>
        <w:t xml:space="preserve">3.  Lauf 1  -&gt;  VerbrauchAlt = Summe der Heizlastreihe [Wh] / 1 000   [kWh]</w:t>
      </w:r>
      <w:r>
        <w:br/>
        <w:t xml:space="preserve">4.  FlaecheNeu = VerbrauchNeu / VerbrauchAlt · FlaecheAlt</w:t>
      </w:r>
      <w:r>
        <w:br/>
        <w:t xml:space="preserve">5.  Die Reihe aus Lauf 1 mit FlaecheNeu / FlaecheAlt nachmultiplizieren  -&gt;  Kanal</w:t>
      </w:r>
    </w:p>
    <w:p>
      <w:r>
        <w:rPr>
          <w:b/>
        </w:rPr>
        <w:t xml:space="preserve">Warum die Reihenfolge nicht vertauschbar ist:</w:t>
      </w:r>
      <w:r>
        <w:t xml:space="preserve"> </w:t>
      </w:r>
      <w:r>
        <w:rPr>
          <w:rFonts w:ascii="Consolas" w:hAnsi="Consolas" w:cs="Consolas"/>
          <w:noProof/>
          <w:sz w:val="20"/>
          <w:szCs w:val="20"/>
          <w:shd w:val="clear" w:color="auto" w:fill="EFEFEF"/>
        </w:rPr>
        <w:t xml:space="preserve">Z_AuswahlWohnflaeche</w:t>
      </w:r>
      <w:r>
        <w:t xml:space="preserve"> trägt bis Schritt 2 den </w:t>
      </w:r>
      <w:r>
        <w:rPr>
          <w:b/>
        </w:rPr>
        <w:t xml:space="preserve">eingegebenen Verbrauch</w:t>
      </w:r>
      <w:r>
        <w:t xml:space="preserve">, danach die </w:t>
      </w:r>
      <w:r>
        <w:rPr>
          <w:b/>
        </w:rPr>
        <w:t xml:space="preserve">Fläche</w:t>
      </w:r>
      <w:r>
        <w:t xml:space="preserve"> — dasselbe Feld, zwei Bedeutungen.</w:t>
      </w:r>
    </w:p>
    <w:p>
      <w:r>
        <w:rPr>
          <w:b/>
        </w:rPr>
        <w:t xml:space="preserve">Kein zweiter Simulationslauf:</w:t>
      </w:r>
      <w:r>
        <w:t xml:space="preserve"> die Reihe des zweiten Laufs wäre zeichengleich die Reihe des ersten mal dem Flächenverhältnis. Zwei harte Bedingungen bleiben: der Löser muss </w:t>
      </w:r>
      <w:r>
        <w:rPr>
          <w:b/>
        </w:rPr>
        <w:t xml:space="preserve">zustandsfrei zweimal hintereinander</w:t>
      </w:r>
      <w:r>
        <w:t xml:space="preserve"> laufen dürfen, und </w:t>
      </w:r>
      <w:r>
        <w:rPr>
          <w:b/>
        </w:rPr>
        <w:t xml:space="preserve">beide</w:t>
      </w:r>
      <w:r>
        <w:t xml:space="preserve"> Aufrufstellen verzweigen gemeinsam — sonst käme der Vergleichswert aus dem Tagesmodell und der Bedarf aus VDI 6007. Ein Vergleichsverbrauch von null wird im Stundenzweig benannt abgelehnt; im Bestand läuft er ungeschützt in eine Division durch null.</w:t>
      </w:r>
    </w:p>
    <w:p>
      <w:r>
        <w:rPr>
          <w:b/>
        </w:rPr>
        <w:t xml:space="preserve">Was unverändert bleibt:</w:t>
      </w:r>
      <w:r>
        <w:t xml:space="preserve"> die maximale Wärmelast des Projekts bleibt das Maximum des </w:t>
      </w:r>
      <w:r>
        <w:rPr>
          <w:b/>
        </w:rPr>
        <w:t xml:space="preserve">Kanalsummenvektors</w:t>
      </w:r>
      <w:r>
        <w:t xml:space="preserve">, damit Dauerlinie, Deckung und Anzeige eine Basis behalten — die drei Spitzenkennzahlen treten zusätzlich je Gebäude daneben. Addition in den Kanal, Energieprobe, Monatssummen, Dauerlinie und Mischfälle bleiben Zeichen für Zeichen der Bestandsweg, und der Tagesbilanz-Weg ändert sich nicht.</w:t>
      </w:r>
    </w:p>
    <w:p>
      <w:pPr>
        <w:pStyle w:val="Heading2"/>
      </w:pPr>
      <w:r>
        <w:t xml:space="preserve">10.10 Zahlenweg an einem EPOS-Gebäude (Kurzfassung)</w:t>
      </w:r>
    </w:p>
    <w:p>
      <w:r>
        <w:rPr>
          <w:b/>
        </w:rPr>
        <w:t xml:space="preserve">Gebäude.</w:t>
      </w:r>
      <w:r>
        <w:t xml:space="preserve"> Projekt 1045, ein Einfamilienhaus der Baualtersklasse A mit 201 m² Wohnfläche und 2,75 m Raumhöhe. Die Schritte A, C und D sind von Hand nachgerechnet; die Stunden 9.4 bis 9.6 des Rechenbuchs laufen im </w:t>
      </w:r>
      <w:r>
        <w:rPr>
          <w:b/>
        </w:rPr>
        <w:t xml:space="preserve">Prüfmodus</w:t>
      </w:r>
      <w:r>
        <w:t xml:space="preserve">, jenem Konventionsbündel, mit dem der Kern gegen den Prototyp gehalten werden kann — isotrope Fassadenstrahlung, äquivalente Temperatur ohne Absorptionsterm, UTC-Reihenfolge, kein konvektiver Anteil des Fenstersolars, Regelung ohne Kühlung und ohne Leistungsgrenze.</w:t>
      </w:r>
    </w:p>
    <w:p>
      <w:r>
        <w:rPr>
          <w:b/>
        </w:rPr>
        <w:t xml:space="preserve">Schritt A — Ersatzparameter (Auszug):</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c>
          <w:tcPr>
            <w:tcW w:w="0" w:type="auto"/>
            <w:shd w:val="clear" w:color="auto" w:fill="D9D9D9"/>
          </w:tcPr>
          <w:p>
            <w:pPr>
              <w:spacing w:after="0" w:line="240" w:lineRule="auto"/>
              <w:rPr>
                <w:b/>
              </w:rPr>
            </w:pPr>
            <w:r>
              <w:rPr>
                <w:b/>
              </w:rPr>
              <w:t xml:space="preserve">Einheit</w:t>
            </w:r>
          </w:p>
        </w:tc>
      </w:tr>
      <w:tr>
        <w:tc>
          <w:tcPr>
            <w:tcW w:w="0" w:type="auto"/>
          </w:tcPr>
          <w:p>
            <w:pPr>
              <w:spacing w:after="0" w:line="240" w:lineRule="auto"/>
            </w:pPr>
            <w:r>
              <w:t xml:space="preserve">Volumen V = A_f · H</w:t>
            </w:r>
          </w:p>
        </w:tc>
        <w:tc>
          <w:tcPr>
            <w:tcW w:w="0" w:type="auto"/>
          </w:tcPr>
          <w:p>
            <w:pPr>
              <w:spacing w:after="0" w:line="240" w:lineRule="auto"/>
            </w:pPr>
            <w:r>
              <w:t xml:space="preserve">552,75</w:t>
            </w:r>
          </w:p>
        </w:tc>
        <w:tc>
          <w:tcPr>
            <w:tcW w:w="0" w:type="auto"/>
          </w:tcPr>
          <w:p>
            <w:pPr>
              <w:spacing w:after="0" w:line="240" w:lineRule="auto"/>
            </w:pPr>
            <w:r>
              <w:t xml:space="preserve">m³</w:t>
            </w:r>
          </w:p>
        </w:tc>
      </w:tr>
      <w:tr>
        <w:tc>
          <w:tcPr>
            <w:tcW w:w="0" w:type="auto"/>
          </w:tcPr>
          <w:p>
            <w:pPr>
              <w:spacing w:after="0" w:line="240" w:lineRule="auto"/>
            </w:pPr>
            <w:r>
              <w:t xml:space="preserve">Bauweise je m²</w:t>
            </w:r>
          </w:p>
        </w:tc>
        <w:tc>
          <w:tcPr>
            <w:tcW w:w="0" w:type="auto"/>
          </w:tcPr>
          <w:p>
            <w:pPr>
              <w:spacing w:after="0" w:line="240" w:lineRule="auto"/>
            </w:pPr>
            <w:r>
              <w:t xml:space="preserve">50,0</w:t>
            </w:r>
          </w:p>
        </w:tc>
        <w:tc>
          <w:tcPr>
            <w:tcW w:w="0" w:type="auto"/>
          </w:tcPr>
          <w:p>
            <w:pPr>
              <w:spacing w:after="0" w:line="240" w:lineRule="auto"/>
            </w:pPr>
            <w:r>
              <w:t xml:space="preserve">Wh/(m²K) — innerhalb 5…200</w:t>
            </w:r>
          </w:p>
        </w:tc>
      </w:tr>
      <w:tr>
        <w:tc>
          <w:tcPr>
            <w:tcW w:w="0" w:type="auto"/>
          </w:tcPr>
          <w:p>
            <w:pPr>
              <w:spacing w:after="0" w:line="240" w:lineRule="auto"/>
            </w:pPr>
            <w:r>
              <w:t xml:space="preserve">C_AW / C_IW</w:t>
            </w:r>
          </w:p>
        </w:tc>
        <w:tc>
          <w:tcPr>
            <w:tcW w:w="0" w:type="auto"/>
          </w:tcPr>
          <w:p>
            <w:pPr>
              <w:spacing w:after="0" w:line="240" w:lineRule="auto"/>
            </w:pPr>
            <w:r>
              <w:t xml:space="preserve">1,0854·10⁷ / 2,5326·10⁷</w:t>
            </w:r>
          </w:p>
        </w:tc>
        <w:tc>
          <w:tcPr>
            <w:tcW w:w="0" w:type="auto"/>
          </w:tcPr>
          <w:p>
            <w:pPr>
              <w:spacing w:after="0" w:line="240" w:lineRule="auto"/>
            </w:pPr>
            <w:r>
              <w:t xml:space="preserve">J/K</w:t>
            </w:r>
          </w:p>
        </w:tc>
      </w:tr>
      <w:tr>
        <w:tc>
          <w:tcPr>
            <w:tcW w:w="0" w:type="auto"/>
          </w:tcPr>
          <w:p>
            <w:pPr>
              <w:spacing w:after="0" w:line="240" w:lineRule="auto"/>
            </w:pPr>
            <w:r>
              <w:t xml:space="preserve">A_AW,opak / A_IW</w:t>
            </w:r>
          </w:p>
        </w:tc>
        <w:tc>
          <w:tcPr>
            <w:tcW w:w="0" w:type="auto"/>
          </w:tcPr>
          <w:p>
            <w:pPr>
              <w:spacing w:after="0" w:line="240" w:lineRule="auto"/>
            </w:pPr>
            <w:r>
              <w:t xml:space="preserve">487,24 / 502,50</w:t>
            </w:r>
          </w:p>
        </w:tc>
        <w:tc>
          <w:tcPr>
            <w:tcW w:w="0" w:type="auto"/>
          </w:tcPr>
          <w:p>
            <w:pPr>
              <w:spacing w:after="0" w:line="240" w:lineRule="auto"/>
            </w:pPr>
            <w:r>
              <w:t xml:space="preserve">m²</w:t>
            </w:r>
          </w:p>
        </w:tc>
      </w:tr>
      <w:tr>
        <w:tc>
          <w:tcPr>
            <w:tcW w:w="0" w:type="auto"/>
          </w:tcPr>
          <w:p>
            <w:pPr>
              <w:spacing w:after="0" w:line="240" w:lineRule="auto"/>
            </w:pPr>
            <w:r>
              <w:t xml:space="preserve">Σ(U·A)_opak</w:t>
            </w:r>
          </w:p>
        </w:tc>
        <w:tc>
          <w:tcPr>
            <w:tcW w:w="0" w:type="auto"/>
          </w:tcPr>
          <w:p>
            <w:pPr>
              <w:spacing w:after="0" w:line="240" w:lineRule="auto"/>
            </w:pPr>
            <w:r>
              <w:t xml:space="preserve">686,953</w:t>
            </w:r>
          </w:p>
        </w:tc>
        <w:tc>
          <w:tcPr>
            <w:tcW w:w="0" w:type="auto"/>
          </w:tcPr>
          <w:p>
            <w:pPr>
              <w:spacing w:after="0" w:line="240" w:lineRule="auto"/>
            </w:pPr>
            <w:r>
              <w:t xml:space="preserve">W/K</w:t>
            </w:r>
          </w:p>
        </w:tc>
      </w:tr>
      <w:tr>
        <w:tc>
          <w:tcPr>
            <w:tcW w:w="0" w:type="auto"/>
          </w:tcPr>
          <w:p>
            <w:pPr>
              <w:spacing w:after="0" w:line="240" w:lineRule="auto"/>
            </w:pPr>
            <w:r>
              <w:t xml:space="preserve">R_1,AW</w:t>
            </w:r>
          </w:p>
        </w:tc>
        <w:tc>
          <w:tcPr>
            <w:tcW w:w="0" w:type="auto"/>
          </w:tcPr>
          <w:p>
            <w:pPr>
              <w:spacing w:after="0" w:line="240" w:lineRule="auto"/>
            </w:pPr>
            <w:r>
              <w:t xml:space="preserve">2,25536·10⁻⁴</w:t>
            </w:r>
          </w:p>
        </w:tc>
        <w:tc>
          <w:tcPr>
            <w:tcW w:w="0" w:type="auto"/>
          </w:tcPr>
          <w:p>
            <w:pPr>
              <w:spacing w:after="0" w:line="240" w:lineRule="auto"/>
            </w:pPr>
            <w:r>
              <w:t xml:space="preserve">K/W</w:t>
            </w:r>
          </w:p>
        </w:tc>
      </w:tr>
      <w:tr>
        <w:tc>
          <w:tcPr>
            <w:tcW w:w="0" w:type="auto"/>
          </w:tcPr>
          <w:p>
            <w:pPr>
              <w:spacing w:after="0" w:line="240" w:lineRule="auto"/>
            </w:pPr>
            <w:r>
              <w:t xml:space="preserve">R_si / A_AW,opak</w:t>
            </w:r>
          </w:p>
        </w:tc>
        <w:tc>
          <w:tcPr>
            <w:tcW w:w="0" w:type="auto"/>
          </w:tcPr>
          <w:p>
            <w:pPr>
              <w:spacing w:after="0" w:line="240" w:lineRule="auto"/>
            </w:pPr>
            <w:r>
              <w:t xml:space="preserve">2,66809·10⁻⁴</w:t>
            </w:r>
          </w:p>
        </w:tc>
        <w:tc>
          <w:tcPr>
            <w:tcW w:w="0" w:type="auto"/>
          </w:tcPr>
          <w:p>
            <w:pPr>
              <w:spacing w:after="0" w:line="240" w:lineRule="auto"/>
            </w:pPr>
            <w:r>
              <w:t xml:space="preserve">K/W</w:t>
            </w:r>
          </w:p>
        </w:tc>
      </w:tr>
      <w:tr>
        <w:tc>
          <w:tcPr>
            <w:tcW w:w="0" w:type="auto"/>
          </w:tcPr>
          <w:p>
            <w:pPr>
              <w:spacing w:after="0" w:line="240" w:lineRule="auto"/>
            </w:pPr>
            <w:r>
              <w:rPr>
                <w:b/>
              </w:rPr>
              <w:t xml:space="preserve">R_Rest,AW</w:t>
            </w:r>
          </w:p>
        </w:tc>
        <w:tc>
          <w:tcPr>
            <w:tcW w:w="0" w:type="auto"/>
          </w:tcPr>
          <w:p>
            <w:pPr>
              <w:spacing w:after="0" w:line="240" w:lineRule="auto"/>
            </w:pPr>
            <w:r>
              <w:rPr>
                <w:b/>
              </w:rPr>
              <w:t xml:space="preserve">9,63358·10⁻⁴</w:t>
            </w:r>
            <w:r>
              <w:t xml:space="preserve"> — positiv</w:t>
            </w:r>
          </w:p>
        </w:tc>
        <w:tc>
          <w:tcPr>
            <w:tcW w:w="0" w:type="auto"/>
          </w:tcPr>
          <w:p>
            <w:pPr>
              <w:spacing w:after="0" w:line="240" w:lineRule="auto"/>
            </w:pPr>
            <w:r>
              <w:t xml:space="preserve">K/W</w:t>
            </w:r>
          </w:p>
        </w:tc>
      </w:tr>
      <w:tr>
        <w:tc>
          <w:tcPr>
            <w:tcW w:w="0" w:type="auto"/>
          </w:tcPr>
          <w:p>
            <w:pPr>
              <w:spacing w:after="0" w:line="240" w:lineRule="auto"/>
            </w:pPr>
            <w:r>
              <w:t xml:space="preserve">H_ve / (U·A)_w / Σψ·L</w:t>
            </w:r>
          </w:p>
        </w:tc>
        <w:tc>
          <w:tcPr>
            <w:tcW w:w="0" w:type="auto"/>
          </w:tcPr>
          <w:p>
            <w:pPr>
              <w:spacing w:after="0" w:line="240" w:lineRule="auto"/>
            </w:pPr>
            <w:r>
              <w:t xml:space="preserve">131,555 / 126,168 / 106,558</w:t>
            </w:r>
          </w:p>
        </w:tc>
        <w:tc>
          <w:tcPr>
            <w:tcW w:w="0" w:type="auto"/>
          </w:tcPr>
          <w:p>
            <w:pPr>
              <w:spacing w:after="0" w:line="240" w:lineRule="auto"/>
            </w:pPr>
            <w:r>
              <w:t xml:space="preserve">W/K</w:t>
            </w:r>
          </w:p>
        </w:tc>
      </w:tr>
      <w:tr>
        <w:tc>
          <w:tcPr>
            <w:tcW w:w="0" w:type="auto"/>
          </w:tcPr>
          <w:p>
            <w:pPr>
              <w:spacing w:after="0" w:line="240" w:lineRule="auto"/>
            </w:pPr>
            <w:r>
              <w:t xml:space="preserve">H_ext</w:t>
            </w:r>
          </w:p>
        </w:tc>
        <w:tc>
          <w:tcPr>
            <w:tcW w:w="0" w:type="auto"/>
          </w:tcPr>
          <w:p>
            <w:pPr>
              <w:spacing w:after="0" w:line="240" w:lineRule="auto"/>
            </w:pPr>
            <w:r>
              <w:t xml:space="preserve">364,281</w:t>
            </w:r>
          </w:p>
        </w:tc>
        <w:tc>
          <w:tcPr>
            <w:tcW w:w="0" w:type="auto"/>
          </w:tcPr>
          <w:p>
            <w:pPr>
              <w:spacing w:after="0" w:line="240" w:lineRule="auto"/>
            </w:pPr>
            <w:r>
              <w:t xml:space="preserve">W/K</w:t>
            </w:r>
          </w:p>
        </w:tc>
      </w:tr>
    </w:tbl>
    <w:p>
      <w:pPr>
        <w:spacing w:after="120"/>
      </w:pPr>
    </w:p>
    <w:p>
      <w:r>
        <w:t xml:space="preserve">Daraus die Leitwerte: G_1 = 4 433,88 · G_2 = 4 572,75 · G_Rest = 1 038,04 · G_cAW = 1 315,55 · G_cIW = 1 356,75 · G_rad = 2 436,20 · G_ext = 364,28 W/K. Der wirksame innere Übergang ist 4,49 statt 7,69 W/(m²K), der Klassenweg führt damit 607,48 statt 686,95 W/K — </w:t>
      </w:r>
      <w:r>
        <w:rPr>
          <w:b/>
        </w:rPr>
        <w:t xml:space="preserve">11,6 % weniger</w:t>
      </w:r>
      <w:r>
        <w:t xml:space="preserve">.</w:t>
      </w:r>
    </w:p>
    <w:p>
      <w:r>
        <w:rPr>
          <w:b/>
        </w:rPr>
        <w:t xml:space="preserve">Schritt C — Systemmatrix:</w:t>
      </w:r>
    </w:p>
    <w:p>
      <w:pPr>
        <w:pStyle w:val="Codeblock"/>
      </w:pPr>
      <w:r>
        <w:t xml:space="preserve">geregelt:</w:t>
      </w:r>
      <w:r>
        <w:br/>
        <w:t xml:space="preserve">N       = [  8 185,632   −2 436,200 ;  −2 436,200    8 365,700 ]   [W/K]</w:t>
      </w:r>
      <w:r>
        <w:br/>
        <w:t xml:space="preserve">A_regel = [ −2,6186878·10⁻⁴   7,2761715·10⁻⁵ ;</w:t>
      </w:r>
      <w:r>
        <w:br/>
        <w:t xml:space="preserve">             3,1183592·10⁻⁵  −7,2497151·10⁻⁵ ]                      [1/s]</w:t>
      </w:r>
      <w:r>
        <w:br/>
        <w:t xml:space="preserve"/>
      </w:r>
      <w:r>
        <w:br/>
        <w:t xml:space="preserve">freier Lauf (S = 3 036,579 W/K):</w:t>
      </w:r>
      <w:r>
        <w:br/>
        <w:t xml:space="preserve">M       = [  7 615,692   −3 023,990 ;  −3 023,990    7 759,501 ]   [W/K]</w:t>
      </w:r>
      <w:r>
        <w:br/>
        <w:t xml:space="preserve">A_frei  = [ −2,2276587·10⁻⁴   1,1308929·10⁻⁴ ;</w:t>
      </w:r>
      <w:r>
        <w:br/>
        <w:t xml:space="preserve">             4,8466841·10⁻⁵  −5,4672604·10⁻⁵ ]                      [1/s]</w:t>
      </w:r>
    </w:p>
    <w:p>
      <w:r>
        <w:t xml:space="preserve">Beide Matrizen sind </w:t>
      </w:r>
      <w:r>
        <w:rPr>
          <w:b/>
        </w:rPr>
        <w:t xml:space="preserve">voll besetzt</w:t>
      </w:r>
      <w:r>
        <w:t xml:space="preserve">. Eigenwerte und Zeitkonstanten: geregelt −6,11906·10⁻⁵ und −2,73175·10⁻⁴ (4,54 h und 1,02 h), frei −2,67151·10⁻⁵ und −2,50723·10⁻⁴ (10,40 h und 1,11 h) — alle reell und negativ. Die langsamste Zeitkonstante ist 10,4 h, der Vorlauf von 30 Tagen das rund 70-fache.</w:t>
      </w:r>
    </w:p>
    <w:p>
      <w:r>
        <w:rPr>
          <w:b/>
        </w:rPr>
        <w:t xml:space="preserve">Schritt D — Übergangsmatrizen für h = 3 600 s, geregelter Fall:</w:t>
      </w:r>
    </w:p>
    <w:p>
      <w:pPr>
        <w:pStyle w:val="Codeblock"/>
      </w:pPr>
      <w:r>
        <w:t xml:space="preserve">Φ = [ 0,39686766   0,14699736 ;  0,06299887   0,77944702 ]          [—]</w:t>
      </w:r>
      <w:r>
        <w:br/>
        <w:t xml:space="preserve">Γ = [ 2 341,590      322,505   ;    138,217    3 180,951  ]         [s]</w:t>
      </w:r>
      <w:r>
        <w:br/>
        <w:t xml:space="preserve">Ψ = [ 4 856 151       425 349  ;    182 293     5 963 177 ]         [s²]</w:t>
      </w:r>
    </w:p>
    <w:p>
      <w:r>
        <w:t xml:space="preserve">Gegenprobe ohne Sylvester-Formel: Γ = A⁻¹·(Φ − I) ergibt dieselben vier Zahlen.</w:t>
      </w:r>
    </w:p>
    <w:p>
      <w:r>
        <w:rPr>
          <w:b/>
        </w:rPr>
        <w:t xml:space="preserve">Eine Beispielstunde — die Jahresspitze.</w:t>
      </w:r>
      <w:r>
        <w:t xml:space="preserve"> Stunde 1 399 in der Reihenfolge des Prüfmodus, die erste Stunde nach Ende der Nachtabsenkung am kältesten Tag: θ_out = −17,55 °C, Jahresmittel 9,875 °C, Amplitude der ersten Harmonischen 9,315 K, Dämpfung 0,6847, Phasenverzug 22,00 d, θ_grund = 3,835 °C, daraus </w:t>
      </w:r>
      <w:r>
        <w:rPr>
          <w:b/>
        </w:rPr>
        <w:t xml:space="preserve">θ_eq = −15,3585 °C</w:t>
      </w:r>
      <w:r>
        <w:t xml:space="preserve">; Solareintrag null vor Sonnenaufgang; innere Lasten 231,0 W konvektiv und 113,72 / 117,28 W auf die beiden Oberflächen; Sollwert 20,0 °C.</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c>
          <w:tcPr>
            <w:tcW w:w="0" w:type="auto"/>
            <w:shd w:val="clear" w:color="auto" w:fill="D9D9D9"/>
          </w:tcPr>
          <w:p>
            <w:pPr>
              <w:spacing w:after="0" w:line="240" w:lineRule="auto"/>
              <w:rPr>
                <w:b/>
              </w:rPr>
            </w:pPr>
            <w:r>
              <w:rPr>
                <w:b/>
              </w:rPr>
              <w:t xml:space="preserve">Einheit</w:t>
            </w:r>
          </w:p>
        </w:tc>
      </w:tr>
      <w:tr>
        <w:tc>
          <w:tcPr>
            <w:tcW w:w="0" w:type="auto"/>
          </w:tcPr>
          <w:p>
            <w:pPr>
              <w:spacing w:after="0" w:line="240" w:lineRule="auto"/>
            </w:pPr>
            <w:r>
              <w:t xml:space="preserve">Zustand vor der Stunde</w:t>
            </w:r>
          </w:p>
        </w:tc>
        <w:tc>
          <w:tcPr>
            <w:tcW w:w="0" w:type="auto"/>
          </w:tcPr>
          <w:p>
            <w:pPr>
              <w:spacing w:after="0" w:line="240" w:lineRule="auto"/>
            </w:pPr>
            <w:r>
              <w:t xml:space="preserve">4,3303 / 12,8234</w:t>
            </w:r>
          </w:p>
        </w:tc>
        <w:tc>
          <w:tcPr>
            <w:tcW w:w="0" w:type="auto"/>
          </w:tcPr>
          <w:p>
            <w:pPr>
              <w:spacing w:after="0" w:line="240" w:lineRule="auto"/>
            </w:pPr>
            <w:r>
              <w:t xml:space="preserve">°C</w:t>
            </w:r>
          </w:p>
        </w:tc>
      </w:tr>
      <w:tr>
        <w:tc>
          <w:tcPr>
            <w:tcW w:w="0" w:type="auto"/>
          </w:tcPr>
          <w:p>
            <w:pPr>
              <w:spacing w:after="0" w:line="240" w:lineRule="auto"/>
            </w:pPr>
            <w:r>
              <w:t xml:space="preserve">Betriebsfall</w:t>
            </w:r>
          </w:p>
        </w:tc>
        <w:tc>
          <w:tcPr>
            <w:tcW w:w="0" w:type="auto"/>
          </w:tcPr>
          <w:p>
            <w:pPr>
              <w:spacing w:after="0" w:line="240" w:lineRule="auto"/>
            </w:pPr>
            <w:r>
              <w:t xml:space="preserve">geregelt, ein Abschnitt</w:t>
            </w:r>
          </w:p>
        </w:tc>
        <w:tc>
          <w:tcPr>
            <w:tcW w:w="0" w:type="auto"/>
          </w:tcPr>
          <w:p>
            <w:pPr>
              <w:spacing w:after="0" w:line="240" w:lineRule="auto"/>
            </w:pPr>
            <w:r>
              <w:t xml:space="preserve">—</w:t>
            </w:r>
          </w:p>
        </w:tc>
      </w:tr>
      <w:tr>
        <w:tc>
          <w:tcPr>
            <w:tcW w:w="0" w:type="auto"/>
          </w:tcPr>
          <w:p>
            <w:pPr>
              <w:spacing w:after="0" w:line="240" w:lineRule="auto"/>
            </w:pPr>
            <w:r>
              <w:rPr>
                <w:b/>
              </w:rPr>
              <w:t xml:space="preserve">Heizleistung, Blockmittel</w:t>
            </w:r>
          </w:p>
        </w:tc>
        <w:tc>
          <w:tcPr>
            <w:tcW w:w="0" w:type="auto"/>
          </w:tcPr>
          <w:p>
            <w:pPr>
              <w:spacing w:after="0" w:line="240" w:lineRule="auto"/>
            </w:pPr>
            <w:r>
              <w:rPr>
                <w:b/>
              </w:rPr>
              <w:t xml:space="preserve">36 440,60</w:t>
            </w:r>
            <w:r>
              <w:t xml:space="preserve"> (36,441 kW)</w:t>
            </w:r>
          </w:p>
        </w:tc>
        <w:tc>
          <w:tcPr>
            <w:tcW w:w="0" w:type="auto"/>
          </w:tcPr>
          <w:p>
            <w:pPr>
              <w:spacing w:after="0" w:line="240" w:lineRule="auto"/>
            </w:pPr>
            <w:r>
              <w:t xml:space="preserve">W</w:t>
            </w:r>
          </w:p>
        </w:tc>
      </w:tr>
      <w:tr>
        <w:tc>
          <w:tcPr>
            <w:tcW w:w="0" w:type="auto"/>
          </w:tcPr>
          <w:p>
            <w:pPr>
              <w:spacing w:after="0" w:line="240" w:lineRule="auto"/>
            </w:pPr>
            <w:r>
              <w:t xml:space="preserve">Raumlufttemperatur, Blockmittel</w:t>
            </w:r>
          </w:p>
        </w:tc>
        <w:tc>
          <w:tcPr>
            <w:tcW w:w="0" w:type="auto"/>
          </w:tcPr>
          <w:p>
            <w:pPr>
              <w:spacing w:after="0" w:line="240" w:lineRule="auto"/>
            </w:pPr>
            <w:r>
              <w:t xml:space="preserve">20,000</w:t>
            </w:r>
          </w:p>
        </w:tc>
        <w:tc>
          <w:tcPr>
            <w:tcW w:w="0" w:type="auto"/>
          </w:tcPr>
          <w:p>
            <w:pPr>
              <w:spacing w:after="0" w:line="240" w:lineRule="auto"/>
            </w:pPr>
            <w:r>
              <w:t xml:space="preserve">°C</w:t>
            </w:r>
          </w:p>
        </w:tc>
      </w:tr>
      <w:tr>
        <w:tc>
          <w:tcPr>
            <w:tcW w:w="0" w:type="auto"/>
          </w:tcPr>
          <w:p>
            <w:pPr>
              <w:spacing w:after="0" w:line="240" w:lineRule="auto"/>
            </w:pPr>
            <w:r>
              <w:t xml:space="preserve">Zustand nach der Stunde</w:t>
            </w:r>
          </w:p>
        </w:tc>
        <w:tc>
          <w:tcPr>
            <w:tcW w:w="0" w:type="auto"/>
          </w:tcPr>
          <w:p>
            <w:pPr>
              <w:spacing w:after="0" w:line="240" w:lineRule="auto"/>
            </w:pPr>
            <w:r>
              <w:t xml:space="preserve">4,8281 / 12,9642</w:t>
            </w:r>
          </w:p>
        </w:tc>
        <w:tc>
          <w:tcPr>
            <w:tcW w:w="0" w:type="auto"/>
          </w:tcPr>
          <w:p>
            <w:pPr>
              <w:spacing w:after="0" w:line="240" w:lineRule="auto"/>
            </w:pPr>
            <w:r>
              <w:t xml:space="preserve">°C</w:t>
            </w:r>
          </w:p>
        </w:tc>
      </w:tr>
      <w:tr>
        <w:tc>
          <w:tcPr>
            <w:tcW w:w="0" w:type="auto"/>
          </w:tcPr>
          <w:p>
            <w:pPr>
              <w:spacing w:after="0" w:line="240" w:lineRule="auto"/>
            </w:pPr>
            <w:r>
              <w:t xml:space="preserve">Oberflächen als </w:t>
            </w:r>
            <w:r>
              <w:rPr>
                <w:b/>
              </w:rPr>
              <w:t xml:space="preserve">Blockmittel</w:t>
            </w:r>
          </w:p>
        </w:tc>
        <w:tc>
          <w:tcPr>
            <w:tcW w:w="0" w:type="auto"/>
          </w:tcPr>
          <w:p>
            <w:pPr>
              <w:spacing w:after="0" w:line="240" w:lineRule="auto"/>
            </w:pPr>
            <w:r>
              <w:t xml:space="preserve">9,629 / 13,109</w:t>
            </w:r>
          </w:p>
        </w:tc>
        <w:tc>
          <w:tcPr>
            <w:tcW w:w="0" w:type="auto"/>
          </w:tcPr>
          <w:p>
            <w:pPr>
              <w:spacing w:after="0" w:line="240" w:lineRule="auto"/>
            </w:pPr>
            <w:r>
              <w:t xml:space="preserve">°C</w:t>
            </w:r>
          </w:p>
        </w:tc>
      </w:tr>
      <w:tr>
        <w:tc>
          <w:tcPr>
            <w:tcW w:w="0" w:type="auto"/>
          </w:tcPr>
          <w:p>
            <w:pPr>
              <w:spacing w:after="0" w:line="240" w:lineRule="auto"/>
            </w:pPr>
            <w:r>
              <w:rPr>
                <w:b/>
              </w:rPr>
              <w:t xml:space="preserve">operative Temperatur, Blockmittel</w:t>
            </w:r>
          </w:p>
        </w:tc>
        <w:tc>
          <w:tcPr>
            <w:tcW w:w="0" w:type="auto"/>
          </w:tcPr>
          <w:p>
            <w:pPr>
              <w:spacing w:after="0" w:line="240" w:lineRule="auto"/>
            </w:pPr>
            <w:r>
              <w:rPr>
                <w:b/>
              </w:rPr>
              <w:t xml:space="preserve">15,698</w:t>
            </w:r>
          </w:p>
        </w:tc>
        <w:tc>
          <w:tcPr>
            <w:tcW w:w="0" w:type="auto"/>
          </w:tcPr>
          <w:p>
            <w:pPr>
              <w:spacing w:after="0" w:line="240" w:lineRule="auto"/>
            </w:pPr>
            <w:r>
              <w:t xml:space="preserve">°C</w:t>
            </w:r>
          </w:p>
        </w:tc>
      </w:tr>
      <w:tr>
        <w:tc>
          <w:tcPr>
            <w:tcW w:w="0" w:type="auto"/>
          </w:tcPr>
          <w:p>
            <w:pPr>
              <w:spacing w:after="0" w:line="240" w:lineRule="auto"/>
            </w:pPr>
            <w:r>
              <w:t xml:space="preserve">operative Temperatur am Stundenende (nicht Prüfgröße)</w:t>
            </w:r>
          </w:p>
        </w:tc>
        <w:tc>
          <w:tcPr>
            <w:tcW w:w="0" w:type="auto"/>
          </w:tcPr>
          <w:p>
            <w:pPr>
              <w:spacing w:after="0" w:line="240" w:lineRule="auto"/>
            </w:pPr>
            <w:r>
              <w:t xml:space="preserve">15,753</w:t>
            </w:r>
          </w:p>
        </w:tc>
        <w:tc>
          <w:tcPr>
            <w:tcW w:w="0" w:type="auto"/>
          </w:tcPr>
          <w:p>
            <w:pPr>
              <w:spacing w:after="0" w:line="240" w:lineRule="auto"/>
            </w:pPr>
            <w:r>
              <w:t xml:space="preserve">°C</w:t>
            </w:r>
          </w:p>
        </w:tc>
      </w:tr>
    </w:tbl>
    <w:p>
      <w:pPr>
        <w:spacing w:after="120"/>
      </w:pPr>
    </w:p>
    <w:p>
      <w:r>
        <w:t xml:space="preserve">Die 0,054 K zwischen den beiden letzten Zeilen sind der Grund für die Blockmittel-Regel.</w:t>
      </w:r>
    </w:p>
    <w:p>
      <w:r>
        <w:rPr>
          <w:b/>
        </w:rPr>
        <w:t xml:space="preserve">Eine Stunde mit Umschaltung.</w:t>
      </w:r>
      <w:r>
        <w:t xml:space="preserve"> Bei θ_out = 18,57 °C, θ_eq = 17,279 °C und einem Solareintrag von 5 770,95 W zerfällt die Stunde in zwei Abschnitte: 2 590,1 s geregelt mit 288,64 W, danach 1 009,9 s freier Lauf mit null; das Blockmittel ist </w:t>
      </w:r>
      <w:r>
        <w:rPr>
          <w:b/>
        </w:rPr>
        <w:t xml:space="preserve">207,66 W</w:t>
      </w:r>
      <w:r>
        <w:t xml:space="preserve"> bei 20,012 °C. Der Umschaltzeitpunkt ist das Ergebnis der Bisektion. </w:t>
      </w:r>
      <w:r>
        <w:rPr>
          <w:b/>
        </w:rPr>
        <w:t xml:space="preserve">Empfindlichkeit:</w:t>
      </w:r>
      <w:r>
        <w:t xml:space="preserve"> mit dem konvektiven Anteil des Fenstersolars nach E3 statt null verschiebt sich die Umschaltung auf 887,5 s und das Blockmittel auf 25,24 W — die Wahl dieses Anteils ist in Umschaltstunden zahlenwirksam, nicht bloß eine Aufteilungsfrage. Über das ganze Jahr haben </w:t>
      </w:r>
      <w:r>
        <w:rPr>
          <w:b/>
        </w:rPr>
        <w:t xml:space="preserve">206 von 8 760 Stunden</w:t>
      </w:r>
      <w:r>
        <w:t xml:space="preserve"> mindestens eine Umschaltung; im Mittel besteht eine Stunde aus 1,034 Abschnitten.</w:t>
      </w:r>
    </w:p>
    <w:p>
      <w:r>
        <w:rPr>
          <w:b/>
        </w:rPr>
        <w:t xml:space="preserve">Jahreswerte und die zwei Posten, die den Unterschied machen.</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Variante</w:t>
            </w:r>
          </w:p>
        </w:tc>
        <w:tc>
          <w:tcPr>
            <w:tcW w:w="0" w:type="auto"/>
            <w:shd w:val="clear" w:color="auto" w:fill="D9D9D9"/>
          </w:tcPr>
          <w:p>
            <w:pPr>
              <w:spacing w:after="0" w:line="240" w:lineRule="auto"/>
              <w:rPr>
                <w:b/>
              </w:rPr>
            </w:pPr>
            <w:r>
              <w:rPr>
                <w:b/>
              </w:rPr>
              <w:t xml:space="preserve">R_si im R_Rest</w:t>
            </w:r>
          </w:p>
        </w:tc>
        <w:tc>
          <w:tcPr>
            <w:tcW w:w="0" w:type="auto"/>
            <w:shd w:val="clear" w:color="auto" w:fill="D9D9D9"/>
          </w:tcPr>
          <w:p>
            <w:pPr>
              <w:spacing w:after="0" w:line="240" w:lineRule="auto"/>
              <w:rPr>
                <w:b/>
              </w:rPr>
            </w:pPr>
            <w:r>
              <w:rPr>
                <w:b/>
              </w:rPr>
              <w:t xml:space="preserve">F_W</w:t>
            </w:r>
          </w:p>
        </w:tc>
        <w:tc>
          <w:tcPr>
            <w:tcW w:w="0" w:type="auto"/>
            <w:shd w:val="clear" w:color="auto" w:fill="D9D9D9"/>
          </w:tcPr>
          <w:p>
            <w:pPr>
              <w:spacing w:after="0" w:line="240" w:lineRule="auto"/>
              <w:rPr>
                <w:b/>
              </w:rPr>
            </w:pPr>
            <w:r>
              <w:rPr>
                <w:b/>
              </w:rPr>
              <w:t xml:space="preserve">Jahresheizwärme [kWh]</w:t>
            </w:r>
          </w:p>
        </w:tc>
        <w:tc>
          <w:tcPr>
            <w:tcW w:w="0" w:type="auto"/>
            <w:shd w:val="clear" w:color="auto" w:fill="D9D9D9"/>
          </w:tcPr>
          <w:p>
            <w:pPr>
              <w:spacing w:after="0" w:line="240" w:lineRule="auto"/>
              <w:rPr>
                <w:b/>
              </w:rPr>
            </w:pPr>
            <w:r>
              <w:rPr>
                <w:b/>
              </w:rPr>
              <w:t xml:space="preserve">Spitze [kW]</w:t>
            </w:r>
          </w:p>
        </w:tc>
      </w:tr>
      <w:tr>
        <w:tc>
          <w:tcPr>
            <w:tcW w:w="0" w:type="auto"/>
          </w:tcPr>
          <w:p>
            <w:pPr>
              <w:spacing w:after="0" w:line="240" w:lineRule="auto"/>
            </w:pPr>
            <w:r>
              <w:t xml:space="preserve">Prototyp</w:t>
            </w:r>
          </w:p>
        </w:tc>
        <w:tc>
          <w:tcPr>
            <w:tcW w:w="0" w:type="auto"/>
          </w:tcPr>
          <w:p>
            <w:pPr>
              <w:spacing w:after="0" w:line="240" w:lineRule="auto"/>
            </w:pPr>
            <w:r>
              <w:t xml:space="preserve">nein</w:t>
            </w:r>
          </w:p>
        </w:tc>
        <w:tc>
          <w:tcPr>
            <w:tcW w:w="0" w:type="auto"/>
          </w:tcPr>
          <w:p>
            <w:pPr>
              <w:spacing w:after="0" w:line="240" w:lineRule="auto"/>
            </w:pPr>
            <w:r>
              <w:t xml:space="preserve">1,0</w:t>
            </w:r>
          </w:p>
        </w:tc>
        <w:tc>
          <w:tcPr>
            <w:tcW w:w="0" w:type="auto"/>
          </w:tcPr>
          <w:p>
            <w:pPr>
              <w:spacing w:after="0" w:line="240" w:lineRule="auto"/>
            </w:pPr>
            <w:r>
              <w:t xml:space="preserve">63 677</w:t>
            </w:r>
          </w:p>
        </w:tc>
        <w:tc>
          <w:tcPr>
            <w:tcW w:w="0" w:type="auto"/>
          </w:tcPr>
          <w:p>
            <w:pPr>
              <w:spacing w:after="0" w:line="240" w:lineRule="auto"/>
            </w:pPr>
            <w:r>
              <w:t xml:space="preserve">33,56</w:t>
            </w:r>
          </w:p>
        </w:tc>
      </w:tr>
      <w:tr>
        <w:tc>
          <w:tcPr>
            <w:tcW w:w="0" w:type="auto"/>
          </w:tcPr>
          <w:p>
            <w:pPr>
              <w:spacing w:after="0" w:line="240" w:lineRule="auto"/>
            </w:pPr>
            <w:r>
              <w:t xml:space="preserve">Nachrechnung, Prototypkonvention</w:t>
            </w:r>
          </w:p>
        </w:tc>
        <w:tc>
          <w:tcPr>
            <w:tcW w:w="0" w:type="auto"/>
          </w:tcPr>
          <w:p>
            <w:pPr>
              <w:spacing w:after="0" w:line="240" w:lineRule="auto"/>
            </w:pPr>
            <w:r>
              <w:t xml:space="preserve">nein</w:t>
            </w:r>
          </w:p>
        </w:tc>
        <w:tc>
          <w:tcPr>
            <w:tcW w:w="0" w:type="auto"/>
          </w:tcPr>
          <w:p>
            <w:pPr>
              <w:spacing w:after="0" w:line="240" w:lineRule="auto"/>
            </w:pPr>
            <w:r>
              <w:t xml:space="preserve">1,0</w:t>
            </w:r>
          </w:p>
        </w:tc>
        <w:tc>
          <w:tcPr>
            <w:tcW w:w="0" w:type="auto"/>
          </w:tcPr>
          <w:p>
            <w:pPr>
              <w:spacing w:after="0" w:line="240" w:lineRule="auto"/>
            </w:pPr>
            <w:r>
              <w:t xml:space="preserve">63 681 (+0,007 %)</w:t>
            </w:r>
          </w:p>
        </w:tc>
        <w:tc>
          <w:tcPr>
            <w:tcW w:w="0" w:type="auto"/>
          </w:tcPr>
          <w:p>
            <w:pPr>
              <w:spacing w:after="0" w:line="240" w:lineRule="auto"/>
            </w:pPr>
            <w:r>
              <w:t xml:space="preserve">33,560</w:t>
            </w:r>
          </w:p>
        </w:tc>
      </w:tr>
      <w:tr>
        <w:tc>
          <w:tcPr>
            <w:tcW w:w="0" w:type="auto"/>
          </w:tcPr>
          <w:p>
            <w:pPr>
              <w:spacing w:after="0" w:line="240" w:lineRule="auto"/>
            </w:pPr>
            <w:r>
              <w:t xml:space="preserve">nur F_W = 0,9</w:t>
            </w:r>
          </w:p>
        </w:tc>
        <w:tc>
          <w:tcPr>
            <w:tcW w:w="0" w:type="auto"/>
          </w:tcPr>
          <w:p>
            <w:pPr>
              <w:spacing w:after="0" w:line="240" w:lineRule="auto"/>
            </w:pPr>
            <w:r>
              <w:t xml:space="preserve">nein</w:t>
            </w:r>
          </w:p>
        </w:tc>
        <w:tc>
          <w:tcPr>
            <w:tcW w:w="0" w:type="auto"/>
          </w:tcPr>
          <w:p>
            <w:pPr>
              <w:spacing w:after="0" w:line="240" w:lineRule="auto"/>
            </w:pPr>
            <w:r>
              <w:t xml:space="preserve">0,9</w:t>
            </w:r>
          </w:p>
        </w:tc>
        <w:tc>
          <w:tcPr>
            <w:tcW w:w="0" w:type="auto"/>
          </w:tcPr>
          <w:p>
            <w:pPr>
              <w:spacing w:after="0" w:line="240" w:lineRule="auto"/>
            </w:pPr>
            <w:r>
              <w:t xml:space="preserve">64 434 (+1,2 %)</w:t>
            </w:r>
          </w:p>
        </w:tc>
        <w:tc>
          <w:tcPr>
            <w:tcW w:w="0" w:type="auto"/>
          </w:tcPr>
          <w:p>
            <w:pPr>
              <w:spacing w:after="0" w:line="240" w:lineRule="auto"/>
            </w:pPr>
            <w:r>
              <w:t xml:space="preserve">33,569</w:t>
            </w:r>
          </w:p>
        </w:tc>
      </w:tr>
      <w:tr>
        <w:tc>
          <w:tcPr>
            <w:tcW w:w="0" w:type="auto"/>
          </w:tcPr>
          <w:p>
            <w:pPr>
              <w:spacing w:after="0" w:line="240" w:lineRule="auto"/>
            </w:pPr>
            <w:r>
              <w:t xml:space="preserve">nur R_si-Abzug</w:t>
            </w:r>
          </w:p>
        </w:tc>
        <w:tc>
          <w:tcPr>
            <w:tcW w:w="0" w:type="auto"/>
          </w:tcPr>
          <w:p>
            <w:pPr>
              <w:spacing w:after="0" w:line="240" w:lineRule="auto"/>
            </w:pPr>
            <w:r>
              <w:t xml:space="preserve">ja</w:t>
            </w:r>
          </w:p>
        </w:tc>
        <w:tc>
          <w:tcPr>
            <w:tcW w:w="0" w:type="auto"/>
          </w:tcPr>
          <w:p>
            <w:pPr>
              <w:spacing w:after="0" w:line="240" w:lineRule="auto"/>
            </w:pPr>
            <w:r>
              <w:t xml:space="preserve">1,0</w:t>
            </w:r>
          </w:p>
        </w:tc>
        <w:tc>
          <w:tcPr>
            <w:tcW w:w="0" w:type="auto"/>
          </w:tcPr>
          <w:p>
            <w:pPr>
              <w:spacing w:after="0" w:line="240" w:lineRule="auto"/>
            </w:pPr>
            <w:r>
              <w:t xml:space="preserve">71 177 (+11,8 %)</w:t>
            </w:r>
          </w:p>
        </w:tc>
        <w:tc>
          <w:tcPr>
            <w:tcW w:w="0" w:type="auto"/>
          </w:tcPr>
          <w:p>
            <w:pPr>
              <w:spacing w:after="0" w:line="240" w:lineRule="auto"/>
            </w:pPr>
            <w:r>
              <w:t xml:space="preserve">36,433</w:t>
            </w:r>
          </w:p>
        </w:tc>
      </w:tr>
      <w:tr>
        <w:tc>
          <w:tcPr>
            <w:tcW w:w="0" w:type="auto"/>
          </w:tcPr>
          <w:p>
            <w:pPr>
              <w:spacing w:after="0" w:line="240" w:lineRule="auto"/>
            </w:pPr>
            <w:r>
              <w:rPr>
                <w:b/>
              </w:rPr>
              <w:t xml:space="preserve">beides zusammen</w:t>
            </w:r>
          </w:p>
        </w:tc>
        <w:tc>
          <w:tcPr>
            <w:tcW w:w="0" w:type="auto"/>
          </w:tcPr>
          <w:p>
            <w:pPr>
              <w:spacing w:after="0" w:line="240" w:lineRule="auto"/>
            </w:pPr>
            <w:r>
              <w:rPr>
                <w:b/>
              </w:rPr>
              <w:t xml:space="preserve">ja</w:t>
            </w:r>
          </w:p>
        </w:tc>
        <w:tc>
          <w:tcPr>
            <w:tcW w:w="0" w:type="auto"/>
          </w:tcPr>
          <w:p>
            <w:pPr>
              <w:spacing w:after="0" w:line="240" w:lineRule="auto"/>
            </w:pPr>
            <w:r>
              <w:rPr>
                <w:b/>
              </w:rPr>
              <w:t xml:space="preserve">0,9</w:t>
            </w:r>
          </w:p>
        </w:tc>
        <w:tc>
          <w:tcPr>
            <w:tcW w:w="0" w:type="auto"/>
          </w:tcPr>
          <w:p>
            <w:pPr>
              <w:spacing w:after="0" w:line="240" w:lineRule="auto"/>
            </w:pPr>
            <w:r>
              <w:rPr>
                <w:b/>
              </w:rPr>
              <w:t xml:space="preserve">71 916 (+12,9 %)</w:t>
            </w:r>
          </w:p>
        </w:tc>
        <w:tc>
          <w:tcPr>
            <w:tcW w:w="0" w:type="auto"/>
          </w:tcPr>
          <w:p>
            <w:pPr>
              <w:spacing w:after="0" w:line="240" w:lineRule="auto"/>
            </w:pPr>
            <w:r>
              <w:rPr>
                <w:b/>
              </w:rPr>
              <w:t xml:space="preserve">36,441</w:t>
            </w:r>
          </w:p>
        </w:tc>
      </w:tr>
    </w:tbl>
    <w:p>
      <w:pPr>
        <w:spacing w:after="120"/>
      </w:pPr>
    </w:p>
    <w:p>
      <w:r>
        <w:rPr>
          <w:b/>
        </w:rPr>
        <w:t xml:space="preserve">Befund für G1.</w:t>
      </w:r>
      <w:r>
        <w:t xml:space="preserve"> Der Abzug R_si/A ist der größere der beiden Posten: er hebt die Jahresheizwärme dieses Gebäudes um 11,8 %. Physikalisch ist er zwingend — ohne ihn zählt der innere Wärmeübergang zweimal —, aber die Vergleichsmessungen des Konzepts sind </w:t>
      </w:r>
      <w:r>
        <w:rPr>
          <w:b/>
        </w:rPr>
        <w:t xml:space="preserve">ohne</w:t>
      </w:r>
      <w:r>
        <w:t xml:space="preserve"> ihn entstanden. Beides ist je Referenzgebäude auszuweisen, </w:t>
      </w:r>
      <w:r>
        <w:rPr>
          <w:b/>
        </w:rPr>
        <w:t xml:space="preserve">bevor</w:t>
      </w:r>
      <w:r>
        <w:t xml:space="preserve"> die Basis neu eingefroren wird. Was für den Auslieferungsweg zusätzlich nachzurechnen ist: Hay-Davies statt der isotropen Spalten, der konvektive Solaranteil, Ortszeit statt UTC-Reihenfolge und die Kappung an der oberen Raumtemperatur wirken alle vier auf die Jahreszahl. Der Zahlenweg ist damit ein </w:t>
      </w:r>
      <w:r>
        <w:rPr>
          <w:b/>
        </w:rPr>
        <w:t xml:space="preserve">Nachvollzugsbeispiel des Verfahrens, keine Prognose für ein Projekt</w:t>
      </w:r>
      <w:r>
        <w:t xml:space="preserve">.</w:t>
      </w:r>
    </w:p>
    <w:p>
      <w:pPr>
        <w:pStyle w:val="Heading2"/>
      </w:pPr>
      <w:r>
        <w:t xml:space="preserve">10.11 Prüfregeln, Nachweis und Produktausweis</w:t>
      </w:r>
    </w:p>
    <w:p>
      <w:r>
        <w:rPr>
          <w:b/>
        </w:rPr>
        <w:t xml:space="preserve">Die Prüfregel der Richtlinie</w:t>
      </w:r>
      <w:r>
        <w:t xml:space="preserve"> verlangt, dass Raumluft- und operative Temperatur im Bereich der Ergebnisse von </w:t>
      </w:r>
      <w:r>
        <w:rPr>
          <w:b/>
        </w:rPr>
        <w:t xml:space="preserve">Programm 1 und Programm 2</w:t>
      </w:r>
      <w:r>
        <w:t xml:space="preserve"> ± 0,1 °C und die Lasten im selben Bereich ± 1 W liegen. Das ist ein </w:t>
      </w:r>
      <w:r>
        <w:rPr>
          <w:b/>
        </w:rPr>
        <w:t xml:space="preserve">Band zwischen zwei Referenzreihen</w:t>
      </w:r>
      <w:r>
        <w:t xml:space="preserve">, nicht eine einzelne Referenz; Prüfgröße ist das Blockmittel.</w:t>
      </w:r>
    </w:p>
    <w:p>
      <w:r>
        <w:rPr>
          <w:b/>
        </w:rPr>
        <w:t xml:space="preserve">Das Prüfband nach E10</w:t>
      </w:r>
      <w:r>
        <w:t xml:space="preserve"> rechnet die Druckrundung hinzu:</w:t>
      </w:r>
    </w:p>
    <w:p>
      <w:pPr>
        <w:pStyle w:val="Codeblock"/>
      </w:pPr>
      <w:r>
        <w:t xml:space="preserve">Band = [ min(P1,P2) − tol − ½ Druckstelle ,  max(P1,P2) + tol + ½ Druckstelle ]</w:t>
      </w:r>
      <w:r>
        <w:br/>
        <w:t xml:space="preserve">  Temperaturen:  tol = 0,1 K,  ½ Druckstelle = 0,05 K   -&gt;  ± 0,15 K</w:t>
      </w:r>
      <w:r>
        <w:br/>
        <w:t xml:space="preserve">  Lasten:        tol = 1 W,    ½ Druckstelle = 0,5 W    -&gt;  ± 1,5 W</w:t>
      </w:r>
    </w:p>
    <w:p>
      <w:r>
        <w:t xml:space="preserve">Die Regel gilt </w:t>
      </w:r>
      <w:r>
        <w:rPr>
          <w:b/>
        </w:rPr>
        <w:t xml:space="preserve">einheitlich für alle Größen und alle zwölf Fälle</w:t>
      </w:r>
      <w:r>
        <w:t xml:space="preserve">, nicht fallweise — sonst hinge das Urteil an der Größe statt an der Regel.</w:t>
      </w:r>
    </w:p>
    <w:p>
      <w:r>
        <w:rPr>
          <w:b/>
        </w:rPr>
        <w:t xml:space="preserve">Stand des Nachweises: 35 von 36 Prüfungen bestanden, 11 von 12 Fällen vollständig im Band.</w:t>
      </w:r>
      <w:r>
        <w:t xml:space="preserve"> Offen ist allein Testbeispiel 11 mit der Kühldecke: zwei Umschaltstunden liegen um 3,4 bzw. 2,8 W neben dem Band mit Druckrundung, gegen das strenge Band um 3,9 bzw. 3,3 W. Die wahrscheinlichste Ursache — das Ein-Knoten-Innenmodell trennt die Kühldecke nicht von den übrigen Innenflächen, der Umschaltzeitpunkt liegt rund 45 s zu früh — ist diagnostisch belegt, aber </w:t>
      </w:r>
      <w:r>
        <w:rPr>
          <w:b/>
        </w:rPr>
        <w:t xml:space="preserve">nicht bewiesen</w:t>
      </w:r>
      <w:r>
        <w:t xml:space="preserve">: belegt ist der Umschaltversatz, nicht seine Ursache. G0 löst ihn über einen eigenen Oberflächenknoten oder weist ihn als bekannte Grenze aus.</w:t>
      </w:r>
    </w:p>
    <w:p>
      <w:r>
        <w:rPr>
          <w:b/>
        </w:rPr>
        <w:t xml:space="preserve">Reine Rechenproben ohne Datenbank:</w:t>
      </w:r>
      <w:r>
        <w:t xml:space="preserve"> beide Eigenwerte reell und negativ in jedem Betriebsfall; Γ gegen A⁻¹·(Φ − I) auf Maschinengenauigkeit; stetiger Übergang der Reihenentwicklung nahe null; zwei Läufe derselben Instanz nach dem Zurücksetzen byte-gleich; Vorlaufkonvergenz unter 0,1 K für Zeitkonstanten bis rund 25 h; der stationäre Grenzfall gegen den </w:t>
      </w:r>
      <w:r>
        <w:rPr>
          <w:b/>
        </w:rPr>
        <w:t xml:space="preserve">wirksamen</w:t>
      </w:r>
      <w:r>
        <w:t xml:space="preserve"> Leitwert, nicht gegen die Summe der U·A; R_Rest,AW ≤ 0 als benannter Abbruch </w:t>
      </w:r>
      <w:r>
        <w:rPr>
          <w:b/>
        </w:rPr>
        <w:t xml:space="preserve">ohne</w:t>
      </w:r>
      <w:r>
        <w:t xml:space="preserve"> Klemmwert; ein Ferientag außerhalb 1…365 in einem aktiven Fahrplan als benannte Ablehnung; ein Vergleichsverbrauch von null als benannte Ablehnung.</w:t>
      </w:r>
    </w:p>
    <w:p>
      <w:r>
        <w:rPr>
          <w:b/>
        </w:rPr>
        <w:t xml:space="preserve">Grenzfälle:</w:t>
      </w:r>
      <w:r>
        <w:t xml:space="preserve"> ein leichtes Gebäude macht die kleinere Zeitkonstante sehr klein — der Schritt bleibt stabil, weil die Matrixexponentialfunktion exakt gebildet wird; ein schweres Gebäude verlangt, den Vorlauf an der größeren Zeitkonstante zu messen, oberhalb von rund 250 h ist er zu prüfen; sehr gute Dämmung macht das System langsam und ist unkritisch; sehr schlechte Dämmung führt auf den benannten Abbruch; der Fall gleicher Eigenwerte geht in die Ableitungsform der Sylvester-Formel über und ist eigens zu prüfen. Rechenzeit rund 5 ms je Gebäude und Jahr; die Spanne erklärt sich vollständig aus der Zahl der Umschaltereignisse mit rund 7,4 µs je Ereignis.</w:t>
      </w:r>
    </w:p>
    <w:p>
      <w:r>
        <w:rPr>
          <w:b/>
        </w:rPr>
        <w:t xml:space="preserve">Der Produktausweis</w:t>
      </w:r>
      <w:r>
        <w:t xml:space="preserve"> steht unverändert wie in Kapitel 1.4 zitiert. </w:t>
      </w:r>
      <w:r>
        <w:rPr>
          <w:b/>
        </w:rPr>
        <w:t xml:space="preserve">Die Normzahlen werden nicht ausgeliefert</w:t>
      </w:r>
      <w:r>
        <w:t xml:space="preserve">; der ausgelieferte Test führt nur die berechneten Abweichungen und das Bestanden-Kriterium.</w:t>
      </w:r>
    </w:p>
    <w:p>
      <w:pPr>
        <w:pStyle w:val="Heading2"/>
      </w:pPr>
      <w:r>
        <w:t xml:space="preserve">10.12 Die benannten Abweichungen von der Richtlinie</w:t>
      </w:r>
    </w:p>
    <w:p>
      <w:r>
        <w:t xml:space="preserve">Jede Zeile ist eine bewusste Festlegung, keine Lücke.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Abweichung</w:t>
            </w:r>
          </w:p>
        </w:tc>
        <w:tc>
          <w:tcPr>
            <w:tcW w:w="0" w:type="auto"/>
            <w:shd w:val="clear" w:color="auto" w:fill="D9D9D9"/>
          </w:tcPr>
          <w:p>
            <w:pPr>
              <w:spacing w:after="0" w:line="240" w:lineRule="auto"/>
              <w:rPr>
                <w:b/>
              </w:rPr>
            </w:pPr>
            <w:r>
              <w:rPr>
                <w:b/>
              </w:rPr>
              <w:t xml:space="preserve">Warum in EPOS-Plan</w:t>
            </w:r>
          </w:p>
        </w:tc>
      </w:tr>
      <w:tr>
        <w:tc>
          <w:tcPr>
            <w:tcW w:w="0" w:type="auto"/>
          </w:tcPr>
          <w:p>
            <w:pPr>
              <w:spacing w:after="0" w:line="240" w:lineRule="auto"/>
            </w:pPr>
            <w:r>
              <w:t xml:space="preserve">1</w:t>
            </w:r>
          </w:p>
        </w:tc>
        <w:tc>
          <w:tcPr>
            <w:tcW w:w="0" w:type="auto"/>
          </w:tcPr>
          <w:p>
            <w:pPr>
              <w:spacing w:after="0" w:line="240" w:lineRule="auto"/>
            </w:pPr>
            <w:r>
              <w:rPr>
                <w:b/>
              </w:rPr>
              <w:t xml:space="preserve">Hay-Davies</w:t>
            </w:r>
            <w:r>
              <w:t xml:space="preserve"> statt des vorgeschriebenen Transpositionsmodells</w:t>
            </w:r>
          </w:p>
        </w:tc>
        <w:tc>
          <w:tcPr>
            <w:tcW w:w="0" w:type="auto"/>
          </w:tcPr>
          <w:p>
            <w:pPr>
              <w:spacing w:after="0" w:line="240" w:lineRule="auto"/>
            </w:pPr>
            <w:r>
              <w:t xml:space="preserve">der Bedeckungsgrad fehlt in den Klimadaten, und Blatt 3 verlangt die Koordinaten des Referenzorts, nicht des Projektorts. Hay-Davies ist gegenüber dem isotropen Bestandsweg eine erhebliche Verbesserung; in G1 wird das Normmodell </w:t>
            </w:r>
            <w:r>
              <w:rPr>
                <w:b/>
              </w:rPr>
              <w:t xml:space="preserve">daneben</w:t>
            </w:r>
            <w:r>
              <w:t xml:space="preserve"> gerechnet und gegengehalten</w:t>
            </w:r>
          </w:p>
        </w:tc>
      </w:tr>
      <w:tr>
        <w:tc>
          <w:tcPr>
            <w:tcW w:w="0" w:type="auto"/>
          </w:tcPr>
          <w:p>
            <w:pPr>
              <w:spacing w:after="0" w:line="240" w:lineRule="auto"/>
            </w:pPr>
            <w:r>
              <w:t xml:space="preserve">2</w:t>
            </w:r>
          </w:p>
        </w:tc>
        <w:tc>
          <w:tcPr>
            <w:tcW w:w="0" w:type="auto"/>
          </w:tcPr>
          <w:p>
            <w:pPr>
              <w:spacing w:after="0" w:line="240" w:lineRule="auto"/>
            </w:pPr>
            <w:r>
              <w:rPr>
                <w:b/>
              </w:rPr>
              <w:t xml:space="preserve">Kusuda-Erdreich</w:t>
            </w:r>
          </w:p>
        </w:tc>
        <w:tc>
          <w:tcPr>
            <w:tcW w:w="0" w:type="auto"/>
          </w:tcPr>
          <w:p>
            <w:pPr>
              <w:spacing w:after="0" w:line="240" w:lineRule="auto"/>
            </w:pPr>
            <w:r>
              <w:t xml:space="preserve">die Richtlinie hat kein Erdreichmodell; erdberührte Bauteile laufen über die Nachbarraum-Temperatur. Kusuda liefert genau diese Temperatur, statt sie erfinden zu lassen; </w:t>
            </w:r>
            <w:r>
              <w:rPr>
                <w:rFonts w:ascii="Consolas" w:hAnsi="Consolas" w:cs="Consolas"/>
                <w:noProof/>
                <w:sz w:val="20"/>
                <w:szCs w:val="20"/>
                <w:shd w:val="clear" w:color="auto" w:fill="EFEFEF"/>
              </w:rPr>
              <w:t xml:space="preserve">KELLER</w:t>
            </w:r>
            <w:r>
              <w:t xml:space="preserve"> ist der Normweg mit vorgegebener Temperatur</w:t>
            </w:r>
          </w:p>
        </w:tc>
      </w:tr>
      <w:tr>
        <w:tc>
          <w:tcPr>
            <w:tcW w:w="0" w:type="auto"/>
          </w:tcPr>
          <w:p>
            <w:pPr>
              <w:spacing w:after="0" w:line="240" w:lineRule="auto"/>
            </w:pPr>
            <w:r>
              <w:t xml:space="preserve">3</w:t>
            </w:r>
          </w:p>
        </w:tc>
        <w:tc>
          <w:tcPr>
            <w:tcW w:w="0" w:type="auto"/>
          </w:tcPr>
          <w:p>
            <w:pPr>
              <w:spacing w:after="0" w:line="240" w:lineRule="auto"/>
            </w:pPr>
            <w:r>
              <w:rPr>
                <w:b/>
              </w:rPr>
              <w:t xml:space="preserve">Klassenweg-Parameter</w:t>
            </w:r>
            <w:r>
              <w:t xml:space="preserve"> h_ms = 9,1 W/(m²K), a_AW = 0,3, f_IW = 2,5</w:t>
            </w:r>
          </w:p>
        </w:tc>
        <w:tc>
          <w:tcPr>
            <w:tcW w:w="0" w:type="auto"/>
          </w:tcPr>
          <w:p>
            <w:pPr>
              <w:spacing w:after="0" w:line="240" w:lineRule="auto"/>
            </w:pPr>
            <w:r>
              <w:rPr>
                <w:rFonts w:ascii="Consolas" w:hAnsi="Consolas" w:cs="Consolas"/>
                <w:noProof/>
                <w:sz w:val="20"/>
                <w:szCs w:val="20"/>
                <w:shd w:val="clear" w:color="auto" w:fill="EFEFEF"/>
              </w:rPr>
              <w:t xml:space="preserve">Tab_Gebaeude</w:t>
            </w:r>
            <w:r>
              <w:t xml:space="preserve"> führt keine Schichtaufbauten; der Klassenweg ist die Brücke, bis Bauteilkatalog und Import sie liefern</w:t>
            </w:r>
          </w:p>
        </w:tc>
      </w:tr>
      <w:tr>
        <w:tc>
          <w:tcPr>
            <w:tcW w:w="0" w:type="auto"/>
          </w:tcPr>
          <w:p>
            <w:pPr>
              <w:spacing w:after="0" w:line="240" w:lineRule="auto"/>
            </w:pPr>
            <w:r>
              <w:t xml:space="preserve">4</w:t>
            </w:r>
          </w:p>
        </w:tc>
        <w:tc>
          <w:tcPr>
            <w:tcW w:w="0" w:type="auto"/>
          </w:tcPr>
          <w:p>
            <w:pPr>
              <w:spacing w:after="0" w:line="240" w:lineRule="auto"/>
            </w:pPr>
            <w:r>
              <w:rPr>
                <w:b/>
              </w:rPr>
              <w:t xml:space="preserve">Fenster im Lüftungszweig</w:t>
            </w:r>
            <w:r>
              <w:t xml:space="preserve"> statt im Außenwandzweig</w:t>
            </w:r>
          </w:p>
        </w:tc>
        <w:tc>
          <w:tcPr>
            <w:tcW w:w="0" w:type="auto"/>
          </w:tcPr>
          <w:p>
            <w:pPr>
              <w:spacing w:after="0" w:line="240" w:lineRule="auto"/>
            </w:pPr>
            <w:r>
              <w:t xml:space="preserve">im Klassenweg eine bewusste Vereinfachung: der Fensterpfad umgeht den Massenknoten und das innere Oberflächennetz. Stationär unterscheiden sich die Wege um den inneren Übergang, transient um die Pufferung; die Wirkung ist in G1 auszuweisen, mit G3 wird auf (25)–(28) umgestellt</w:t>
            </w:r>
          </w:p>
        </w:tc>
      </w:tr>
      <w:tr>
        <w:tc>
          <w:tcPr>
            <w:tcW w:w="0" w:type="auto"/>
          </w:tcPr>
          <w:p>
            <w:pPr>
              <w:spacing w:after="0" w:line="240" w:lineRule="auto"/>
            </w:pPr>
            <w:r>
              <w:t xml:space="preserve">5</w:t>
            </w:r>
          </w:p>
        </w:tc>
        <w:tc>
          <w:tcPr>
            <w:tcW w:w="0" w:type="auto"/>
          </w:tcPr>
          <w:p>
            <w:pPr>
              <w:spacing w:after="0" w:line="240" w:lineRule="auto"/>
            </w:pPr>
            <w:r>
              <w:rPr>
                <w:b/>
              </w:rPr>
              <w:t xml:space="preserve">Zeitbezug Stundenanfang statt Stundenmitte</w:t>
            </w:r>
          </w:p>
        </w:tc>
        <w:tc>
          <w:tcPr>
            <w:tcW w:w="0" w:type="auto"/>
          </w:tcPr>
          <w:p>
            <w:pPr>
              <w:spacing w:after="0" w:line="240" w:lineRule="auto"/>
            </w:pPr>
            <w:r>
              <w:t xml:space="preserve">der Klimaimport des Bestands übergibt den Stundenanfang; der Unterschied sind 7,5° Stundenwinkel und trifft Ost und West. Entschieden wird an einer Stelle</w:t>
            </w:r>
          </w:p>
        </w:tc>
      </w:tr>
      <w:tr>
        <w:tc>
          <w:tcPr>
            <w:tcW w:w="0" w:type="auto"/>
          </w:tcPr>
          <w:p>
            <w:pPr>
              <w:spacing w:after="0" w:line="240" w:lineRule="auto"/>
            </w:pPr>
            <w:r>
              <w:t xml:space="preserve">6</w:t>
            </w:r>
          </w:p>
        </w:tc>
        <w:tc>
          <w:tcPr>
            <w:tcW w:w="0" w:type="auto"/>
          </w:tcPr>
          <w:p>
            <w:pPr>
              <w:spacing w:after="0" w:line="240" w:lineRule="auto"/>
            </w:pPr>
            <w:r>
              <w:rPr>
                <w:b/>
              </w:rPr>
              <w:t xml:space="preserve">Rahmenanteil und Winkelkorrektur 0,9</w:t>
            </w:r>
          </w:p>
        </w:tc>
        <w:tc>
          <w:tcPr>
            <w:tcW w:w="0" w:type="auto"/>
          </w:tcPr>
          <w:p>
            <w:pPr>
              <w:spacing w:after="0" w:line="240" w:lineRule="auto"/>
            </w:pPr>
            <w:r>
              <w:t xml:space="preserve">Blatt 2 schließt Rahmen ausdrücklich aus; der Rahmenanteil bildet ab, dass die Katalogfläche die Rohbaufläche ist, und 0,9 ist die Näherung für die winkelabhängige Korrektur, die mit G3 kommt</w:t>
            </w:r>
          </w:p>
        </w:tc>
      </w:tr>
      <w:tr>
        <w:tc>
          <w:tcPr>
            <w:tcW w:w="0" w:type="auto"/>
          </w:tcPr>
          <w:p>
            <w:pPr>
              <w:spacing w:after="0" w:line="240" w:lineRule="auto"/>
            </w:pPr>
            <w:r>
              <w:t xml:space="preserve">7</w:t>
            </w:r>
          </w:p>
        </w:tc>
        <w:tc>
          <w:tcPr>
            <w:tcW w:w="0" w:type="auto"/>
          </w:tcPr>
          <w:p>
            <w:pPr>
              <w:spacing w:after="0" w:line="240" w:lineRule="auto"/>
            </w:pPr>
            <w:r>
              <w:rPr>
                <w:b/>
              </w:rPr>
              <w:t xml:space="preserve">Verschattung als Pauschalfaktor</w:t>
            </w:r>
            <w:r>
              <w:t xml:space="preserve"> (0,9 / 0,8 / 0,7)</w:t>
            </w:r>
          </w:p>
        </w:tc>
        <w:tc>
          <w:tcPr>
            <w:tcW w:w="0" w:type="auto"/>
          </w:tcPr>
          <w:p>
            <w:pPr>
              <w:spacing w:after="0" w:line="240" w:lineRule="auto"/>
            </w:pPr>
            <w:r>
              <w:t xml:space="preserve">die Datenbank führt keine Verbauungsgeometrie; mit dem Import wird sie verfügbar</w:t>
            </w:r>
          </w:p>
        </w:tc>
      </w:tr>
      <w:tr>
        <w:tc>
          <w:tcPr>
            <w:tcW w:w="0" w:type="auto"/>
          </w:tcPr>
          <w:p>
            <w:pPr>
              <w:spacing w:after="0" w:line="240" w:lineRule="auto"/>
            </w:pPr>
            <w:r>
              <w:t xml:space="preserve">8</w:t>
            </w:r>
          </w:p>
        </w:tc>
        <w:tc>
          <w:tcPr>
            <w:tcW w:w="0" w:type="auto"/>
          </w:tcPr>
          <w:p>
            <w:pPr>
              <w:spacing w:after="0" w:line="240" w:lineRule="auto"/>
            </w:pPr>
            <w:r>
              <w:rPr>
                <w:b/>
              </w:rPr>
              <w:t xml:space="preserve">Absorptionsgrad 0,6</w:t>
            </w:r>
            <w:r>
              <w:t xml:space="preserve"> für opake Außenflächen</w:t>
            </w:r>
          </w:p>
        </w:tc>
        <w:tc>
          <w:tcPr>
            <w:tcW w:w="0" w:type="auto"/>
          </w:tcPr>
          <w:p>
            <w:pPr>
              <w:spacing w:after="0" w:line="240" w:lineRule="auto"/>
            </w:pPr>
            <w:r>
              <w:t xml:space="preserve">kein Normwert; EPOS-Vorgabe, je Bauteil eingebbar mit G3. In G1 ist der Term ohnehin abgeschaltet</w:t>
            </w:r>
          </w:p>
        </w:tc>
      </w:tr>
      <w:tr>
        <w:tc>
          <w:tcPr>
            <w:tcW w:w="0" w:type="auto"/>
          </w:tcPr>
          <w:p>
            <w:pPr>
              <w:spacing w:after="0" w:line="240" w:lineRule="auto"/>
            </w:pPr>
            <w:r>
              <w:t xml:space="preserve">9</w:t>
            </w:r>
          </w:p>
        </w:tc>
        <w:tc>
          <w:tcPr>
            <w:tcW w:w="0" w:type="auto"/>
          </w:tcPr>
          <w:p>
            <w:pPr>
              <w:spacing w:after="0" w:line="240" w:lineRule="auto"/>
            </w:pPr>
            <w:r>
              <w:rPr>
                <w:b/>
              </w:rPr>
              <w:t xml:space="preserve">Konvektiver Anteil des Fenstersolars 0,09</w:t>
            </w:r>
            <w:r>
              <w:t xml:space="preserve"> als Vorgabe</w:t>
            </w:r>
          </w:p>
        </w:tc>
        <w:tc>
          <w:tcPr>
            <w:tcW w:w="0" w:type="auto"/>
          </w:tcPr>
          <w:p>
            <w:pPr>
              <w:spacing w:after="0" w:line="240" w:lineRule="auto"/>
            </w:pPr>
            <w:r>
              <w:t xml:space="preserve">gilt für Dreifach-Wärmeschutz; die Tabellenwerte sind je Verglasungsart zu übernehmen</w:t>
            </w:r>
          </w:p>
        </w:tc>
      </w:tr>
      <w:tr>
        <w:tc>
          <w:tcPr>
            <w:tcW w:w="0" w:type="auto"/>
          </w:tcPr>
          <w:p>
            <w:pPr>
              <w:spacing w:after="0" w:line="240" w:lineRule="auto"/>
            </w:pPr>
            <w:r>
              <w:t xml:space="preserve">10</w:t>
            </w:r>
          </w:p>
        </w:tc>
        <w:tc>
          <w:tcPr>
            <w:tcW w:w="0" w:type="auto"/>
          </w:tcPr>
          <w:p>
            <w:pPr>
              <w:spacing w:after="0" w:line="240" w:lineRule="auto"/>
            </w:pPr>
            <w:r>
              <w:rPr>
                <w:b/>
              </w:rPr>
              <w:t xml:space="preserve">α_kon,i = 2,7 global, α_A = 25 als Festwert</w:t>
            </w:r>
          </w:p>
        </w:tc>
        <w:tc>
          <w:tcPr>
            <w:tcW w:w="0" w:type="auto"/>
          </w:tcPr>
          <w:p>
            <w:pPr>
              <w:spacing w:after="0" w:line="240" w:lineRule="auto"/>
            </w:pPr>
            <w:r>
              <w:t xml:space="preserve">im Klassenweg gibt es keine Bauteile, nur zwei Gruppen; 25 ist die Summe der Testraumwerte, </w:t>
            </w:r>
            <w:r>
              <w:rPr>
                <w:b/>
              </w:rPr>
              <w:t xml:space="preserve">kein gesetzter Normwert</w:t>
            </w:r>
            <w:r>
              <w:t xml:space="preserve">. Die Normtestfälle laufen mit den Bauteilwerten</w:t>
            </w:r>
          </w:p>
        </w:tc>
      </w:tr>
      <w:tr>
        <w:tc>
          <w:tcPr>
            <w:tcW w:w="0" w:type="auto"/>
          </w:tcPr>
          <w:p>
            <w:pPr>
              <w:spacing w:after="0" w:line="240" w:lineRule="auto"/>
            </w:pPr>
            <w:r>
              <w:t xml:space="preserve">11</w:t>
            </w:r>
          </w:p>
        </w:tc>
        <w:tc>
          <w:tcPr>
            <w:tcW w:w="0" w:type="auto"/>
          </w:tcPr>
          <w:p>
            <w:pPr>
              <w:spacing w:after="0" w:line="240" w:lineRule="auto"/>
            </w:pPr>
            <w:r>
              <w:rPr>
                <w:b/>
              </w:rPr>
              <w:t xml:space="preserve">Wärmekapazität der Luft 0,34 Wh/(m³K)</w:t>
            </w:r>
          </w:p>
        </w:tc>
        <w:tc>
          <w:tcPr>
            <w:tcW w:w="0" w:type="auto"/>
          </w:tcPr>
          <w:p>
            <w:pPr>
              <w:spacing w:after="0" w:line="240" w:lineRule="auto"/>
            </w:pPr>
            <w:r>
              <w:t xml:space="preserve">stammt aus DIN EN 12831 und gilt für Projektrechnungen; die Normfälle rechnen mit dem dort vorgeschriebenen Wert</w:t>
            </w:r>
          </w:p>
        </w:tc>
      </w:tr>
      <w:tr>
        <w:tc>
          <w:tcPr>
            <w:tcW w:w="0" w:type="auto"/>
          </w:tcPr>
          <w:p>
            <w:pPr>
              <w:spacing w:after="0" w:line="240" w:lineRule="auto"/>
            </w:pPr>
            <w:r>
              <w:t xml:space="preserve">12</w:t>
            </w:r>
          </w:p>
        </w:tc>
        <w:tc>
          <w:tcPr>
            <w:tcW w:w="0" w:type="auto"/>
          </w:tcPr>
          <w:p>
            <w:pPr>
              <w:spacing w:after="0" w:line="240" w:lineRule="auto"/>
            </w:pPr>
            <w:r>
              <w:rPr>
                <w:b/>
              </w:rPr>
              <w:t xml:space="preserve">Bestandsgewichte gestrichen</w:t>
            </w:r>
          </w:p>
        </w:tc>
        <w:tc>
          <w:tcPr>
            <w:tcW w:w="0" w:type="auto"/>
          </w:tcPr>
          <w:p>
            <w:pPr>
              <w:spacing w:after="0" w:line="240" w:lineRule="auto"/>
            </w:pPr>
            <w:r>
              <w:t xml:space="preserve">im Stundenmodell gehen die Transmissionsverluste ungewichtet ein, und jede Fläche bekommt statt dessen ihre eigene Randbedingung; Faktor </w:t>
            </w:r>
            <w:r>
              <w:rPr>
                <w:b/>
              </w:rPr>
              <w:t xml:space="preserve">und</w:t>
            </w:r>
            <w:r>
              <w:t xml:space="preserve"> Randbedingung wären eine doppelte Minderung</w:t>
            </w:r>
          </w:p>
        </w:tc>
      </w:tr>
      <w:tr>
        <w:tc>
          <w:tcPr>
            <w:tcW w:w="0" w:type="auto"/>
          </w:tcPr>
          <w:p>
            <w:pPr>
              <w:spacing w:after="0" w:line="240" w:lineRule="auto"/>
            </w:pPr>
            <w:r>
              <w:t xml:space="preserve">13</w:t>
            </w:r>
          </w:p>
        </w:tc>
        <w:tc>
          <w:tcPr>
            <w:tcW w:w="0" w:type="auto"/>
          </w:tcPr>
          <w:p>
            <w:pPr>
              <w:spacing w:after="0" w:line="240" w:lineRule="auto"/>
            </w:pPr>
            <w:r>
              <w:rPr>
                <w:b/>
              </w:rPr>
              <w:t xml:space="preserve">Validierung nur gegen Blatt 1</w:t>
            </w:r>
          </w:p>
        </w:tc>
        <w:tc>
          <w:tcPr>
            <w:tcW w:w="0" w:type="auto"/>
          </w:tcPr>
          <w:p>
            <w:pPr>
              <w:spacing w:after="0" w:line="240" w:lineRule="auto"/>
            </w:pPr>
            <w:r>
              <w:t xml:space="preserve">die Referenzergebnisse der Nachbarnormen liegen nur auf Datenträgern und setzen ein bestimmtes Testreferenzjahr voraus; beides wird nach E5 nicht beschafft</w:t>
            </w:r>
          </w:p>
        </w:tc>
      </w:tr>
      <w:tr>
        <w:tc>
          <w:tcPr>
            <w:tcW w:w="0" w:type="auto"/>
          </w:tcPr>
          <w:p>
            <w:pPr>
              <w:spacing w:after="0" w:line="240" w:lineRule="auto"/>
            </w:pPr>
            <w:r>
              <w:t xml:space="preserve">14</w:t>
            </w:r>
          </w:p>
        </w:tc>
        <w:tc>
          <w:tcPr>
            <w:tcW w:w="0" w:type="auto"/>
          </w:tcPr>
          <w:p>
            <w:pPr>
              <w:spacing w:after="0" w:line="240" w:lineRule="auto"/>
            </w:pPr>
            <w:r>
              <w:rPr>
                <w:b/>
              </w:rPr>
              <w:t xml:space="preserve">Der Klassenweg gibt die Katalog-U-Werte nicht wieder</w:t>
            </w:r>
          </w:p>
        </w:tc>
        <w:tc>
          <w:tcPr>
            <w:tcW w:w="0" w:type="auto"/>
          </w:tcPr>
          <w:p>
            <w:pPr>
              <w:spacing w:after="0" w:line="240" w:lineRule="auto"/>
            </w:pPr>
            <w:r>
              <w:t xml:space="preserve">R_si wird vom U-Wert abgezogen, im Netz liegt an seiner Stelle die Parallelschaltung der inneren Widerstände; der wirksame Leitwert ist deshalb kleiner — im Beispiel 607,48 statt 686,95 W/K. Der Abzug bleibt, weil der innere Übergang sonst zweimal zählt; mit G3 entfällt die Frage</w:t>
            </w:r>
          </w:p>
        </w:tc>
      </w:tr>
      <w:tr>
        <w:tc>
          <w:tcPr>
            <w:tcW w:w="0" w:type="auto"/>
          </w:tcPr>
          <w:p>
            <w:pPr>
              <w:spacing w:after="0" w:line="240" w:lineRule="auto"/>
            </w:pPr>
            <w:r>
              <w:t xml:space="preserve">15</w:t>
            </w:r>
          </w:p>
        </w:tc>
        <w:tc>
          <w:tcPr>
            <w:tcW w:w="0" w:type="auto"/>
          </w:tcPr>
          <w:p>
            <w:pPr>
              <w:spacing w:after="0" w:line="240" w:lineRule="auto"/>
            </w:pPr>
            <w:r>
              <w:rPr>
                <w:b/>
              </w:rPr>
              <w:t xml:space="preserve">Strahlungslasten flächenproportional verteilt</w:t>
            </w:r>
          </w:p>
        </w:tc>
        <w:tc>
          <w:tcPr>
            <w:tcW w:w="0" w:type="auto"/>
          </w:tcPr>
          <w:p>
            <w:pPr>
              <w:spacing w:after="0" w:line="240" w:lineRule="auto"/>
            </w:pPr>
            <w:r>
              <w:t xml:space="preserve">die orientierungsweise opake Fläche ist im Klassenweg nicht rechenbar; mit dem Bauteilkatalog wird auf (45)/(46) umgestellt</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Dokumentation/aktuell/Rechenschritte_Gebaeudesimulation_VDI6007_EPOS-Plan.md</w:t>
      </w:r>
      <w:r>
        <w:t xml:space="preserve"> (Kapitel 0 bis 11; Eingaben in 1, Schritte A bis G in 2 bis 8, Zahlenweg in 9, Prüfregeln in 10, Abweichungen in 11) und </w:t>
      </w:r>
      <w:r>
        <w:rPr>
          <w:rFonts w:ascii="Consolas" w:hAnsi="Consolas" w:cs="Consolas"/>
          <w:noProof/>
          <w:sz w:val="20"/>
          <w:szCs w:val="20"/>
          <w:shd w:val="clear" w:color="auto" w:fill="EFEFEF"/>
        </w:rPr>
        <w:t xml:space="preserve">Dokumentation/aktuell/Konzept_Gebaeudesimulation_VDI6007_EPOS-Plan.md</w:t>
      </w:r>
      <w:r>
        <w:t xml:space="preserve"> (Kapitel 4 und 5).</w:t>
      </w:r>
    </w:p>
    <w:p>
      <w:pPr>
        <w:pStyle w:val="Trennlinie"/>
      </w:pPr>
    </w:p>
    <w:p>
      <w:pPr>
        <w:pStyle w:val="Heading1"/>
      </w:pPr>
      <w:r>
        <w:t xml:space="preserve">11 Stufen, Reihenfolge und Aufwand</w:t>
      </w:r>
    </w:p>
    <w:p>
      <w:pPr>
        <w:pStyle w:val="Heading2"/>
      </w:pPr>
      <w:r>
        <w:t xml:space="preserve">11.1 Die Gesamttabelle</w:t>
      </w:r>
    </w:p>
    <w:p>
      <w:r>
        <w:t xml:space="preserve">Aufwände sind Größenordnungen für Entwicklung </w:t>
      </w:r>
      <w:r>
        <w:rPr>
          <w:b/>
        </w:rPr>
        <w:t xml:space="preserve">und Nachweis</w:t>
      </w:r>
      <w:r>
        <w:t xml:space="preserve">; Agentenarbeit verkürzt die Kalenderzeit, nicht die Prüfzeit.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 in einem Satz</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Aufwand</w:t>
            </w:r>
          </w:p>
        </w:tc>
      </w:tr>
      <w:tr>
        <w:tc>
          <w:tcPr>
            <w:tcW w:w="0" w:type="auto"/>
          </w:tcPr>
          <w:p>
            <w:pPr>
              <w:spacing w:after="0" w:line="240" w:lineRule="auto"/>
            </w:pPr>
            <w:r>
              <w:rPr>
                <w:b/>
              </w:rPr>
              <w:t xml:space="preserve">G0</w:t>
            </w:r>
          </w:p>
        </w:tc>
        <w:tc>
          <w:tcPr>
            <w:tcW w:w="0" w:type="auto"/>
          </w:tcPr>
          <w:p>
            <w:pPr>
              <w:spacing w:after="0" w:line="240" w:lineRule="auto"/>
            </w:pPr>
            <w:r>
              <w:t xml:space="preserve">Löser, Ersatzparameter, Diskretisierung, ideale Regelung; Normfälle und Rechenproben; Testfall 11 lösen, α_kon je Bauteil, Band-Prüfregel, Vorlaufkonvergenz. </w:t>
            </w:r>
            <w:r>
              <w:rPr>
                <w:b/>
              </w:rPr>
              <w:t xml:space="preserve">Keine Datenbank, kein Aufrufer</w:t>
            </w:r>
          </w:p>
        </w:tc>
        <w:tc>
          <w:tcPr>
            <w:tcW w:w="0" w:type="auto"/>
          </w:tcPr>
          <w:p>
            <w:pPr>
              <w:spacing w:after="0" w:line="240" w:lineRule="auto"/>
            </w:pPr>
            <w:r>
              <w:t xml:space="preserve">Kern-Filter grün; elf der zwölf Normtestfälle im Band nach E10, </w:t>
            </w:r>
            <w:r>
              <w:rPr>
                <w:b/>
              </w:rPr>
              <w:t xml:space="preserve">lokal</w:t>
            </w:r>
            <w:r>
              <w:t xml:space="preserve">, in der CI schweigend; Referenzlauf </w:t>
            </w:r>
            <w:r>
              <w:rPr>
                <w:b/>
              </w:rPr>
              <w:t xml:space="preserve">unberührt</w:t>
            </w:r>
          </w:p>
        </w:tc>
        <w:tc>
          <w:tcPr>
            <w:tcW w:w="0" w:type="auto"/>
          </w:tcPr>
          <w:p>
            <w:pPr>
              <w:spacing w:after="0" w:line="240" w:lineRule="auto"/>
            </w:pPr>
            <w:r>
              <w:rPr>
                <w:b/>
              </w:rPr>
              <w:t xml:space="preserve">2–4 PT</w:t>
            </w:r>
          </w:p>
        </w:tc>
      </w:tr>
      <w:tr>
        <w:tc>
          <w:tcPr>
            <w:tcW w:w="0" w:type="auto"/>
          </w:tcPr>
          <w:p>
            <w:pPr>
              <w:spacing w:after="0" w:line="240" w:lineRule="auto"/>
            </w:pPr>
            <w:r>
              <w:rPr>
                <w:b/>
              </w:rPr>
              <w:t xml:space="preserve">GB</w:t>
            </w:r>
          </w:p>
        </w:tc>
        <w:tc>
          <w:tcPr>
            <w:tcW w:w="0" w:type="auto"/>
          </w:tcPr>
          <w:p>
            <w:pPr>
              <w:spacing w:after="0" w:line="240" w:lineRule="auto"/>
            </w:pPr>
            <w:r>
              <w:t xml:space="preserve">Instanzzustand statt statischem Feld, Warnungen in der Ferienmaske, Korrektur der Bauweise eines Testgebäudes, Beseitigung der 100-Gebäude-Grenze, Einfrierregel </w:t>
            </w:r>
            <w:r>
              <w:rPr>
                <w:b/>
              </w:rPr>
              <w:t xml:space="preserve">„gesäte Gebäudedaten"</w:t>
            </w:r>
          </w:p>
        </w:tc>
        <w:tc>
          <w:tcPr>
            <w:tcW w:w="0" w:type="auto"/>
          </w:tcPr>
          <w:p>
            <w:pPr>
              <w:spacing w:after="0" w:line="240" w:lineRule="auto"/>
            </w:pPr>
            <w:r>
              <w:t xml:space="preserve">zwei Referenzprojekte ändern sich — </w:t>
            </w:r>
            <w:r>
              <w:rPr>
                <w:b/>
              </w:rPr>
              <w:t xml:space="preserve">eigener Einfrierschritt</w:t>
            </w:r>
            <w:r>
              <w:t xml:space="preserve">; letzte reine Bestandsbasis</w:t>
            </w:r>
          </w:p>
        </w:tc>
        <w:tc>
          <w:tcPr>
            <w:tcW w:w="0" w:type="auto"/>
          </w:tcPr>
          <w:p>
            <w:pPr>
              <w:spacing w:after="0" w:line="240" w:lineRule="auto"/>
            </w:pPr>
            <w:r>
              <w:rPr>
                <w:b/>
              </w:rPr>
              <w:t xml:space="preserve">1–2 PT</w:t>
            </w:r>
          </w:p>
        </w:tc>
      </w:tr>
      <w:tr>
        <w:tc>
          <w:tcPr>
            <w:tcW w:w="0" w:type="auto"/>
          </w:tcPr>
          <w:p>
            <w:pPr>
              <w:spacing w:after="0" w:line="240" w:lineRule="auto"/>
            </w:pPr>
            <w:r>
              <w:rPr>
                <w:b/>
              </w:rPr>
              <w:t xml:space="preserve">M2</w:t>
            </w:r>
          </w:p>
        </w:tc>
        <w:tc>
          <w:tcPr>
            <w:tcW w:w="0" w:type="auto"/>
          </w:tcPr>
          <w:p>
            <w:pPr>
              <w:spacing w:after="0" w:line="240" w:lineRule="auto"/>
            </w:pPr>
            <w:r>
              <w:t xml:space="preserve">Umbenennung des Ostfensterfeldes, 15 Stellen</w:t>
            </w:r>
          </w:p>
        </w:tc>
        <w:tc>
          <w:tcPr>
            <w:tcW w:w="0" w:type="auto"/>
          </w:tcPr>
          <w:p>
            <w:pPr>
              <w:spacing w:after="0" w:line="240" w:lineRule="auto"/>
            </w:pPr>
            <w:r>
              <w:rPr>
                <w:b/>
              </w:rPr>
              <w:t xml:space="preserve">byte-gleich</w:t>
            </w:r>
            <w:r>
              <w:t xml:space="preserve"> gegen die GB-Basis; eigener Merge, weil jede Zeile in die solaren Gewinne mündet</w:t>
            </w:r>
          </w:p>
        </w:tc>
        <w:tc>
          <w:tcPr>
            <w:tcW w:w="0" w:type="auto"/>
          </w:tcPr>
          <w:p>
            <w:pPr>
              <w:spacing w:after="0" w:line="240" w:lineRule="auto"/>
            </w:pPr>
            <w:r>
              <w:rPr>
                <w:b/>
              </w:rPr>
              <w:t xml:space="preserve">0,5 PT</w:t>
            </w:r>
          </w:p>
        </w:tc>
      </w:tr>
      <w:tr>
        <w:tc>
          <w:tcPr>
            <w:tcW w:w="0" w:type="auto"/>
          </w:tcPr>
          <w:p>
            <w:pPr>
              <w:spacing w:after="0" w:line="240" w:lineRule="auto"/>
            </w:pPr>
            <w:r>
              <w:rPr>
                <w:b/>
              </w:rPr>
              <w:t xml:space="preserve">M3</w:t>
            </w:r>
          </w:p>
        </w:tc>
        <w:tc>
          <w:tcPr>
            <w:tcW w:w="0" w:type="auto"/>
          </w:tcPr>
          <w:p>
            <w:pPr>
              <w:spacing w:after="0" w:line="240" w:lineRule="auto"/>
            </w:pPr>
            <w:r>
              <w:t xml:space="preserve">Schemaschritt mit 15 Spalten je Tabelle, Sichtneubau, Namensleser, Persistenzwerte, </w:t>
            </w:r>
            <w:r>
              <w:rPr>
                <w:b/>
              </w:rPr>
              <w:t xml:space="preserve">NULL-erhaltende Katalogkopie</w:t>
            </w:r>
            <w:r>
              <w:t xml:space="preserve">, Sichtquellen-Wache</w:t>
            </w:r>
          </w:p>
        </w:tc>
        <w:tc>
          <w:tcPr>
            <w:tcW w:w="0" w:type="auto"/>
          </w:tcPr>
          <w:p>
            <w:pPr>
              <w:spacing w:after="0" w:line="240" w:lineRule="auto"/>
            </w:pPr>
            <w:r>
              <w:t xml:space="preserve">byte-gleich; die Probe </w:t>
            </w:r>
            <w:r>
              <w:rPr>
                <w:b/>
              </w:rPr>
              <w:t xml:space="preserve">ist</w:t>
            </w:r>
            <w:r>
              <w:t xml:space="preserve"> der Sichtneubau; SQL-Dialekt-Prüfer grün</w:t>
            </w:r>
          </w:p>
        </w:tc>
        <w:tc>
          <w:tcPr>
            <w:tcW w:w="0" w:type="auto"/>
          </w:tcPr>
          <w:p>
            <w:pPr>
              <w:spacing w:after="0" w:line="240" w:lineRule="auto"/>
            </w:pPr>
            <w:r>
              <w:rPr>
                <w:b/>
              </w:rPr>
              <w:t xml:space="preserve">1,5–2 PT</w:t>
            </w:r>
          </w:p>
        </w:tc>
      </w:tr>
      <w:tr>
        <w:tc>
          <w:tcPr>
            <w:tcW w:w="0" w:type="auto"/>
          </w:tcPr>
          <w:p>
            <w:pPr>
              <w:spacing w:after="0" w:line="240" w:lineRule="auto"/>
            </w:pPr>
            <w:r>
              <w:rPr>
                <w:b/>
              </w:rPr>
              <w:t xml:space="preserve">M4</w:t>
            </w:r>
          </w:p>
        </w:tc>
        <w:tc>
          <w:tcPr>
            <w:tcW w:w="0" w:type="auto"/>
          </w:tcPr>
          <w:p>
            <w:pPr>
              <w:spacing w:after="0" w:line="240" w:lineRule="auto"/>
            </w:pPr>
            <w:r>
              <w:t xml:space="preserve">drei Klimaspalten in </w:t>
            </w:r>
            <w:r>
              <w:rPr>
                <w:rFonts w:ascii="Consolas" w:hAnsi="Consolas" w:cs="Consolas"/>
                <w:noProof/>
                <w:sz w:val="20"/>
                <w:szCs w:val="20"/>
                <w:shd w:val="clear" w:color="auto" w:fill="EFEFEF"/>
              </w:rPr>
              <w:t xml:space="preserve">Tab_Solar</w:t>
            </w:r>
            <w:r>
              <w:t xml:space="preserve"> und Zwilling, Leseweg der PVGIS-Antwort, Einfrierregel </w:t>
            </w:r>
            <w:r>
              <w:rPr>
                <w:b/>
              </w:rPr>
              <w:t xml:space="preserve">„gesäte Klimareihen"</w:t>
            </w:r>
          </w:p>
        </w:tc>
        <w:tc>
          <w:tcPr>
            <w:tcW w:w="0" w:type="auto"/>
          </w:tcPr>
          <w:p>
            <w:pPr>
              <w:spacing w:after="0" w:line="240" w:lineRule="auto"/>
            </w:pPr>
            <w:r>
              <w:t xml:space="preserve">byte-gleich; die Importprobe liefert dieselben Strahlungsreihen</w:t>
            </w:r>
          </w:p>
        </w:tc>
        <w:tc>
          <w:tcPr>
            <w:tcW w:w="0" w:type="auto"/>
          </w:tcPr>
          <w:p>
            <w:pPr>
              <w:spacing w:after="0" w:line="240" w:lineRule="auto"/>
            </w:pPr>
            <w:r>
              <w:rPr>
                <w:b/>
              </w:rPr>
              <w:t xml:space="preserve">0,5–1 PT</w:t>
            </w:r>
          </w:p>
        </w:tc>
      </w:tr>
      <w:tr>
        <w:tc>
          <w:tcPr>
            <w:tcW w:w="0" w:type="auto"/>
          </w:tcPr>
          <w:p>
            <w:pPr>
              <w:spacing w:after="0" w:line="240" w:lineRule="auto"/>
            </w:pPr>
            <w:r>
              <w:rPr>
                <w:b/>
              </w:rPr>
              <w:t xml:space="preserve">G1 + G2</w:t>
            </w:r>
          </w:p>
        </w:tc>
        <w:tc>
          <w:tcPr>
            <w:tcW w:w="0" w:type="auto"/>
          </w:tcPr>
          <w:p>
            <w:pPr>
              <w:spacing w:after="0" w:line="240" w:lineRule="auto"/>
            </w:pPr>
            <w:r>
              <w:t xml:space="preserve">Klimaweg, Eingangsbau, Ergebnis, Gebäudeprüfung; die Verzweigung an beiden Punkten; vierter Parameter der Auskunft; </w:t>
            </w:r>
            <w:r>
              <w:rPr>
                <w:b/>
              </w:rPr>
              <w:t xml:space="preserve">ein Schreibweg im Editor</w:t>
            </w:r>
            <w:r>
              <w:t xml:space="preserve">, Reiter „Hülle und Rechenmodell", Platzhalter am Zahlenfeld, Modellschalter; </w:t>
            </w:r>
            <w:r>
              <w:rPr>
                <w:b/>
              </w:rPr>
              <w:t xml:space="preserve">Hüllenumzug</w:t>
            </w:r>
            <w:r>
              <w:t xml:space="preserve"> samt Naht; Bedarfsdialog mit Vergleich, zweitem Bild und drei Spitzenkennzahlen; Kennzahlen und neue Gruppe; drei bedingte Reihen im Export; Glossarabschnitt, beide Sprachdateien, Dialogkatalog; Wiki-Seite und Logbuch-Entwurf</w:t>
            </w:r>
          </w:p>
        </w:tc>
        <w:tc>
          <w:tcPr>
            <w:tcW w:w="0" w:type="auto"/>
          </w:tcPr>
          <w:p>
            <w:pPr>
              <w:spacing w:after="0" w:line="240" w:lineRule="auto"/>
            </w:pPr>
            <w:r>
              <w:rPr>
                <w:b/>
              </w:rPr>
              <w:t xml:space="preserve">alle dreizehn Projekte ändern sich — Basis vollständig neu</w:t>
            </w:r>
            <w:r>
              <w:t xml:space="preserve">; Rückweg-Test auf der Arbeitskopie; Diagrammproben grün; Sichtabnahme Windows; </w:t>
            </w:r>
            <w:r>
              <w:rPr>
                <w:b/>
              </w:rPr>
              <w:t xml:space="preserve">Versionsnummer beim Anwender erfragt</w:t>
            </w:r>
          </w:p>
        </w:tc>
        <w:tc>
          <w:tcPr>
            <w:tcW w:w="0" w:type="auto"/>
          </w:tcPr>
          <w:p>
            <w:pPr>
              <w:spacing w:after="0" w:line="240" w:lineRule="auto"/>
            </w:pPr>
            <w:r>
              <w:rPr>
                <w:b/>
              </w:rPr>
              <w:t xml:space="preserve">15–21 PT</w:t>
            </w:r>
          </w:p>
        </w:tc>
      </w:tr>
      <w:tr>
        <w:tc>
          <w:tcPr>
            <w:tcW w:w="0" w:type="auto"/>
          </w:tcPr>
          <w:p>
            <w:pPr>
              <w:spacing w:after="0" w:line="240" w:lineRule="auto"/>
            </w:pPr>
            <w:r>
              <w:rPr>
                <w:b/>
              </w:rPr>
              <w:t xml:space="preserve">G3</w:t>
            </w:r>
          </w:p>
        </w:tc>
        <w:tc>
          <w:tcPr>
            <w:tcW w:w="0" w:type="auto"/>
          </w:tcPr>
          <w:p>
            <w:pPr>
              <w:spacing w:after="0" w:line="240" w:lineRule="auto"/>
            </w:pPr>
            <w:r>
              <w:t xml:space="preserve">Bauteilreduktion gefüllt, zweiter Fabrikweg der Ersatzparameter; Baustoff-, Aufbau- und Zonenschema; Controller und Modelle; Baustoff- und Bauteilaufbau-Dialog mit Schichtenraster; </w:t>
            </w:r>
            <w:r>
              <w:rPr>
                <w:b/>
              </w:rPr>
              <w:t xml:space="preserve">zwei Menüzeilen gemeinsam</w:t>
            </w:r>
            <w:r>
              <w:t xml:space="preserve">; Übernahmeknopf „Gebäude als eine Zone"; </w:t>
            </w:r>
            <w:r>
              <w:rPr>
                <w:b/>
              </w:rPr>
              <w:t xml:space="preserve">Bauteildialog und Zonendialog in der Grundform</w:t>
            </w:r>
            <w:r>
              <w:t xml:space="preserve"> — ohne sie wäre der Bauteilweg dieser Stufe nur über Import oder Testdaten zu füllen; Katalogseite auf die virtualisierte Liste samt Rasterprobe</w:t>
            </w:r>
          </w:p>
        </w:tc>
        <w:tc>
          <w:tcPr>
            <w:tcW w:w="0" w:type="auto"/>
          </w:tcPr>
          <w:p>
            <w:pPr>
              <w:spacing w:after="0" w:line="240" w:lineRule="auto"/>
            </w:pPr>
            <w:r>
              <w:t xml:space="preserve">Reduktion trifft die Vergleichswerte; Bauteilweg gleich Klassenweg im Grenzfall; Referenzlauf </w:t>
            </w:r>
            <w:r>
              <w:rPr>
                <w:b/>
              </w:rPr>
              <w:t xml:space="preserve">byte-gleich</w:t>
            </w:r>
            <w:r>
              <w:t xml:space="preserve">; Auslieferungsvorlage grün</w:t>
            </w:r>
          </w:p>
        </w:tc>
        <w:tc>
          <w:tcPr>
            <w:tcW w:w="0" w:type="auto"/>
          </w:tcPr>
          <w:p>
            <w:pPr>
              <w:spacing w:after="0" w:line="240" w:lineRule="auto"/>
            </w:pPr>
            <w:r>
              <w:rPr>
                <w:b/>
              </w:rPr>
              <w:t xml:space="preserve">8–12 PT</w:t>
            </w:r>
          </w:p>
        </w:tc>
      </w:tr>
      <w:tr>
        <w:tc>
          <w:tcPr>
            <w:tcW w:w="0" w:type="auto"/>
          </w:tcPr>
          <w:p>
            <w:pPr>
              <w:spacing w:after="0" w:line="240" w:lineRule="auto"/>
            </w:pPr>
            <w:r>
              <w:rPr>
                <w:b/>
              </w:rPr>
              <w:t xml:space="preserve">G4a</w:t>
            </w:r>
          </w:p>
        </w:tc>
        <w:tc>
          <w:tcPr>
            <w:tcW w:w="0" w:type="auto"/>
          </w:tcPr>
          <w:p>
            <w:pPr>
              <w:spacing w:after="0" w:line="240" w:lineRule="auto"/>
            </w:pPr>
            <w:r>
              <w:t xml:space="preserve">IFC-Import: Paket und Lizenzseite, Leser, Azimut, Zuordnung, Vorgabetabelle je Baualtersklasse, Dialog und Hülle, Importprobe, iOS-Dateifilter</w:t>
            </w:r>
          </w:p>
        </w:tc>
        <w:tc>
          <w:tcPr>
            <w:tcW w:w="0" w:type="auto"/>
          </w:tcPr>
          <w:p>
            <w:pPr>
              <w:spacing w:after="0" w:line="240" w:lineRule="auto"/>
            </w:pPr>
            <w:r>
              <w:t xml:space="preserve">Importprobe bestanden; </w:t>
            </w:r>
            <w:r>
              <w:rPr>
                <w:b/>
              </w:rPr>
              <w:t xml:space="preserve">Referenzlauf unverändert</w:t>
            </w:r>
            <w:r>
              <w:t xml:space="preserve">; Windows-Sichtabnahme; iOS-Lauf </w:t>
            </w:r>
            <w:r>
              <w:rPr>
                <w:b/>
              </w:rPr>
              <w:t xml:space="preserve">nur nach Rückfrage</w:t>
            </w:r>
          </w:p>
        </w:tc>
        <w:tc>
          <w:tcPr>
            <w:tcW w:w="0" w:type="auto"/>
          </w:tcPr>
          <w:p>
            <w:pPr>
              <w:spacing w:after="0" w:line="240" w:lineRule="auto"/>
            </w:pPr>
            <w:r>
              <w:rPr>
                <w:b/>
              </w:rPr>
              <w:t xml:space="preserve">13,5–21 PT</w:t>
            </w:r>
          </w:p>
        </w:tc>
      </w:tr>
      <w:tr>
        <w:tc>
          <w:tcPr>
            <w:tcW w:w="0" w:type="auto"/>
          </w:tcPr>
          <w:p>
            <w:pPr>
              <w:spacing w:after="0" w:line="240" w:lineRule="auto"/>
            </w:pPr>
            <w:r>
              <w:rPr>
                <w:b/>
              </w:rPr>
              <w:t xml:space="preserve">G4b</w:t>
            </w:r>
          </w:p>
        </w:tc>
        <w:tc>
          <w:tcPr>
            <w:tcW w:w="0" w:type="auto"/>
          </w:tcPr>
          <w:p>
            <w:pPr>
              <w:spacing w:after="0" w:line="240" w:lineRule="auto"/>
            </w:pPr>
            <w:r>
              <w:t xml:space="preserve">IFC auf Bauteilebene: je Bauteil eine Zeile mit Schichten, Azimut, Neigung, Herkunft</w:t>
            </w:r>
          </w:p>
        </w:tc>
        <w:tc>
          <w:tcPr>
            <w:tcW w:w="0" w:type="auto"/>
          </w:tcPr>
          <w:p>
            <w:pPr>
              <w:spacing w:after="0" w:line="240" w:lineRule="auto"/>
            </w:pPr>
            <w:r>
              <w:t xml:space="preserve">nach G3, und erst wenn G4a im Feld war</w:t>
            </w:r>
          </w:p>
        </w:tc>
        <w:tc>
          <w:tcPr>
            <w:tcW w:w="0" w:type="auto"/>
          </w:tcPr>
          <w:p>
            <w:pPr>
              <w:spacing w:after="0" w:line="240" w:lineRule="auto"/>
            </w:pPr>
            <w:r>
              <w:rPr>
                <w:b/>
              </w:rPr>
              <w:t xml:space="preserve">4–6 PT</w:t>
            </w:r>
          </w:p>
        </w:tc>
      </w:tr>
      <w:tr>
        <w:tc>
          <w:tcPr>
            <w:tcW w:w="0" w:type="auto"/>
          </w:tcPr>
          <w:p>
            <w:pPr>
              <w:spacing w:after="0" w:line="240" w:lineRule="auto"/>
            </w:pPr>
            <w:r>
              <w:rPr>
                <w:b/>
              </w:rPr>
              <w:t xml:space="preserve">G4c</w:t>
            </w:r>
          </w:p>
        </w:tc>
        <w:tc>
          <w:tcPr>
            <w:tcW w:w="0" w:type="auto"/>
          </w:tcPr>
          <w:p>
            <w:pPr>
              <w:spacing w:after="0" w:line="240" w:lineRule="auto"/>
            </w:pPr>
            <w:r>
              <w:t xml:space="preserve">gbXML-Import (Pflicht nach E9): Lesemodell, Einheiten global und lokal, Aggregation, Nachbarschaftsauflösung, Fensterabzug, Aufbauprüfung, Einzonen-Zonenregel, Meldungen in beiden Sprachen, Anschluss an den gemeinsamen Zuordnungsdialog — </w:t>
            </w:r>
            <w:r>
              <w:rPr>
                <w:b/>
              </w:rPr>
              <w:t xml:space="preserve">dazu die Persistenz</w:t>
            </w:r>
            <w:r>
              <w:t xml:space="preserve"> (Schemaschritt, zwei Tabellen, Register, Reduzierskript, Auslieferungsvorlage, Umbenennungen)</w:t>
            </w:r>
          </w:p>
        </w:tc>
        <w:tc>
          <w:tcPr>
            <w:tcW w:w="0" w:type="auto"/>
          </w:tcPr>
          <w:p>
            <w:pPr>
              <w:spacing w:after="0" w:line="240" w:lineRule="auto"/>
            </w:pPr>
            <w:r>
              <w:t xml:space="preserve">Importproben; </w:t>
            </w:r>
            <w:r>
              <w:rPr>
                <w:b/>
              </w:rPr>
              <w:t xml:space="preserve">Referenzlauf unverändert</w:t>
            </w:r>
            <w:r>
              <w:t xml:space="preserve">; Reihenfolge zu G4a ist ein Anwenderentscheid</w:t>
            </w:r>
          </w:p>
        </w:tc>
        <w:tc>
          <w:tcPr>
            <w:tcW w:w="0" w:type="auto"/>
          </w:tcPr>
          <w:p>
            <w:pPr>
              <w:spacing w:after="0" w:line="240" w:lineRule="auto"/>
            </w:pPr>
            <w:r>
              <w:rPr>
                <w:b/>
              </w:rPr>
              <w:t xml:space="preserve">17–28 PT</w:t>
            </w:r>
          </w:p>
        </w:tc>
      </w:tr>
      <w:tr>
        <w:tc>
          <w:tcPr>
            <w:tcW w:w="0" w:type="auto"/>
          </w:tcPr>
          <w:p>
            <w:pPr>
              <w:spacing w:after="0" w:line="240" w:lineRule="auto"/>
            </w:pPr>
            <w:r>
              <w:rPr>
                <w:b/>
              </w:rPr>
              <w:t xml:space="preserve">G5</w:t>
            </w:r>
          </w:p>
        </w:tc>
        <w:tc>
          <w:tcPr>
            <w:tcW w:w="0" w:type="auto"/>
          </w:tcPr>
          <w:p>
            <w:pPr>
              <w:spacing w:after="0" w:line="240" w:lineRule="auto"/>
            </w:pPr>
            <w:r>
              <w:t xml:space="preserve">Geometrieableitung aus Extrusionskörpern und Placement-Kette, Öffnungsabzug</w:t>
            </w:r>
          </w:p>
        </w:tc>
        <w:tc>
          <w:tcPr>
            <w:tcW w:w="0" w:type="auto"/>
          </w:tcPr>
          <w:p>
            <w:pPr>
              <w:spacing w:after="0" w:line="240" w:lineRule="auto"/>
            </w:pPr>
            <w:r>
              <w:rPr>
                <w:b/>
              </w:rPr>
              <w:t xml:space="preserve">nur bei Bedarf aus der Praxis</w:t>
            </w:r>
            <w:r>
              <w:t xml:space="preserve">; unabhängiger Zweig, G6 braucht ihn nicht</w:t>
            </w:r>
          </w:p>
        </w:tc>
        <w:tc>
          <w:tcPr>
            <w:tcW w:w="0" w:type="auto"/>
          </w:tcPr>
          <w:p>
            <w:pPr>
              <w:spacing w:after="0" w:line="240" w:lineRule="auto"/>
            </w:pPr>
            <w:r>
              <w:rPr>
                <w:b/>
              </w:rPr>
              <w:t xml:space="preserve">30–60 PT</w:t>
            </w:r>
          </w:p>
        </w:tc>
      </w:tr>
      <w:tr>
        <w:tc>
          <w:tcPr>
            <w:tcW w:w="0" w:type="auto"/>
          </w:tcPr>
          <w:p>
            <w:pPr>
              <w:spacing w:after="0" w:line="240" w:lineRule="auto"/>
            </w:pPr>
            <w:r>
              <w:rPr>
                <w:b/>
              </w:rPr>
              <w:t xml:space="preserve">G6a</w:t>
            </w:r>
          </w:p>
        </w:tc>
        <w:tc>
          <w:tcPr>
            <w:tcW w:w="0" w:type="auto"/>
          </w:tcPr>
          <w:p>
            <w:pPr>
              <w:spacing w:after="0" w:line="240" w:lineRule="auto"/>
            </w:pPr>
            <w:r>
              <w:t xml:space="preserve">Zonen-Datenmodell und Pflege: Schemaschritte, Schema-Klassen, Baustoffsaat, Kataloge in der Administration, Editoren, Controller, Kopierwege, Bericht-Zonentabelle</w:t>
            </w:r>
          </w:p>
        </w:tc>
        <w:tc>
          <w:tcPr>
            <w:tcW w:w="0" w:type="auto"/>
          </w:tcPr>
          <w:p>
            <w:pPr>
              <w:spacing w:after="0" w:line="240" w:lineRule="auto"/>
            </w:pPr>
            <w:r>
              <w:t xml:space="preserve">Migrationstests grün, Auslieferungsvorlage grün, Referenzlauf byte-gleich</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G6b</w:t>
            </w:r>
          </w:p>
        </w:tc>
        <w:tc>
          <w:tcPr>
            <w:tcW w:w="0" w:type="auto"/>
          </w:tcPr>
          <w:p>
            <w:pPr>
              <w:spacing w:after="0" w:line="240" w:lineRule="auto"/>
            </w:pPr>
            <w:r>
              <w:t xml:space="preserve">Zoneneingabe und Rechenweg: Zonenreiter, Zonen- und Bauteildialog, Hülle; Zonenschleife; Gruppenbildung mit adiabatem Vorlauf; Nachbarraum-Randbedingung mit Gewichtssumme 1; Gauß-Seidel; unbeheizte Zonen; zwölf Proben</w:t>
            </w:r>
          </w:p>
        </w:tc>
        <w:tc>
          <w:tcPr>
            <w:tcW w:w="0" w:type="auto"/>
          </w:tcPr>
          <w:p>
            <w:pPr>
              <w:spacing w:after="0" w:line="240" w:lineRule="auto"/>
            </w:pPr>
            <w:r>
              <w:t xml:space="preserve">Testbeispiel 10 im Normband; </w:t>
            </w:r>
            <w:r>
              <w:rPr>
                <w:b/>
              </w:rPr>
              <w:t xml:space="preserve">„eine Zone bitgleich" ist Gate</w:t>
            </w:r>
            <w:r>
              <w:t xml:space="preserve">; Laufzeit gemessen</w:t>
            </w:r>
          </w:p>
        </w:tc>
        <w:tc>
          <w:tcPr>
            <w:tcW w:w="0" w:type="auto"/>
          </w:tcPr>
          <w:p>
            <w:pPr>
              <w:spacing w:after="0" w:line="240" w:lineRule="auto"/>
            </w:pPr>
            <w:r>
              <w:rPr>
                <w:b/>
              </w:rPr>
              <w:t xml:space="preserve">12–18 PT</w:t>
            </w:r>
          </w:p>
        </w:tc>
      </w:tr>
      <w:tr>
        <w:tc>
          <w:tcPr>
            <w:tcW w:w="0" w:type="auto"/>
          </w:tcPr>
          <w:p>
            <w:pPr>
              <w:spacing w:after="0" w:line="240" w:lineRule="auto"/>
            </w:pPr>
            <w:r>
              <w:rPr>
                <w:b/>
              </w:rPr>
              <w:t xml:space="preserve">G6c</w:t>
            </w:r>
          </w:p>
        </w:tc>
        <w:tc>
          <w:tcPr>
            <w:tcW w:w="0" w:type="auto"/>
          </w:tcPr>
          <w:p>
            <w:pPr>
              <w:spacing w:after="0" w:line="240" w:lineRule="auto"/>
            </w:pPr>
            <w:r>
              <w:t xml:space="preserve">Zonenimport aus IFC samt Persistenz der Zuordnung, Namensabgleich, Zuordnungsdialog; </w:t>
            </w:r>
            <w:r>
              <w:rPr>
                <w:b/>
              </w:rPr>
              <w:t xml:space="preserve">Zonengeometrie-Modell und 2D-Grundriss (E11)</w:t>
            </w:r>
          </w:p>
        </w:tc>
        <w:tc>
          <w:tcPr>
            <w:tcW w:w="0" w:type="auto"/>
          </w:tcPr>
          <w:p>
            <w:pPr>
              <w:spacing w:after="0" w:line="240" w:lineRule="auto"/>
            </w:pPr>
            <w:r>
              <w:t xml:space="preserve">Importproben und die beiden Proben der Grundrissansicht; iOS-Lauf nach Rückfrage</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G6d</w:t>
            </w:r>
          </w:p>
        </w:tc>
        <w:tc>
          <w:tcPr>
            <w:tcW w:w="0" w:type="auto"/>
          </w:tcPr>
          <w:p>
            <w:pPr>
              <w:spacing w:after="0" w:line="240" w:lineRule="auto"/>
            </w:pPr>
            <w:r>
              <w:t xml:space="preserve">Zonenprojekt in der Testdatenbank säen, Einfrierregel </w:t>
            </w:r>
            <w:r>
              <w:rPr>
                <w:b/>
              </w:rPr>
              <w:t xml:space="preserve">„gesäte Zonendaten"</w:t>
            </w:r>
            <w:r>
              <w:t xml:space="preserve">, Referenzlauf, Begründung, Wiki und Logbuch</w:t>
            </w:r>
          </w:p>
        </w:tc>
        <w:tc>
          <w:tcPr>
            <w:tcW w:w="0" w:type="auto"/>
          </w:tcPr>
          <w:p>
            <w:pPr>
              <w:spacing w:after="0" w:line="240" w:lineRule="auto"/>
            </w:pPr>
            <w:r>
              <w:t xml:space="preserve">grüner Kern-Lauf, neue Basis begründet</w:t>
            </w:r>
          </w:p>
        </w:tc>
        <w:tc>
          <w:tcPr>
            <w:tcW w:w="0" w:type="auto"/>
          </w:tcPr>
          <w:p>
            <w:pPr>
              <w:spacing w:after="0" w:line="240" w:lineRule="auto"/>
            </w:pPr>
            <w:r>
              <w:rPr>
                <w:b/>
              </w:rPr>
              <w:t xml:space="preserve">2–3 PT</w:t>
            </w:r>
          </w:p>
        </w:tc>
      </w:tr>
      <w:tr>
        <w:tc>
          <w:tcPr>
            <w:tcW w:w="0" w:type="auto"/>
          </w:tcPr>
          <w:p>
            <w:pPr>
              <w:spacing w:after="0" w:line="240" w:lineRule="auto"/>
            </w:pPr>
            <w:r>
              <w:rPr>
                <w:b/>
              </w:rPr>
              <w:t xml:space="preserve">G7a</w:t>
            </w:r>
          </w:p>
        </w:tc>
        <w:tc>
          <w:tcPr>
            <w:tcW w:w="0" w:type="auto"/>
          </w:tcPr>
          <w:p>
            <w:pPr>
              <w:spacing w:after="0" w:line="240" w:lineRule="auto"/>
            </w:pPr>
            <w:r>
              <w:t xml:space="preserve">gbXML-Export Stufe 1: schemagültiger Datenexport mit Version 6.01, vollständige Aufbaukette mit Schichtumkehr, Ersatzschichtung samt Kennzeichnung, deterministische Kennungen, Schemaprüfung im Test</w:t>
            </w:r>
          </w:p>
        </w:tc>
        <w:tc>
          <w:tcPr>
            <w:tcW w:w="0" w:type="auto"/>
          </w:tcPr>
          <w:p>
            <w:pPr>
              <w:spacing w:after="0" w:line="240" w:lineRule="auto"/>
            </w:pPr>
            <w:r>
              <w:t xml:space="preserve">vier Proben</w:t>
            </w:r>
          </w:p>
        </w:tc>
        <w:tc>
          <w:tcPr>
            <w:tcW w:w="0" w:type="auto"/>
          </w:tcPr>
          <w:p>
            <w:pPr>
              <w:spacing w:after="0" w:line="240" w:lineRule="auto"/>
            </w:pPr>
            <w:r>
              <w:rPr>
                <w:b/>
              </w:rPr>
              <w:t xml:space="preserve">9–14 PT</w:t>
            </w:r>
          </w:p>
        </w:tc>
      </w:tr>
      <w:tr>
        <w:tc>
          <w:tcPr>
            <w:tcW w:w="0" w:type="auto"/>
          </w:tcPr>
          <w:p>
            <w:pPr>
              <w:spacing w:after="0" w:line="240" w:lineRule="auto"/>
            </w:pPr>
            <w:r>
              <w:rPr>
                <w:b/>
              </w:rPr>
              <w:t xml:space="preserve">G7b</w:t>
            </w:r>
          </w:p>
        </w:tc>
        <w:tc>
          <w:tcPr>
            <w:tcW w:w="0" w:type="auto"/>
          </w:tcPr>
          <w:p>
            <w:pPr>
              <w:spacing w:after="0" w:line="240" w:lineRule="auto"/>
            </w:pPr>
            <w:r>
              <w:t xml:space="preserve">gbXML Stufe 2: synthetische Quadergeometrie </w:t>
            </w:r>
            <w:r>
              <w:rPr>
                <w:b/>
              </w:rPr>
              <w:t xml:space="preserve">aus dem Zonengeometrie-Modell</w:t>
            </w:r>
            <w:r>
              <w:t xml:space="preserve">, kantenschlüssige Polygone, Fenster als Rechtecke, Hülle, Ergebnisse je Zone, Kennzeichnung</w:t>
            </w:r>
          </w:p>
        </w:tc>
        <w:tc>
          <w:tcPr>
            <w:tcW w:w="0" w:type="auto"/>
          </w:tcPr>
          <w:p>
            <w:pPr>
              <w:spacing w:after="0" w:line="240" w:lineRule="auto"/>
            </w:pPr>
            <w:r>
              <w:t xml:space="preserve">eine Probe; Sichtprobe in mindestens einem Zielwerkzeug</w:t>
            </w:r>
          </w:p>
        </w:tc>
        <w:tc>
          <w:tcPr>
            <w:tcW w:w="0" w:type="auto"/>
          </w:tcPr>
          <w:p>
            <w:pPr>
              <w:spacing w:after="0" w:line="240" w:lineRule="auto"/>
            </w:pPr>
            <w:r>
              <w:rPr>
                <w:b/>
              </w:rPr>
              <w:t xml:space="preserve">7–12 PT</w:t>
            </w:r>
          </w:p>
        </w:tc>
      </w:tr>
      <w:tr>
        <w:tc>
          <w:tcPr>
            <w:tcW w:w="0" w:type="auto"/>
          </w:tcPr>
          <w:p>
            <w:pPr>
              <w:spacing w:after="0" w:line="240" w:lineRule="auto"/>
            </w:pPr>
            <w:r>
              <w:rPr>
                <w:b/>
              </w:rPr>
              <w:t xml:space="preserve">G7c</w:t>
            </w:r>
          </w:p>
        </w:tc>
        <w:tc>
          <w:tcPr>
            <w:tcW w:w="0" w:type="auto"/>
          </w:tcPr>
          <w:p>
            <w:pPr>
              <w:spacing w:after="0" w:line="240" w:lineRule="auto"/>
            </w:pPr>
            <w:r>
              <w:t xml:space="preserve">IFC-Export Semantik: Ablauf und Profil, vollständige Abbildung, eigene Eigenschaftssätze, vollständige Einheitenzuweisung für kWh, eigene Kennungs- und Historienerzeugung, Validator, Beipackzettel</w:t>
            </w:r>
          </w:p>
        </w:tc>
        <w:tc>
          <w:tcPr>
            <w:tcW w:w="0" w:type="auto"/>
          </w:tcPr>
          <w:p>
            <w:pPr>
              <w:spacing w:after="0" w:line="240" w:lineRule="auto"/>
            </w:pPr>
            <w:r>
              <w:t xml:space="preserve">sieben Proben; Lizenzhinweisseite vorhanden</w:t>
            </w:r>
          </w:p>
        </w:tc>
        <w:tc>
          <w:tcPr>
            <w:tcW w:w="0" w:type="auto"/>
          </w:tcPr>
          <w:p>
            <w:pPr>
              <w:spacing w:after="0" w:line="240" w:lineRule="auto"/>
            </w:pPr>
            <w:r>
              <w:rPr>
                <w:b/>
              </w:rPr>
              <w:t xml:space="preserve">12–20 PT</w:t>
            </w:r>
          </w:p>
        </w:tc>
      </w:tr>
      <w:tr>
        <w:tc>
          <w:tcPr>
            <w:tcW w:w="0" w:type="auto"/>
          </w:tcPr>
          <w:p>
            <w:pPr>
              <w:spacing w:after="0" w:line="240" w:lineRule="auto"/>
            </w:pPr>
            <w:r>
              <w:rPr>
                <w:b/>
              </w:rPr>
              <w:t xml:space="preserve">G7d</w:t>
            </w:r>
          </w:p>
        </w:tc>
        <w:tc>
          <w:tcPr>
            <w:tcW w:w="0" w:type="auto"/>
          </w:tcPr>
          <w:p>
            <w:pPr>
              <w:spacing w:after="0" w:line="240" w:lineRule="auto"/>
            </w:pPr>
            <w:r>
              <w:t xml:space="preserve">IFC-Round-Trip: Wiederfinden über die Importzuordnung, erneute Dateiwahl mit Hash-Abgleich, Schema- und Protokollsperre, Ergänzen statt Doppeln, neuer Name, eigene Anwendungskennung</w:t>
            </w:r>
          </w:p>
        </w:tc>
        <w:tc>
          <w:tcPr>
            <w:tcW w:w="0" w:type="auto"/>
          </w:tcPr>
          <w:p>
            <w:pPr>
              <w:spacing w:after="0" w:line="240" w:lineRule="auto"/>
            </w:pPr>
            <w:r>
              <w:t xml:space="preserve">eine Probe; </w:t>
            </w:r>
            <w:r>
              <w:rPr>
                <w:b/>
              </w:rPr>
              <w:t xml:space="preserve">vertragliche Frage vorher geklärt</w:t>
            </w:r>
          </w:p>
        </w:tc>
        <w:tc>
          <w:tcPr>
            <w:tcW w:w="0" w:type="auto"/>
          </w:tcPr>
          <w:p>
            <w:pPr>
              <w:spacing w:after="0" w:line="240" w:lineRule="auto"/>
            </w:pPr>
            <w:r>
              <w:rPr>
                <w:b/>
              </w:rPr>
              <w:t xml:space="preserve">6–11 PT</w:t>
            </w:r>
          </w:p>
        </w:tc>
      </w:tr>
      <w:tr>
        <w:tc>
          <w:tcPr>
            <w:tcW w:w="0" w:type="auto"/>
          </w:tcPr>
          <w:p>
            <w:pPr>
              <w:spacing w:after="0" w:line="240" w:lineRule="auto"/>
            </w:pPr>
            <w:r>
              <w:rPr>
                <w:b/>
              </w:rPr>
              <w:t xml:space="preserve">G7e</w:t>
            </w:r>
          </w:p>
        </w:tc>
        <w:tc>
          <w:tcPr>
            <w:tcW w:w="0" w:type="auto"/>
          </w:tcPr>
          <w:p>
            <w:pPr>
              <w:spacing w:after="0" w:line="240" w:lineRule="auto"/>
            </w:pPr>
            <w:r>
              <w:t xml:space="preserve">IFC-Körper: Quader je Zone, Platte je Bauteil </w:t>
            </w:r>
            <w:r>
              <w:rPr>
                <w:b/>
              </w:rPr>
              <w:t xml:space="preserve">aus dem Zonengeometrie-Modell</w:t>
            </w:r>
            <w:r>
              <w:t xml:space="preserve">, Placement-Kette, Azimut als Drehung, Kennzeichnung, Prüfbilder</w:t>
            </w:r>
          </w:p>
        </w:tc>
        <w:tc>
          <w:tcPr>
            <w:tcW w:w="0" w:type="auto"/>
          </w:tcPr>
          <w:p>
            <w:pPr>
              <w:spacing w:after="0" w:line="240" w:lineRule="auto"/>
            </w:pPr>
            <w:r>
              <w:t xml:space="preserve">Probe mit Bildern; Validator grün trotz Placement-Pflicht</w:t>
            </w:r>
          </w:p>
        </w:tc>
        <w:tc>
          <w:tcPr>
            <w:tcW w:w="0" w:type="auto"/>
          </w:tcPr>
          <w:p>
            <w:pPr>
              <w:spacing w:after="0" w:line="240" w:lineRule="auto"/>
            </w:pPr>
            <w:r>
              <w:rPr>
                <w:b/>
              </w:rPr>
              <w:t xml:space="preserve">8–15 PT</w:t>
            </w:r>
          </w:p>
        </w:tc>
      </w:tr>
      <w:tr>
        <w:tc>
          <w:tcPr>
            <w:tcW w:w="0" w:type="auto"/>
          </w:tcPr>
          <w:p>
            <w:pPr>
              <w:spacing w:after="0" w:line="240" w:lineRule="auto"/>
            </w:pPr>
            <w:r>
              <w:rPr>
                <w:b/>
              </w:rPr>
              <w:t xml:space="preserve">Gebäudebetrachter (E11)</w:t>
            </w:r>
          </w:p>
        </w:tc>
        <w:tc>
          <w:tcPr>
            <w:tcW w:w="0" w:type="auto"/>
          </w:tcPr>
          <w:p>
            <w:pPr>
              <w:spacing w:after="0" w:line="240" w:lineRule="auto"/>
            </w:pPr>
            <w:r>
              <w:t xml:space="preserve">Zonengeometrie-Modell im Kern, 2D-Grundriss mit G6c, Körperansicht mit G7b; eine Komponente, Umschalter, three.js lokal, Kennzeichnung „schematisch"</w:t>
            </w:r>
          </w:p>
        </w:tc>
        <w:tc>
          <w:tcPr>
            <w:tcW w:w="0" w:type="auto"/>
          </w:tcPr>
          <w:p>
            <w:pPr>
              <w:spacing w:after="0" w:line="240" w:lineRule="auto"/>
            </w:pPr>
            <w:r>
              <w:t xml:space="preserve">drei Proben; Sichtabnahme Windows und iOS</w:t>
            </w:r>
          </w:p>
        </w:tc>
        <w:tc>
          <w:tcPr>
            <w:tcW w:w="0" w:type="auto"/>
          </w:tcPr>
          <w:p>
            <w:pPr>
              <w:spacing w:after="0" w:line="240" w:lineRule="auto"/>
            </w:pPr>
            <w:r>
              <w:rPr>
                <w:b/>
              </w:rPr>
              <w:t xml:space="preserve">10–17 PT</w:t>
            </w:r>
            <w:r>
              <w:t xml:space="preserve">, davon 6–10 in G6c und 4–7 in G7b</w:t>
            </w:r>
          </w:p>
        </w:tc>
      </w:tr>
    </w:tbl>
    <w:p>
      <w:pPr>
        <w:spacing w:after="120"/>
      </w:pPr>
    </w:p>
    <w:p>
      <w:pPr>
        <w:pStyle w:val="Heading2"/>
      </w:pPr>
      <w:r>
        <w:t xml:space="preserve">11.2 Summen</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Abschnitt</w:t>
            </w:r>
          </w:p>
        </w:tc>
        <w:tc>
          <w:tcPr>
            <w:tcW w:w="0" w:type="auto"/>
            <w:shd w:val="clear" w:color="auto" w:fill="D9D9D9"/>
          </w:tcPr>
          <w:p>
            <w:pPr>
              <w:spacing w:after="0" w:line="240" w:lineRule="auto"/>
              <w:rPr>
                <w:b/>
              </w:rPr>
            </w:pPr>
            <w:r>
              <w:rPr>
                <w:b/>
              </w:rPr>
              <w:t xml:space="preserve">Summe</w:t>
            </w:r>
          </w:p>
        </w:tc>
      </w:tr>
      <w:tr>
        <w:tc>
          <w:tcPr>
            <w:tcW w:w="0" w:type="auto"/>
          </w:tcPr>
          <w:p>
            <w:pPr>
              <w:spacing w:after="0" w:line="240" w:lineRule="auto"/>
            </w:pPr>
            <w:r>
              <w:t xml:space="preserve">G0 + GB</w:t>
            </w:r>
          </w:p>
        </w:tc>
        <w:tc>
          <w:tcPr>
            <w:tcW w:w="0" w:type="auto"/>
          </w:tcPr>
          <w:p>
            <w:pPr>
              <w:spacing w:after="0" w:line="240" w:lineRule="auto"/>
            </w:pPr>
            <w:r>
              <w:t xml:space="preserve">3–6 PT</w:t>
            </w:r>
          </w:p>
        </w:tc>
      </w:tr>
      <w:tr>
        <w:tc>
          <w:tcPr>
            <w:tcW w:w="0" w:type="auto"/>
          </w:tcPr>
          <w:p>
            <w:pPr>
              <w:spacing w:after="0" w:line="240" w:lineRule="auto"/>
            </w:pPr>
            <w:r>
              <w:t xml:space="preserve">bis einschließlich G1 + G2</w:t>
            </w:r>
          </w:p>
        </w:tc>
        <w:tc>
          <w:tcPr>
            <w:tcW w:w="0" w:type="auto"/>
          </w:tcPr>
          <w:p>
            <w:pPr>
              <w:spacing w:after="0" w:line="240" w:lineRule="auto"/>
            </w:pPr>
            <w:r>
              <w:rPr>
                <w:b/>
              </w:rPr>
              <w:t xml:space="preserve">20,5–30,5 PT</w:t>
            </w:r>
          </w:p>
        </w:tc>
      </w:tr>
      <w:tr>
        <w:tc>
          <w:tcPr>
            <w:tcW w:w="0" w:type="auto"/>
          </w:tcPr>
          <w:p>
            <w:pPr>
              <w:spacing w:after="0" w:line="240" w:lineRule="auto"/>
            </w:pPr>
            <w:r>
              <w:t xml:space="preserve">bis G3</w:t>
            </w:r>
          </w:p>
        </w:tc>
        <w:tc>
          <w:tcPr>
            <w:tcW w:w="0" w:type="auto"/>
          </w:tcPr>
          <w:p>
            <w:pPr>
              <w:spacing w:after="0" w:line="240" w:lineRule="auto"/>
            </w:pPr>
            <w:r>
              <w:t xml:space="preserve">28,5–42,5 PT</w:t>
            </w:r>
          </w:p>
        </w:tc>
      </w:tr>
      <w:tr>
        <w:tc>
          <w:tcPr>
            <w:tcW w:w="0" w:type="auto"/>
          </w:tcPr>
          <w:p>
            <w:pPr>
              <w:spacing w:after="0" w:line="240" w:lineRule="auto"/>
            </w:pPr>
            <w:r>
              <w:t xml:space="preserve">bis G4a</w:t>
            </w:r>
          </w:p>
        </w:tc>
        <w:tc>
          <w:tcPr>
            <w:tcW w:w="0" w:type="auto"/>
          </w:tcPr>
          <w:p>
            <w:pPr>
              <w:spacing w:after="0" w:line="240" w:lineRule="auto"/>
            </w:pPr>
            <w:r>
              <w:t xml:space="preserve">42–63,5 PT</w:t>
            </w:r>
          </w:p>
        </w:tc>
      </w:tr>
      <w:tr>
        <w:tc>
          <w:tcPr>
            <w:tcW w:w="0" w:type="auto"/>
          </w:tcPr>
          <w:p>
            <w:pPr>
              <w:spacing w:after="0" w:line="240" w:lineRule="auto"/>
            </w:pPr>
            <w:r>
              <w:t xml:space="preserve">gbXML-Import G4c zusätzlich</w:t>
            </w:r>
          </w:p>
        </w:tc>
        <w:tc>
          <w:tcPr>
            <w:tcW w:w="0" w:type="auto"/>
          </w:tcPr>
          <w:p>
            <w:pPr>
              <w:spacing w:after="0" w:line="240" w:lineRule="auto"/>
            </w:pPr>
            <w:r>
              <w:t xml:space="preserve">17–28 PT</w:t>
            </w:r>
          </w:p>
        </w:tc>
      </w:tr>
      <w:tr>
        <w:tc>
          <w:tcPr>
            <w:tcW w:w="0" w:type="auto"/>
          </w:tcPr>
          <w:p>
            <w:pPr>
              <w:spacing w:after="0" w:line="240" w:lineRule="auto"/>
            </w:pPr>
            <w:r>
              <w:t xml:space="preserve">Mehrzonenmodell G6a bis G6d</w:t>
            </w:r>
          </w:p>
        </w:tc>
        <w:tc>
          <w:tcPr>
            <w:tcW w:w="0" w:type="auto"/>
          </w:tcPr>
          <w:p>
            <w:pPr>
              <w:spacing w:after="0" w:line="240" w:lineRule="auto"/>
            </w:pPr>
            <w:r>
              <w:rPr>
                <w:b/>
              </w:rPr>
              <w:t xml:space="preserve">40–62 PT</w:t>
            </w:r>
            <w:r>
              <w:t xml:space="preserve"> (einschließlich Grundriss aus E11)</w:t>
            </w:r>
          </w:p>
        </w:tc>
      </w:tr>
      <w:tr>
        <w:tc>
          <w:tcPr>
            <w:tcW w:w="0" w:type="auto"/>
          </w:tcPr>
          <w:p>
            <w:pPr>
              <w:spacing w:after="0" w:line="240" w:lineRule="auto"/>
            </w:pPr>
            <w:r>
              <w:t xml:space="preserve">Exporte G7a bis G7e</w:t>
            </w:r>
          </w:p>
        </w:tc>
        <w:tc>
          <w:tcPr>
            <w:tcW w:w="0" w:type="auto"/>
          </w:tcPr>
          <w:p>
            <w:pPr>
              <w:spacing w:after="0" w:line="240" w:lineRule="auto"/>
            </w:pPr>
            <w:r>
              <w:rPr>
                <w:b/>
              </w:rPr>
              <w:t xml:space="preserve">46–79 PT</w:t>
            </w:r>
            <w:r>
              <w:t xml:space="preserve"> (einschließlich Körperansicht aus E11)</w:t>
            </w:r>
          </w:p>
        </w:tc>
      </w:tr>
      <w:tr>
        <w:tc>
          <w:tcPr>
            <w:tcW w:w="0" w:type="auto"/>
          </w:tcPr>
          <w:p>
            <w:pPr>
              <w:spacing w:after="0" w:line="240" w:lineRule="auto"/>
            </w:pPr>
            <w:r>
              <w:t xml:space="preserve">G4c + G7 zusammen</w:t>
            </w:r>
          </w:p>
        </w:tc>
        <w:tc>
          <w:tcPr>
            <w:tcW w:w="0" w:type="auto"/>
          </w:tcPr>
          <w:p>
            <w:pPr>
              <w:spacing w:after="0" w:line="240" w:lineRule="auto"/>
            </w:pPr>
            <w:r>
              <w:t xml:space="preserve">63–107 PT</w:t>
            </w:r>
          </w:p>
        </w:tc>
      </w:tr>
    </w:tbl>
    <w:p>
      <w:pPr>
        <w:spacing w:after="120"/>
      </w:pPr>
    </w:p>
    <w:p>
      <w:r>
        <w:rPr>
          <w:b/>
        </w:rPr>
        <w:t xml:space="preserve">Warum das über dem ersten Konzeptrahmen liegt.</w:t>
      </w:r>
      <w:r>
        <w:t xml:space="preserve"> Das Konzept veranschlagte G1 mit 6–10 PT und G2 mit 3–5 PT. Allein die Oberfläche ist gemessen 8,0 PT, und dazu kommen drei Dinge, die das Konzept nicht kannte: der erste Sichtneubau des SQLite-Zweigs samt Namensleser, die NULL-erhaltende Katalogkopie und die Vorrichtung für nicht ausgelieferte Normzahlen.</w:t>
      </w:r>
    </w:p>
    <w:p>
      <w:pPr>
        <w:pStyle w:val="Heading2"/>
      </w:pPr>
      <w:r>
        <w:t xml:space="preserve">11.3 Reihenfolge</w:t>
      </w:r>
    </w:p>
    <w:p>
      <w:pPr>
        <w:pStyle w:val="Diagrammbild"/>
      </w:pPr>
      <w:r>
        <w:drawing>
          <wp:inline xmlns:wp="http://schemas.openxmlformats.org/drawingml/2006/wordprocessingDrawing" distT="0" distB="0" distL="0" distR="0">
            <wp:extent cx="4071979" cy="7920000"/>
            <wp:effectExtent l="0" t="0" r="0" b="0"/>
            <wp:docPr id="14"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4.png"/>
                    <pic:cNvPicPr/>
                  </pic:nvPicPr>
                  <pic:blipFill>
                    <a:blip xmlns:r="http://schemas.openxmlformats.org/officeDocument/2006/relationships" r:embed="Re0f434f001a84193"/>
                    <a:stretch>
                      <a:fillRect/>
                    </a:stretch>
                  </pic:blipFill>
                  <pic:spPr>
                    <a:xfrm>
                      <a:off x="0" y="0"/>
                      <a:ext cx="4071979" cy="7920000"/>
                    </a:xfrm>
                    <a:prstGeom prst="rect">
                      <a:avLst/>
                    </a:prstGeom>
                  </pic:spPr>
                </pic:pic>
              </a:graphicData>
            </a:graphic>
          </wp:inline>
        </w:drawing>
      </w:r>
    </w:p>
    <w:p>
      <w:pPr>
        <w:pStyle w:val="Bildunterschrift"/>
      </w:pPr>
      <w:r>
        <w:rPr>
          <w:i/>
          <w:iCs/>
        </w:rPr>
        <w:t xml:space="preserve">Bild 14: 11.3 Reihenfolge</w:t>
      </w:r>
    </w:p>
    <w:p>
      <w:r>
        <w:rPr>
          <w:b/>
        </w:rPr>
        <w:t xml:space="preserve">Vier Begründungen der Reihenfolge.</w:t>
      </w:r>
      <w:r>
        <w:t xml:space="preserve"> G0 zuerst, weil ohne bestandene Normtests keine Anbindung sinnvoll ist. GB </w:t>
      </w:r>
      <w:r>
        <w:rPr>
          <w:b/>
        </w:rPr>
        <w:t xml:space="preserve">vor</w:t>
      </w:r>
      <w:r>
        <w:t xml:space="preserve"> G1, damit getrennt nachvollziehbar bleibt, was der Bestand und was das neue Modell verändert hat. </w:t>
      </w:r>
      <w:r>
        <w:rPr>
          <w:b/>
        </w:rPr>
        <w:t xml:space="preserve">Jeder Merge zwischen GB und G1+G2 muss </w:t>
      </w:r>
      <w:r>
        <w:rPr>
          <w:rFonts w:ascii="Consolas" w:hAnsi="Consolas" w:cs="Consolas"/>
          <w:b/>
          <w:noProof/>
          <w:sz w:val="20"/>
          <w:szCs w:val="20"/>
          <w:shd w:val="clear" w:color="auto" w:fill="EFEFEF"/>
        </w:rPr>
        <w:t xml:space="preserve">GESAMT: PASS</w:t>
      </w:r>
      <w:r>
        <w:rPr>
          <w:b/>
        </w:rPr>
        <w:t xml:space="preserve"> melden</w:t>
      </w:r>
      <w:r>
        <w:t xml:space="preserve"> — wer M3 und G1 zusammenlegt, kann hinterher nicht mehr sagen, ob eine Abweichung vom Schema oder vom Modell kommt. Und die Importe stehen hinter G1+G2, weil ein Import in ein Modell, das die Daten nicht nutzt, keinen Gegenstand hat; die </w:t>
      </w:r>
      <w:r>
        <w:rPr>
          <w:b/>
        </w:rPr>
        <w:t xml:space="preserve">Persistenz der Zuordnung gehört in die erste gebaute Importstufe</w:t>
      </w:r>
      <w:r>
        <w:t xml:space="preserve">, egal welche, weil sie nachzurüsten hieße, für alle vorher importierten Gebäude keine Zuordnung zu haben.</w:t>
      </w:r>
    </w:p>
    <w:p>
      <w:pPr>
        <w:pStyle w:val="Heading2"/>
      </w:pPr>
      <w:r>
        <w:t xml:space="preserve">11.4 Die Einfrierschritte und ihre Sperrpunkte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Einfrierschritt</w:t>
            </w:r>
          </w:p>
        </w:tc>
        <w:tc>
          <w:tcPr>
            <w:tcW w:w="0" w:type="auto"/>
            <w:shd w:val="clear" w:color="auto" w:fill="D9D9D9"/>
          </w:tcPr>
          <w:p>
            <w:pPr>
              <w:spacing w:after="0" w:line="240" w:lineRule="auto"/>
              <w:rPr>
                <w:b/>
              </w:rPr>
            </w:pPr>
            <w:r>
              <w:rPr>
                <w:b/>
              </w:rPr>
              <w:t xml:space="preserve">Anlass</w:t>
            </w:r>
          </w:p>
        </w:tc>
        <w:tc>
          <w:tcPr>
            <w:tcW w:w="0" w:type="auto"/>
            <w:shd w:val="clear" w:color="auto" w:fill="D9D9D9"/>
          </w:tcPr>
          <w:p>
            <w:pPr>
              <w:spacing w:after="0" w:line="240" w:lineRule="auto"/>
              <w:rPr>
                <w:b/>
              </w:rPr>
            </w:pPr>
            <w:r>
              <w:rPr>
                <w:b/>
              </w:rPr>
              <w:t xml:space="preserve">Regel, die dabei entsteht</w:t>
            </w:r>
          </w:p>
        </w:tc>
      </w:tr>
      <w:tr>
        <w:tc>
          <w:tcPr>
            <w:tcW w:w="0" w:type="auto"/>
          </w:tcPr>
          <w:p>
            <w:pPr>
              <w:spacing w:after="0" w:line="240" w:lineRule="auto"/>
            </w:pPr>
            <w:r>
              <w:rPr>
                <w:b/>
              </w:rPr>
              <w:t xml:space="preserve">GB</w:t>
            </w:r>
          </w:p>
        </w:tc>
        <w:tc>
          <w:tcPr>
            <w:tcW w:w="0" w:type="auto"/>
          </w:tcPr>
          <w:p>
            <w:pPr>
              <w:spacing w:after="0" w:line="240" w:lineRule="auto"/>
            </w:pPr>
            <w:r>
              <w:t xml:space="preserve">der Gebäudezustand ist heute statisch, das Ergebnis hängt an der Zeilenreihenfolge</w:t>
            </w:r>
          </w:p>
        </w:tc>
        <w:tc>
          <w:tcPr>
            <w:tcW w:w="0" w:type="auto"/>
          </w:tcPr>
          <w:p>
            <w:pPr>
              <w:spacing w:after="0" w:line="240" w:lineRule="auto"/>
            </w:pPr>
            <w:r>
              <w:rPr>
                <w:b/>
              </w:rPr>
              <w:t xml:space="preserve">„gesäte Gebäudedaten"</w:t>
            </w:r>
            <w:r>
              <w:t xml:space="preserve"> der Testdatenbank</w:t>
            </w:r>
          </w:p>
        </w:tc>
      </w:tr>
      <w:tr>
        <w:tc>
          <w:tcPr>
            <w:tcW w:w="0" w:type="auto"/>
          </w:tcPr>
          <w:p>
            <w:pPr>
              <w:spacing w:after="0" w:line="240" w:lineRule="auto"/>
            </w:pPr>
            <w:r>
              <w:rPr>
                <w:b/>
              </w:rPr>
              <w:t xml:space="preserve">G1 + G2</w:t>
            </w:r>
          </w:p>
        </w:tc>
        <w:tc>
          <w:tcPr>
            <w:tcW w:w="0" w:type="auto"/>
          </w:tcPr>
          <w:p>
            <w:pPr>
              <w:spacing w:after="0" w:line="240" w:lineRule="auto"/>
            </w:pPr>
            <w:r>
              <w:t xml:space="preserve">dreizehn Projekte rechnen stündlich</w:t>
            </w:r>
          </w:p>
        </w:tc>
        <w:tc>
          <w:tcPr>
            <w:tcW w:w="0" w:type="auto"/>
          </w:tcPr>
          <w:p>
            <w:pPr>
              <w:spacing w:after="0" w:line="240" w:lineRule="auto"/>
            </w:pPr>
            <w:r>
              <w:t xml:space="preserve">— (die Gebäudedaten-Regel wächst um die fünfzehn neuen Spalten)</w:t>
            </w:r>
          </w:p>
        </w:tc>
      </w:tr>
      <w:tr>
        <w:tc>
          <w:tcPr>
            <w:tcW w:w="0" w:type="auto"/>
          </w:tcPr>
          <w:p>
            <w:pPr>
              <w:spacing w:after="0" w:line="240" w:lineRule="auto"/>
            </w:pPr>
            <w:r>
              <w:rPr>
                <w:b/>
              </w:rPr>
              <w:t xml:space="preserve">G6d</w:t>
            </w:r>
          </w:p>
        </w:tc>
        <w:tc>
          <w:tcPr>
            <w:tcW w:w="0" w:type="auto"/>
          </w:tcPr>
          <w:p>
            <w:pPr>
              <w:spacing w:after="0" w:line="240" w:lineRule="auto"/>
            </w:pPr>
            <w:r>
              <w:t xml:space="preserve">ein Referenzprojekt wird auf Zonen umgestellt</w:t>
            </w:r>
          </w:p>
        </w:tc>
        <w:tc>
          <w:tcPr>
            <w:tcW w:w="0" w:type="auto"/>
          </w:tcPr>
          <w:p>
            <w:pPr>
              <w:spacing w:after="0" w:line="240" w:lineRule="auto"/>
            </w:pPr>
            <w:r>
              <w:rPr>
                <w:b/>
              </w:rPr>
              <w:t xml:space="preserve">„gesäte Zonendaten"</w:t>
            </w:r>
          </w:p>
        </w:tc>
      </w:tr>
      <w:tr>
        <w:tc>
          <w:tcPr>
            <w:tcW w:w="0" w:type="auto"/>
          </w:tcPr>
          <w:p>
            <w:pPr>
              <w:spacing w:after="0" w:line="240" w:lineRule="auto"/>
            </w:pPr>
            <w:r>
              <w:rPr>
                <w:b/>
              </w:rPr>
              <w:t xml:space="preserve">M4</w:t>
            </w:r>
            <w:r>
              <w:t xml:space="preserve"> (ergebnisneutral, aber regelbildend)</w:t>
            </w:r>
          </w:p>
        </w:tc>
        <w:tc>
          <w:tcPr>
            <w:tcW w:w="0" w:type="auto"/>
          </w:tcPr>
          <w:p>
            <w:pPr>
              <w:spacing w:after="0" w:line="240" w:lineRule="auto"/>
            </w:pPr>
            <w:r>
              <w:t xml:space="preserve">die neuen Klimaspalten werden später gelesen</w:t>
            </w:r>
          </w:p>
        </w:tc>
        <w:tc>
          <w:tcPr>
            <w:tcW w:w="0" w:type="auto"/>
          </w:tcPr>
          <w:p>
            <w:pPr>
              <w:spacing w:after="0" w:line="240" w:lineRule="auto"/>
            </w:pPr>
            <w:r>
              <w:rPr>
                <w:b/>
              </w:rPr>
              <w:t xml:space="preserve">„gesäte Klimareihen"</w:t>
            </w:r>
          </w:p>
        </w:tc>
      </w:tr>
    </w:tbl>
    <w:p>
      <w:pPr>
        <w:spacing w:after="120"/>
      </w:pPr>
    </w:p>
    <w:p>
      <w:r>
        <w:t xml:space="preserve">Drei Sperrpunkte tragen die Kette: die </w:t>
      </w:r>
      <w:r>
        <w:rPr>
          <w:b/>
        </w:rPr>
        <w:t xml:space="preserve">NULL-erhaltende Katalogkopie</w:t>
      </w:r>
      <w:r>
        <w:t xml:space="preserve"> als Schritt </w:t>
      </w:r>
      <w:r>
        <w:rPr>
          <w:b/>
        </w:rPr>
        <w:t xml:space="preserve">S-E</w:t>
      </w:r>
      <w:r>
        <w:t xml:space="preserve"> in M3 — ohne sie ist „NULL = Vorgabe" nur eine Behauptung des Papiers, und der Fehler vererbt sich an jede Zone; die </w:t>
      </w:r>
      <w:r>
        <w:rPr>
          <w:b/>
        </w:rPr>
        <w:t xml:space="preserve">Umstellung der Katalogseite samt Rasterprobe</w:t>
      </w:r>
      <w:r>
        <w:t xml:space="preserve"> in G3; und die </w:t>
      </w:r>
      <w:r>
        <w:rPr>
          <w:b/>
        </w:rPr>
        <w:t xml:space="preserve">Lizenzhinweisseite</w:t>
      </w:r>
      <w:r>
        <w:t xml:space="preserve"> vor G4a, ohne die der IFC-Weg nicht auslieferbar ist.</w:t>
      </w:r>
    </w:p>
    <w:p>
      <w:r>
        <w:rPr>
          <w:b/>
        </w:rPr>
        <w:t xml:space="preserve">Einzelheiten:</w:t>
      </w:r>
      <w:r>
        <w:t xml:space="preserve"> </w:t>
      </w:r>
      <w:r>
        <w:rPr>
          <w:rFonts w:ascii="Consolas" w:hAnsi="Consolas" w:cs="Consolas"/>
          <w:noProof/>
          <w:sz w:val="20"/>
          <w:szCs w:val="20"/>
          <w:shd w:val="clear" w:color="auto" w:fill="EFEFEF"/>
        </w:rPr>
        <w:t xml:space="preserve">Dokumentation/aktuell/Umsetzungskonzept_Gebaeudesimulation_VDI6007_EPOS-Plan.md</w:t>
      </w:r>
      <w:r>
        <w:t xml:space="preserve"> (Kapitel 4), </w:t>
      </w:r>
      <w:r>
        <w:rPr>
          <w:rFonts w:ascii="Consolas" w:hAnsi="Consolas" w:cs="Consolas"/>
          <w:noProof/>
          <w:sz w:val="20"/>
          <w:szCs w:val="20"/>
          <w:shd w:val="clear" w:color="auto" w:fill="EFEFEF"/>
        </w:rPr>
        <w:t xml:space="preserve">Dokumentation/aktuell/Konzept_Mehrzonenmodell_IFC_EPOS-Plan.md</w:t>
      </w:r>
      <w:r>
        <w:t xml:space="preserve"> (Kapitel 9), </w:t>
      </w:r>
      <w:r>
        <w:rPr>
          <w:rFonts w:ascii="Consolas" w:hAnsi="Consolas" w:cs="Consolas"/>
          <w:noProof/>
          <w:sz w:val="20"/>
          <w:szCs w:val="20"/>
          <w:shd w:val="clear" w:color="auto" w:fill="EFEFEF"/>
        </w:rPr>
        <w:t xml:space="preserve">Dokumentation/aktuell/Konzept_Datenaustausch_gbXML_IFC_EPOS-Plan.md</w:t>
      </w:r>
      <w:r>
        <w:t xml:space="preserve"> (Kapitel 10) und </w:t>
      </w:r>
      <w:r>
        <w:rPr>
          <w:rFonts w:ascii="Consolas" w:hAnsi="Consolas" w:cs="Consolas"/>
          <w:noProof/>
          <w:sz w:val="20"/>
          <w:szCs w:val="20"/>
          <w:shd w:val="clear" w:color="auto" w:fill="EFEFEF"/>
        </w:rPr>
        <w:t xml:space="preserve">Dokumentation/aktuell/Softwarearchitektur_Gebaeudesimulation_EPOS-Plan.md</w:t>
      </w:r>
      <w:r>
        <w:t xml:space="preserve"> (Kapitel 5).</w:t>
      </w:r>
    </w:p>
    <w:p>
      <w:pPr>
        <w:pStyle w:val="Trennlinie"/>
      </w:pPr>
    </w:p>
    <w:p>
      <w:pPr>
        <w:pStyle w:val="Heading1"/>
      </w:pPr>
      <w:r>
        <w:t xml:space="preserve">12 Offene Entscheide des Anwenders</w:t>
      </w:r>
    </w:p>
    <w:p>
      <w:r>
        <w:t xml:space="preserve">Die Register bleiben dort, wo sie geführt werden; dieses Kapitel fasst sie zusammen. </w:t>
      </w:r>
      <w:r>
        <w:rPr>
          <w:b/>
        </w:rPr>
        <w:t xml:space="preserve">Drei Fragen sperren eine ganze Stufe:</w:t>
      </w:r>
      <w:r>
        <w:t xml:space="preserve"> ohne die Annahme von ADR-004 (A7) hat der gbXML-Import keinen Leseweg, ohne ADR-005 (A8) hat das Mehrzonenmodell keine Kopplung, und ohne den einen Schreibweg im Katalogeditor (A4 = U1) hängen zehn Prüfregeln an drei Schreibstellen. </w:t>
      </w:r>
      <w:r>
        <w:rPr>
          <w:b/>
        </w:rPr>
        <w:t xml:space="preserve">Drei weitere braucht das Datenaustauschkonzept, um beauftragbar zu werden:</w:t>
      </w:r>
      <w:r>
        <w:t xml:space="preserve"> die Reihenfolge der beiden Importe (D1), ob der gbXML-Export ohne Geometrie lohnt (D2) und wer das Gegenüber des IFC-Exports ist (D6).</w:t>
      </w:r>
    </w:p>
    <w:p>
      <w:pPr>
        <w:pStyle w:val="Heading2"/>
      </w:pPr>
      <w:r>
        <w:t xml:space="preserve">12.1 Fragen des Konzepts (Q)</w:t>
      </w:r>
    </w:p>
    <w:p>
      <w:r>
        <w:t xml:space="preserve">Q1, Q2, Q9, Q14, Q16, Q22 und Q23 sind mit E1 bis E10 entschieden. Offen bleiben: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r>
      <w:tr>
        <w:tc>
          <w:tcPr>
            <w:tcW w:w="0" w:type="auto"/>
          </w:tcPr>
          <w:p>
            <w:pPr>
              <w:spacing w:after="0" w:line="240" w:lineRule="auto"/>
            </w:pPr>
            <w:r>
              <w:rPr>
                <w:b/>
              </w:rPr>
              <w:t xml:space="preserve">Q3</w:t>
            </w:r>
          </w:p>
        </w:tc>
        <w:tc>
          <w:tcPr>
            <w:tcW w:w="0" w:type="auto"/>
          </w:tcPr>
          <w:p>
            <w:pPr>
              <w:spacing w:after="0" w:line="240" w:lineRule="auto"/>
            </w:pPr>
            <w:r>
              <w:t xml:space="preserve">Thermische Masse in G1 aus der Bauweise-Klasse mit Aufteilung 0,3 / 0,7 — oder gleich Schichtaufbau?</w:t>
            </w:r>
          </w:p>
        </w:tc>
        <w:tc>
          <w:tcPr>
            <w:tcW w:w="0" w:type="auto"/>
          </w:tcPr>
          <w:p>
            <w:pPr>
              <w:spacing w:after="0" w:line="240" w:lineRule="auto"/>
            </w:pPr>
            <w:r>
              <w:t xml:space="preserve">Klassenweg in G1, gemessen unkritisch mit ≤ 0,1 % Wirkung; Schichtaufbau in G3.</w:t>
            </w:r>
          </w:p>
        </w:tc>
      </w:tr>
      <w:tr>
        <w:tc>
          <w:tcPr>
            <w:tcW w:w="0" w:type="auto"/>
          </w:tcPr>
          <w:p>
            <w:pPr>
              <w:spacing w:after="0" w:line="240" w:lineRule="auto"/>
            </w:pPr>
            <w:r>
              <w:rPr>
                <w:b/>
              </w:rPr>
              <w:t xml:space="preserve">Q4</w:t>
            </w:r>
          </w:p>
        </w:tc>
        <w:tc>
          <w:tcPr>
            <w:tcW w:w="0" w:type="auto"/>
          </w:tcPr>
          <w:p>
            <w:pPr>
              <w:spacing w:after="0" w:line="240" w:lineRule="auto"/>
            </w:pPr>
            <w:r>
              <w:t xml:space="preserve">Erdreich über die harmonische Amplitude als Vorgabe, Keller und Außenluft als Feldwerte?</w:t>
            </w:r>
          </w:p>
        </w:tc>
        <w:tc>
          <w:tcPr>
            <w:tcW w:w="0" w:type="auto"/>
          </w:tcPr>
          <w:p>
            <w:pPr>
              <w:spacing w:after="0" w:line="240" w:lineRule="auto"/>
            </w:pPr>
            <w:r>
              <w:t xml:space="preserve">Ja; der Kalibrierfaktor des Bestands wird nicht nachgebaut.</w:t>
            </w:r>
          </w:p>
        </w:tc>
      </w:tr>
      <w:tr>
        <w:tc>
          <w:tcPr>
            <w:tcW w:w="0" w:type="auto"/>
          </w:tcPr>
          <w:p>
            <w:pPr>
              <w:spacing w:after="0" w:line="240" w:lineRule="auto"/>
            </w:pPr>
            <w:r>
              <w:rPr>
                <w:b/>
              </w:rPr>
              <w:t xml:space="preserve">Q5</w:t>
            </w:r>
          </w:p>
        </w:tc>
        <w:tc>
          <w:tcPr>
            <w:tcW w:w="0" w:type="auto"/>
          </w:tcPr>
          <w:p>
            <w:pPr>
              <w:spacing w:after="0" w:line="240" w:lineRule="auto"/>
            </w:pPr>
            <w:r>
              <w:t xml:space="preserve">Opake Außenbauteile mit Absorption und Abstrahlung schon in G1?</w:t>
            </w:r>
          </w:p>
        </w:tc>
        <w:tc>
          <w:tcPr>
            <w:tcW w:w="0" w:type="auto"/>
          </w:tcPr>
          <w:p>
            <w:pPr>
              <w:spacing w:after="0" w:line="240" w:lineRule="auto"/>
            </w:pPr>
            <w:r>
              <w:t xml:space="preserve">Aus zur Parität mit dem Bestandsweg, Schalter vorhanden, Normformel in G2 nachgerüstet; die pauschale Absenkung um 3 K bleibt verboten.</w:t>
            </w:r>
          </w:p>
        </w:tc>
      </w:tr>
      <w:tr>
        <w:tc>
          <w:tcPr>
            <w:tcW w:w="0" w:type="auto"/>
          </w:tcPr>
          <w:p>
            <w:pPr>
              <w:spacing w:after="0" w:line="240" w:lineRule="auto"/>
            </w:pPr>
            <w:r>
              <w:rPr>
                <w:b/>
              </w:rPr>
              <w:t xml:space="preserve">Q6</w:t>
            </w:r>
          </w:p>
        </w:tc>
        <w:tc>
          <w:tcPr>
            <w:tcW w:w="0" w:type="auto"/>
          </w:tcPr>
          <w:p>
            <w:pPr>
              <w:spacing w:after="0" w:line="240" w:lineRule="auto"/>
            </w:pPr>
            <w:r>
              <w:t xml:space="preserve">Fensterpfad im Netz — Teil des Lüftungszweigs wie im Prototyp oder eigener Oberflächenknoten?</w:t>
            </w:r>
          </w:p>
        </w:tc>
        <w:tc>
          <w:tcPr>
            <w:tcW w:w="0" w:type="auto"/>
          </w:tcPr>
          <w:p>
            <w:pPr>
              <w:spacing w:after="0" w:line="240" w:lineRule="auto"/>
            </w:pPr>
            <w:r>
              <w:t xml:space="preserve">Wie im Prototyp, über drei Testfälle validiert; ein Fensterknoten erst mit G3, als benannte Abweichung geführt.</w:t>
            </w:r>
          </w:p>
        </w:tc>
      </w:tr>
      <w:tr>
        <w:tc>
          <w:tcPr>
            <w:tcW w:w="0" w:type="auto"/>
          </w:tcPr>
          <w:p>
            <w:pPr>
              <w:spacing w:after="0" w:line="240" w:lineRule="auto"/>
            </w:pPr>
            <w:r>
              <w:rPr>
                <w:b/>
              </w:rPr>
              <w:t xml:space="preserve">Q7</w:t>
            </w:r>
          </w:p>
        </w:tc>
        <w:tc>
          <w:tcPr>
            <w:tcW w:w="0" w:type="auto"/>
          </w:tcPr>
          <w:p>
            <w:pPr>
              <w:spacing w:after="0" w:line="240" w:lineRule="auto"/>
            </w:pPr>
            <w:r>
              <w:t xml:space="preserve">Heizleistungsgrenze als Option, und wie stehen die drei Spitzenwerte neben der maximalen Wärmelast?</w:t>
            </w:r>
          </w:p>
        </w:tc>
        <w:tc>
          <w:tcPr>
            <w:tcW w:w="0" w:type="auto"/>
          </w:tcPr>
          <w:p>
            <w:pPr>
              <w:spacing w:after="0" w:line="240" w:lineRule="auto"/>
            </w:pPr>
            <w:r>
              <w:t xml:space="preserve">Option ja mit NULL = unbegrenzt; die maximale Wärmelast bleibt unverändert das Maximum des Kanalsummenvektors, die drei Spitzenwerte treten zusätzlich je Gebäude daneben.</w:t>
            </w:r>
          </w:p>
        </w:tc>
      </w:tr>
      <w:tr>
        <w:tc>
          <w:tcPr>
            <w:tcW w:w="0" w:type="auto"/>
          </w:tcPr>
          <w:p>
            <w:pPr>
              <w:spacing w:after="0" w:line="240" w:lineRule="auto"/>
            </w:pPr>
            <w:r>
              <w:rPr>
                <w:b/>
              </w:rPr>
              <w:t xml:space="preserve">Q8</w:t>
            </w:r>
          </w:p>
        </w:tc>
        <w:tc>
          <w:tcPr>
            <w:tcW w:w="0" w:type="auto"/>
          </w:tcPr>
          <w:p>
            <w:pPr>
              <w:spacing w:after="0" w:line="240" w:lineRule="auto"/>
            </w:pPr>
            <w:r>
              <w:t xml:space="preserve">Kühlung als vierter Kanal?</w:t>
            </w:r>
          </w:p>
        </w:tc>
        <w:tc>
          <w:tcPr>
            <w:tcW w:w="0" w:type="auto"/>
          </w:tcPr>
          <w:p>
            <w:pPr>
              <w:spacing w:after="0" w:line="240" w:lineRule="auto"/>
            </w:pPr>
            <w:r>
              <w:t xml:space="preserve">Nein, informativ — ein Kanal ist ein eigenes Konzept.</w:t>
            </w:r>
          </w:p>
        </w:tc>
      </w:tr>
      <w:tr>
        <w:tc>
          <w:tcPr>
            <w:tcW w:w="0" w:type="auto"/>
          </w:tcPr>
          <w:p>
            <w:pPr>
              <w:spacing w:after="0" w:line="240" w:lineRule="auto"/>
            </w:pPr>
            <w:r>
              <w:rPr>
                <w:b/>
              </w:rPr>
              <w:t xml:space="preserve">Q10</w:t>
            </w:r>
          </w:p>
        </w:tc>
        <w:tc>
          <w:tcPr>
            <w:tcW w:w="0" w:type="auto"/>
          </w:tcPr>
          <w:p>
            <w:pPr>
              <w:spacing w:after="0" w:line="240" w:lineRule="auto"/>
            </w:pPr>
            <w:r>
              <w:t xml:space="preserve">IFC-Import auch auf iOS?</w:t>
            </w:r>
          </w:p>
        </w:tc>
        <w:tc>
          <w:tcPr>
            <w:tcW w:w="0" w:type="auto"/>
          </w:tcPr>
          <w:p>
            <w:pPr>
              <w:spacing w:after="0" w:line="240" w:lineRule="auto"/>
            </w:pPr>
            <w:r>
              <w:t xml:space="preserve">Ja, der Kern-Weg ist plattformfrei; Trimming-Nachweis im iOS-Lauf nach Rückfrage, Größenlimit benannt.</w:t>
            </w:r>
          </w:p>
        </w:tc>
      </w:tr>
      <w:tr>
        <w:tc>
          <w:tcPr>
            <w:tcW w:w="0" w:type="auto"/>
          </w:tcPr>
          <w:p>
            <w:pPr>
              <w:spacing w:after="0" w:line="240" w:lineRule="auto"/>
            </w:pPr>
            <w:r>
              <w:rPr>
                <w:b/>
              </w:rPr>
              <w:t xml:space="preserve">Q11</w:t>
            </w:r>
          </w:p>
        </w:tc>
        <w:tc>
          <w:tcPr>
            <w:tcW w:w="0" w:type="auto"/>
          </w:tcPr>
          <w:p>
            <w:pPr>
              <w:spacing w:after="0" w:line="240" w:lineRule="auto"/>
            </w:pPr>
            <w:r>
              <w:t xml:space="preserve">Pflichtfelder des Imports und Vorgaben je Baualtersklasse?</w:t>
            </w:r>
          </w:p>
        </w:tc>
        <w:tc>
          <w:tcPr>
            <w:tcW w:w="0" w:type="auto"/>
          </w:tcPr>
          <w:p>
            <w:pPr>
              <w:spacing w:after="0" w:line="240" w:lineRule="auto"/>
            </w:pPr>
            <w:r>
              <w:t xml:space="preserve">Nur Wohnfläche und Raumhöhe Pflicht, der Rest Vorgabe mit Herkunftsmarke.</w:t>
            </w:r>
          </w:p>
        </w:tc>
      </w:tr>
      <w:tr>
        <w:tc>
          <w:tcPr>
            <w:tcW w:w="0" w:type="auto"/>
          </w:tcPr>
          <w:p>
            <w:pPr>
              <w:spacing w:after="0" w:line="240" w:lineRule="auto"/>
            </w:pPr>
            <w:r>
              <w:rPr>
                <w:b/>
              </w:rPr>
              <w:t xml:space="preserve">Q12</w:t>
            </w:r>
          </w:p>
        </w:tc>
        <w:tc>
          <w:tcPr>
            <w:tcW w:w="0" w:type="auto"/>
          </w:tcPr>
          <w:p>
            <w:pPr>
              <w:spacing w:after="0" w:line="240" w:lineRule="auto"/>
            </w:pPr>
            <w:r>
              <w:t xml:space="preserve">Eine frei verfügbare Importprobedatei ins Repositorium, andere nur nach Lizenzklärung?</w:t>
            </w:r>
          </w:p>
        </w:tc>
        <w:tc>
          <w:tcPr>
            <w:tcW w:w="0" w:type="auto"/>
          </w:tcPr>
          <w:p>
            <w:pPr>
              <w:spacing w:after="0" w:line="240" w:lineRule="auto"/>
            </w:pPr>
            <w:r>
              <w:t xml:space="preserve">Die frei verfügbare ja mit Quellenvermerk, die übrigen nein, bis die Nutzung geklärt ist.</w:t>
            </w:r>
          </w:p>
        </w:tc>
      </w:tr>
      <w:tr>
        <w:tc>
          <w:tcPr>
            <w:tcW w:w="0" w:type="auto"/>
          </w:tcPr>
          <w:p>
            <w:pPr>
              <w:spacing w:after="0" w:line="240" w:lineRule="auto"/>
            </w:pPr>
            <w:r>
              <w:rPr>
                <w:b/>
              </w:rPr>
              <w:t xml:space="preserve">Q13</w:t>
            </w:r>
          </w:p>
        </w:tc>
        <w:tc>
          <w:tcPr>
            <w:tcW w:w="0" w:type="auto"/>
          </w:tcPr>
          <w:p>
            <w:pPr>
              <w:spacing w:after="0" w:line="240" w:lineRule="auto"/>
            </w:pPr>
            <w:r>
              <w:t xml:space="preserve">gbXML?</w:t>
            </w:r>
          </w:p>
        </w:tc>
        <w:tc>
          <w:tcPr>
            <w:tcW w:w="0" w:type="auto"/>
          </w:tcPr>
          <w:p>
            <w:pPr>
              <w:spacing w:after="0" w:line="240" w:lineRule="auto"/>
            </w:pPr>
            <w:r>
              <w:t xml:space="preserve">Mit E9 überholt: der Import ist Pflicht in G4c, die Exporte sind G7.</w:t>
            </w:r>
          </w:p>
        </w:tc>
      </w:tr>
      <w:tr>
        <w:tc>
          <w:tcPr>
            <w:tcW w:w="0" w:type="auto"/>
          </w:tcPr>
          <w:p>
            <w:pPr>
              <w:spacing w:after="0" w:line="240" w:lineRule="auto"/>
            </w:pPr>
            <w:r>
              <w:rPr>
                <w:b/>
              </w:rPr>
              <w:t xml:space="preserve">Q15</w:t>
            </w:r>
          </w:p>
        </w:tc>
        <w:tc>
          <w:tcPr>
            <w:tcW w:w="0" w:type="auto"/>
          </w:tcPr>
          <w:p>
            <w:pPr>
              <w:spacing w:after="0" w:line="240" w:lineRule="auto"/>
            </w:pPr>
            <w:r>
              <w:t xml:space="preserve">Reihenfolge G0 → G1 → G2 → G3 → G4 → G5, und G0 und G1 als erste Beauftragung?</w:t>
            </w:r>
          </w:p>
        </w:tc>
        <w:tc>
          <w:tcPr>
            <w:tcW w:w="0" w:type="auto"/>
          </w:tcPr>
          <w:p>
            <w:pPr>
              <w:spacing w:after="0" w:line="240" w:lineRule="auto"/>
            </w:pPr>
            <w:r>
              <w:t xml:space="preserve">Ja, G0 zuerst — ohne bestandene Normtests keine Anbindung.</w:t>
            </w:r>
          </w:p>
        </w:tc>
      </w:tr>
      <w:tr>
        <w:tc>
          <w:tcPr>
            <w:tcW w:w="0" w:type="auto"/>
          </w:tcPr>
          <w:p>
            <w:pPr>
              <w:spacing w:after="0" w:line="240" w:lineRule="auto"/>
            </w:pPr>
            <w:r>
              <w:rPr>
                <w:b/>
              </w:rPr>
              <w:t xml:space="preserve">Q17</w:t>
            </w:r>
          </w:p>
        </w:tc>
        <w:tc>
          <w:tcPr>
            <w:tcW w:w="0" w:type="auto"/>
          </w:tcPr>
          <w:p>
            <w:pPr>
              <w:spacing w:after="0" w:line="240" w:lineRule="auto"/>
            </w:pPr>
            <w:r>
              <w:t xml:space="preserve">Verschattungsfaktor und Rahmenanteil als Felder mit Vorgabe je Lage?</w:t>
            </w:r>
          </w:p>
        </w:tc>
        <w:tc>
          <w:tcPr>
            <w:tcW w:w="0" w:type="auto"/>
          </w:tcPr>
          <w:p>
            <w:pPr>
              <w:spacing w:after="0" w:line="240" w:lineRule="auto"/>
            </w:pPr>
            <w:r>
              <w:t xml:space="preserve">Ja — der größte geratene Hebel mit 6,4 %; eine Vorgabe je Baualter erst, wenn das Baujahr vorliegt.</w:t>
            </w:r>
          </w:p>
        </w:tc>
      </w:tr>
      <w:tr>
        <w:tc>
          <w:tcPr>
            <w:tcW w:w="0" w:type="auto"/>
          </w:tcPr>
          <w:p>
            <w:pPr>
              <w:spacing w:after="0" w:line="240" w:lineRule="auto"/>
            </w:pPr>
            <w:r>
              <w:rPr>
                <w:b/>
              </w:rPr>
              <w:t xml:space="preserve">Q18</w:t>
            </w:r>
          </w:p>
        </w:tc>
        <w:tc>
          <w:tcPr>
            <w:tcW w:w="0" w:type="auto"/>
          </w:tcPr>
          <w:p>
            <w:pPr>
              <w:spacing w:after="0" w:line="240" w:lineRule="auto"/>
            </w:pPr>
            <w:r>
              <w:t xml:space="preserve">Harte Plausibilitätsprüfungen im Stundenmodell, im Tagesmodell nur Warnung?</w:t>
            </w:r>
          </w:p>
        </w:tc>
        <w:tc>
          <w:tcPr>
            <w:tcW w:w="0" w:type="auto"/>
          </w:tcPr>
          <w:p>
            <w:pPr>
              <w:spacing w:after="0" w:line="240" w:lineRule="auto"/>
            </w:pPr>
            <w:r>
              <w:t xml:space="preserve">Ja, so — damit die Basis unberührt bleibt.</w:t>
            </w:r>
          </w:p>
        </w:tc>
      </w:tr>
      <w:tr>
        <w:tc>
          <w:tcPr>
            <w:tcW w:w="0" w:type="auto"/>
          </w:tcPr>
          <w:p>
            <w:pPr>
              <w:spacing w:after="0" w:line="240" w:lineRule="auto"/>
            </w:pPr>
            <w:r>
              <w:rPr>
                <w:b/>
              </w:rPr>
              <w:t xml:space="preserve">Q19</w:t>
            </w:r>
          </w:p>
        </w:tc>
        <w:tc>
          <w:tcPr>
            <w:tcW w:w="0" w:type="auto"/>
          </w:tcPr>
          <w:p>
            <w:pPr>
              <w:spacing w:after="0" w:line="240" w:lineRule="auto"/>
            </w:pPr>
            <w:r>
              <w:t xml:space="preserve">Sommerlüftungsregel und Trennung Infiltration/Nutzerlüftung in G2?</w:t>
            </w:r>
          </w:p>
        </w:tc>
        <w:tc>
          <w:tcPr>
            <w:tcW w:w="0" w:type="auto"/>
          </w:tcPr>
          <w:p>
            <w:pPr>
              <w:spacing w:after="0" w:line="240" w:lineRule="auto"/>
            </w:pPr>
            <w:r>
              <w:t xml:space="preserve">Ja, G2 — für die Jahresheizwärme unerheblich, für die Überhitzungskennzahl entscheidend.</w:t>
            </w:r>
          </w:p>
        </w:tc>
      </w:tr>
      <w:tr>
        <w:tc>
          <w:tcPr>
            <w:tcW w:w="0" w:type="auto"/>
          </w:tcPr>
          <w:p>
            <w:pPr>
              <w:spacing w:after="0" w:line="240" w:lineRule="auto"/>
            </w:pPr>
            <w:r>
              <w:rPr>
                <w:b/>
              </w:rPr>
              <w:t xml:space="preserve">Q20</w:t>
            </w:r>
          </w:p>
        </w:tc>
        <w:tc>
          <w:tcPr>
            <w:tcW w:w="0" w:type="auto"/>
          </w:tcPr>
          <w:p>
            <w:pPr>
              <w:spacing w:after="0" w:line="240" w:lineRule="auto"/>
            </w:pPr>
            <w:r>
              <w:t xml:space="preserve">Fassadenstrahlung mit Hay-Davies statt der isotropen Spalten?</w:t>
            </w:r>
          </w:p>
        </w:tc>
        <w:tc>
          <w:tcPr>
            <w:tcW w:w="0" w:type="auto"/>
          </w:tcPr>
          <w:p>
            <w:pPr>
              <w:spacing w:after="0" w:line="240" w:lineRule="auto"/>
            </w:pPr>
            <w:r>
              <w:t xml:space="preserve">Ja — isotrop liegt Nord rund 25 % zu hoch; die Spalten bleiben dem Bestandsweg, die Abweichung ist benannt.</w:t>
            </w:r>
          </w:p>
        </w:tc>
      </w:tr>
      <w:tr>
        <w:tc>
          <w:tcPr>
            <w:tcW w:w="0" w:type="auto"/>
          </w:tcPr>
          <w:p>
            <w:pPr>
              <w:spacing w:after="0" w:line="240" w:lineRule="auto"/>
            </w:pPr>
            <w:r>
              <w:rPr>
                <w:b/>
              </w:rPr>
              <w:t xml:space="preserve">Q21</w:t>
            </w:r>
          </w:p>
        </w:tc>
        <w:tc>
          <w:tcPr>
            <w:tcW w:w="0" w:type="auto"/>
          </w:tcPr>
          <w:p>
            <w:pPr>
              <w:spacing w:after="0" w:line="240" w:lineRule="auto"/>
            </w:pPr>
            <w:r>
              <w:t xml:space="preserve">Eine Zeitbasis (Ortszeit) für das Gebäudemodell, wie PV und Solarthermie?</w:t>
            </w:r>
          </w:p>
        </w:tc>
        <w:tc>
          <w:tcPr>
            <w:tcW w:w="0" w:type="auto"/>
          </w:tcPr>
          <w:p>
            <w:pPr>
              <w:spacing w:after="0" w:line="240" w:lineRule="auto"/>
            </w:pPr>
            <w:r>
              <w:t xml:space="preserve">Ja — das Modell braucht die Tagesmitteltabelle nur für den Wochenendkalender.</w:t>
            </w:r>
          </w:p>
        </w:tc>
      </w:tr>
    </w:tbl>
    <w:p>
      <w:pPr>
        <w:spacing w:after="120"/>
      </w:pPr>
    </w:p>
    <w:p>
      <w:pPr>
        <w:pStyle w:val="Heading2"/>
      </w:pPr>
      <w:r>
        <w:t xml:space="preserve">12.2 Fragen der Umsetzung (U)</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r>
      <w:tr>
        <w:tc>
          <w:tcPr>
            <w:tcW w:w="0" w:type="auto"/>
          </w:tcPr>
          <w:p>
            <w:pPr>
              <w:spacing w:after="0" w:line="240" w:lineRule="auto"/>
            </w:pPr>
            <w:r>
              <w:rPr>
                <w:b/>
              </w:rPr>
              <w:t xml:space="preserve">U1</w:t>
            </w:r>
          </w:p>
        </w:tc>
        <w:tc>
          <w:tcPr>
            <w:tcW w:w="0" w:type="auto"/>
          </w:tcPr>
          <w:p>
            <w:pPr>
              <w:spacing w:after="0" w:line="240" w:lineRule="auto"/>
            </w:pPr>
            <w:r>
              <w:t xml:space="preserve">Bekommt der Katalogeditor </w:t>
            </w:r>
            <w:r>
              <w:rPr>
                <w:b/>
              </w:rPr>
              <w:t xml:space="preserve">einen</w:t>
            </w:r>
            <w:r>
              <w:t xml:space="preserve"> Schreibweg statt der heutigen vier Aus- und Schreibwege — für den Anwender sichtbar?</w:t>
            </w:r>
          </w:p>
        </w:tc>
        <w:tc>
          <w:tcPr>
            <w:tcW w:w="0" w:type="auto"/>
          </w:tcPr>
          <w:p>
            <w:pPr>
              <w:spacing w:after="0" w:line="240" w:lineRule="auto"/>
            </w:pPr>
            <w:r>
              <w:t xml:space="preserve">Ja, mit G1; „Speichern unter…" bleibt als nicht schließender Zweitknopf.</w:t>
            </w:r>
          </w:p>
        </w:tc>
      </w:tr>
      <w:tr>
        <w:tc>
          <w:tcPr>
            <w:tcW w:w="0" w:type="auto"/>
          </w:tcPr>
          <w:p>
            <w:pPr>
              <w:spacing w:after="0" w:line="240" w:lineRule="auto"/>
            </w:pPr>
            <w:r>
              <w:rPr>
                <w:b/>
              </w:rPr>
              <w:t xml:space="preserve">U2</w:t>
            </w:r>
          </w:p>
        </w:tc>
        <w:tc>
          <w:tcPr>
            <w:tcW w:w="0" w:type="auto"/>
          </w:tcPr>
          <w:p>
            <w:pPr>
              <w:spacing w:after="0" w:line="240" w:lineRule="auto"/>
            </w:pPr>
            <w:r>
              <w:t xml:space="preserve">Die Modellparameterfelder im Tagesbilanz-Weg verstecken oder gesperrt zeigen?</w:t>
            </w:r>
          </w:p>
        </w:tc>
        <w:tc>
          <w:tcPr>
            <w:tcW w:w="0" w:type="auto"/>
          </w:tcPr>
          <w:p>
            <w:pPr>
              <w:spacing w:after="0" w:line="240" w:lineRule="auto"/>
            </w:pPr>
            <w:r>
              <w:t xml:space="preserve">Verstecken — sieben graue Felder auf einmal verwirren mehr, als sie erklären; die Herleitungszeile sagt in beiden Stellungen, was gilt.</w:t>
            </w:r>
          </w:p>
        </w:tc>
      </w:tr>
      <w:tr>
        <w:tc>
          <w:tcPr>
            <w:tcW w:w="0" w:type="auto"/>
          </w:tcPr>
          <w:p>
            <w:pPr>
              <w:spacing w:after="0" w:line="240" w:lineRule="auto"/>
            </w:pPr>
            <w:r>
              <w:rPr>
                <w:b/>
              </w:rPr>
              <w:t xml:space="preserve">U3</w:t>
            </w:r>
          </w:p>
        </w:tc>
        <w:tc>
          <w:tcPr>
            <w:tcW w:w="0" w:type="auto"/>
          </w:tcPr>
          <w:p>
            <w:pPr>
              <w:spacing w:after="0" w:line="240" w:lineRule="auto"/>
            </w:pPr>
            <w:r>
              <w:t xml:space="preserve">Platzhalter am Zahlenfeld ergänzen — ein Eingriff in einen Standardbaustein?</w:t>
            </w:r>
          </w:p>
        </w:tc>
        <w:tc>
          <w:tcPr>
            <w:tcW w:w="0" w:type="auto"/>
          </w:tcPr>
          <w:p>
            <w:pPr>
              <w:spacing w:after="0" w:line="240" w:lineRule="auto"/>
            </w:pPr>
            <w:r>
              <w:t xml:space="preserve">Ja, rein additiv; sonst zehn Herleitungszeilen statt zehn Platzhalter.</w:t>
            </w:r>
          </w:p>
        </w:tc>
      </w:tr>
      <w:tr>
        <w:tc>
          <w:tcPr>
            <w:tcW w:w="0" w:type="auto"/>
          </w:tcPr>
          <w:p>
            <w:pPr>
              <w:spacing w:after="0" w:line="240" w:lineRule="auto"/>
            </w:pPr>
            <w:r>
              <w:rPr>
                <w:b/>
              </w:rPr>
              <w:t xml:space="preserve">U4</w:t>
            </w:r>
          </w:p>
        </w:tc>
        <w:tc>
          <w:tcPr>
            <w:tcW w:w="0" w:type="auto"/>
          </w:tcPr>
          <w:p>
            <w:pPr>
              <w:spacing w:after="0" w:line="240" w:lineRule="auto"/>
            </w:pPr>
            <w:r>
              <w:t xml:space="preserve">Ein Glossarabschnitt „Gebäudehülle und Gebäudemodell", </w:t>
            </w:r>
            <w:r>
              <w:rPr>
                <w:b/>
              </w:rPr>
              <w:t xml:space="preserve">bevor</w:t>
            </w:r>
            <w:r>
              <w:t xml:space="preserve"> die 63 englischen Werte geschrieben werden?</w:t>
            </w:r>
          </w:p>
        </w:tc>
        <w:tc>
          <w:tcPr>
            <w:tcW w:w="0" w:type="auto"/>
          </w:tcPr>
          <w:p>
            <w:pPr>
              <w:spacing w:after="0" w:line="240" w:lineRule="auto"/>
            </w:pPr>
            <w:r>
              <w:t xml:space="preserve">Ja — sonst entstehen zwei Übersetzungen desselben Begriffs.</w:t>
            </w:r>
          </w:p>
        </w:tc>
      </w:tr>
      <w:tr>
        <w:tc>
          <w:tcPr>
            <w:tcW w:w="0" w:type="auto"/>
          </w:tcPr>
          <w:p>
            <w:pPr>
              <w:spacing w:after="0" w:line="240" w:lineRule="auto"/>
            </w:pPr>
            <w:r>
              <w:rPr>
                <w:b/>
              </w:rPr>
              <w:t xml:space="preserve">U5</w:t>
            </w:r>
          </w:p>
        </w:tc>
        <w:tc>
          <w:tcPr>
            <w:tcW w:w="0" w:type="auto"/>
          </w:tcPr>
          <w:p>
            <w:pPr>
              <w:spacing w:after="0" w:line="240" w:lineRule="auto"/>
            </w:pPr>
            <w:r>
              <w:t xml:space="preserve">Die beiden Schemaschritte zu </w:t>
            </w:r>
            <w:r>
              <w:rPr>
                <w:b/>
              </w:rPr>
              <w:t xml:space="preserve">einem</w:t>
            </w:r>
            <w:r>
              <w:t xml:space="preserve"> verschmelzen?</w:t>
            </w:r>
          </w:p>
        </w:tc>
        <w:tc>
          <w:tcPr>
            <w:tcW w:w="0" w:type="auto"/>
          </w:tcPr>
          <w:p>
            <w:pPr>
              <w:spacing w:after="0" w:line="240" w:lineRule="auto"/>
            </w:pPr>
            <w:r>
              <w:t xml:space="preserve">Ja — zwei Sichtneubauten hintereinander sind zwei Gelegenheiten, die Definitionen auseinanderlaufen zu lassen; der Klimaschritt bleibt getrennt.</w:t>
            </w:r>
          </w:p>
        </w:tc>
      </w:tr>
      <w:tr>
        <w:tc>
          <w:tcPr>
            <w:tcW w:w="0" w:type="auto"/>
          </w:tcPr>
          <w:p>
            <w:pPr>
              <w:spacing w:after="0" w:line="240" w:lineRule="auto"/>
            </w:pPr>
            <w:r>
              <w:rPr>
                <w:b/>
              </w:rPr>
              <w:t xml:space="preserve">U6</w:t>
            </w:r>
          </w:p>
        </w:tc>
        <w:tc>
          <w:tcPr>
            <w:tcW w:w="0" w:type="auto"/>
          </w:tcPr>
          <w:p>
            <w:pPr>
              <w:spacing w:after="0" w:line="240" w:lineRule="auto"/>
            </w:pPr>
            <w:r>
              <w:t xml:space="preserve">Zeitbezug der Sonnengeometrie: Stundenanfang wie im Bestand oder Stundenmitte wie Blatt 3?</w:t>
            </w:r>
          </w:p>
        </w:tc>
        <w:tc>
          <w:tcPr>
            <w:tcW w:w="0" w:type="auto"/>
          </w:tcPr>
          <w:p>
            <w:pPr>
              <w:spacing w:after="0" w:line="240" w:lineRule="auto"/>
            </w:pPr>
            <w:r>
              <w:t xml:space="preserve">In G1 messen und dann entscheiden, an der einen Stelle im Eingangsbauer.</w:t>
            </w:r>
          </w:p>
        </w:tc>
      </w:tr>
      <w:tr>
        <w:tc>
          <w:tcPr>
            <w:tcW w:w="0" w:type="auto"/>
          </w:tcPr>
          <w:p>
            <w:pPr>
              <w:spacing w:after="0" w:line="240" w:lineRule="auto"/>
            </w:pPr>
            <w:r>
              <w:rPr>
                <w:b/>
              </w:rPr>
              <w:t xml:space="preserve">U7</w:t>
            </w:r>
          </w:p>
        </w:tc>
        <w:tc>
          <w:tcPr>
            <w:tcW w:w="0" w:type="auto"/>
          </w:tcPr>
          <w:p>
            <w:pPr>
              <w:spacing w:after="0" w:line="240" w:lineRule="auto"/>
            </w:pPr>
            <w:r>
              <w:t xml:space="preserve">Wochenendkalender aus der Tagesmitteltabelle wie der Bestand?</w:t>
            </w:r>
          </w:p>
        </w:tc>
        <w:tc>
          <w:tcPr>
            <w:tcW w:w="0" w:type="auto"/>
          </w:tcPr>
          <w:p>
            <w:pPr>
              <w:spacing w:after="0" w:line="240" w:lineRule="auto"/>
            </w:pPr>
            <w:r>
              <w:t xml:space="preserve">Ja — sonst rechnen beide Wege verschiedene Kalender und der Vergleich im Dialog wird ungültig.</w:t>
            </w:r>
          </w:p>
        </w:tc>
      </w:tr>
      <w:tr>
        <w:tc>
          <w:tcPr>
            <w:tcW w:w="0" w:type="auto"/>
          </w:tcPr>
          <w:p>
            <w:pPr>
              <w:spacing w:after="0" w:line="240" w:lineRule="auto"/>
            </w:pPr>
            <w:r>
              <w:rPr>
                <w:b/>
              </w:rPr>
              <w:t xml:space="preserve">U8</w:t>
            </w:r>
          </w:p>
        </w:tc>
        <w:tc>
          <w:tcPr>
            <w:tcW w:w="0" w:type="auto"/>
          </w:tcPr>
          <w:p>
            <w:pPr>
              <w:spacing w:after="0" w:line="240" w:lineRule="auto"/>
            </w:pPr>
            <w:r>
              <w:t xml:space="preserve">Normzahlen als gitignorierte, lokal beizustellende Datei mit schweigenden Testfällen?</w:t>
            </w:r>
          </w:p>
        </w:tc>
        <w:tc>
          <w:tcPr>
            <w:tcW w:w="0" w:type="auto"/>
          </w:tcPr>
          <w:p>
            <w:pPr>
              <w:spacing w:after="0" w:line="240" w:lineRule="auto"/>
            </w:pPr>
            <w:r>
              <w:t xml:space="preserve">Ja — Ausliefern wäre eine Vervielfältigung; die Lücke im Gate gehört ins Protokoll.</w:t>
            </w:r>
          </w:p>
        </w:tc>
      </w:tr>
      <w:tr>
        <w:tc>
          <w:tcPr>
            <w:tcW w:w="0" w:type="auto"/>
          </w:tcPr>
          <w:p>
            <w:pPr>
              <w:spacing w:after="0" w:line="240" w:lineRule="auto"/>
            </w:pPr>
            <w:r>
              <w:rPr>
                <w:b/>
              </w:rPr>
              <w:t xml:space="preserve">U9</w:t>
            </w:r>
          </w:p>
        </w:tc>
        <w:tc>
          <w:tcPr>
            <w:tcW w:w="0" w:type="auto"/>
          </w:tcPr>
          <w:p>
            <w:pPr>
              <w:spacing w:after="0" w:line="240" w:lineRule="auto"/>
            </w:pPr>
            <w:r>
              <w:t xml:space="preserve">Die Grenze von 100 Gebäuden beheben?</w:t>
            </w:r>
          </w:p>
        </w:tc>
        <w:tc>
          <w:tcPr>
            <w:tcW w:w="0" w:type="auto"/>
          </w:tcPr>
          <w:p>
            <w:pPr>
              <w:spacing w:after="0" w:line="240" w:lineRule="auto"/>
            </w:pPr>
            <w:r>
              <w:t xml:space="preserve">Ja, in GB, wo die Schleife ohnehin angefasst wird; ergebnisneutral.</w:t>
            </w:r>
          </w:p>
        </w:tc>
      </w:tr>
      <w:tr>
        <w:tc>
          <w:tcPr>
            <w:tcW w:w="0" w:type="auto"/>
          </w:tcPr>
          <w:p>
            <w:pPr>
              <w:spacing w:after="0" w:line="240" w:lineRule="auto"/>
            </w:pPr>
            <w:r>
              <w:rPr>
                <w:b/>
              </w:rPr>
              <w:t xml:space="preserve">U10</w:t>
            </w:r>
          </w:p>
        </w:tc>
        <w:tc>
          <w:tcPr>
            <w:tcW w:w="0" w:type="auto"/>
          </w:tcPr>
          <w:p>
            <w:pPr>
              <w:spacing w:after="0" w:line="240" w:lineRule="auto"/>
            </w:pPr>
            <w:r>
              <w:t xml:space="preserve">Eine Lizenzhinweisseite im Installationspaket — und gleich für </w:t>
            </w:r>
            <w:r>
              <w:rPr>
                <w:b/>
              </w:rPr>
              <w:t xml:space="preserve">alle</w:t>
            </w:r>
            <w:r>
              <w:t xml:space="preserve"> Fremdanteile?</w:t>
            </w:r>
          </w:p>
        </w:tc>
        <w:tc>
          <w:tcPr>
            <w:tcW w:w="0" w:type="auto"/>
          </w:tcPr>
          <w:p>
            <w:pPr>
              <w:spacing w:after="0" w:line="240" w:lineRule="auto"/>
            </w:pPr>
            <w:r>
              <w:t xml:space="preserve">Ja, mit G4a und für alle, einschließlich three.js; ohne sie ist der IFC-Weg nicht auslieferbar.</w:t>
            </w:r>
          </w:p>
        </w:tc>
      </w:tr>
      <w:tr>
        <w:tc>
          <w:tcPr>
            <w:tcW w:w="0" w:type="auto"/>
          </w:tcPr>
          <w:p>
            <w:pPr>
              <w:spacing w:after="0" w:line="240" w:lineRule="auto"/>
            </w:pPr>
            <w:r>
              <w:rPr>
                <w:b/>
              </w:rPr>
              <w:t xml:space="preserve">U11</w:t>
            </w:r>
          </w:p>
        </w:tc>
        <w:tc>
          <w:tcPr>
            <w:tcW w:w="0" w:type="auto"/>
          </w:tcPr>
          <w:p>
            <w:pPr>
              <w:spacing w:after="0" w:line="240" w:lineRule="auto"/>
            </w:pPr>
            <w:r>
              <w:t xml:space="preserve">Größenlimit für IFC-Dateien oder es versuchen und bei Speichermangel abbrechen?</w:t>
            </w:r>
          </w:p>
        </w:tc>
        <w:tc>
          <w:tcPr>
            <w:tcW w:w="0" w:type="auto"/>
          </w:tcPr>
          <w:p>
            <w:pPr>
              <w:spacing w:after="0" w:line="240" w:lineRule="auto"/>
            </w:pPr>
            <w:r>
              <w:t xml:space="preserve">Benannt ablehnen, nicht versuchen; die iOS-Zahl ist zu </w:t>
            </w:r>
            <w:r>
              <w:rPr>
                <w:b/>
              </w:rPr>
              <w:t xml:space="preserve">messen</w:t>
            </w:r>
            <w:r>
              <w:t xml:space="preserve">, nicht zu schätzen.</w:t>
            </w:r>
          </w:p>
        </w:tc>
      </w:tr>
      <w:tr>
        <w:tc>
          <w:tcPr>
            <w:tcW w:w="0" w:type="auto"/>
          </w:tcPr>
          <w:p>
            <w:pPr>
              <w:spacing w:after="0" w:line="240" w:lineRule="auto"/>
            </w:pPr>
            <w:r>
              <w:rPr>
                <w:b/>
              </w:rPr>
              <w:t xml:space="preserve">U12</w:t>
            </w:r>
          </w:p>
        </w:tc>
        <w:tc>
          <w:tcPr>
            <w:tcW w:w="0" w:type="auto"/>
          </w:tcPr>
          <w:p>
            <w:pPr>
              <w:spacing w:after="0" w:line="240" w:lineRule="auto"/>
            </w:pPr>
            <w:r>
              <w:t xml:space="preserve">Woher die Vorgaben je Baualtersklasse?</w:t>
            </w:r>
          </w:p>
        </w:tc>
        <w:tc>
          <w:tcPr>
            <w:tcW w:w="0" w:type="auto"/>
          </w:tcPr>
          <w:p>
            <w:pPr>
              <w:spacing w:after="0" w:line="240" w:lineRule="auto"/>
            </w:pPr>
            <w:r>
              <w:t xml:space="preserve">Eigene Werte aus dem EPOS-Gebäudekatalog ableiten — lizenzfrei und passend zu den übrigen Vorgaben.</w:t>
            </w:r>
          </w:p>
        </w:tc>
      </w:tr>
      <w:tr>
        <w:tc>
          <w:tcPr>
            <w:tcW w:w="0" w:type="auto"/>
          </w:tcPr>
          <w:p>
            <w:pPr>
              <w:spacing w:after="0" w:line="240" w:lineRule="auto"/>
            </w:pPr>
            <w:r>
              <w:rPr>
                <w:b/>
              </w:rPr>
              <w:t xml:space="preserve">U13</w:t>
            </w:r>
          </w:p>
        </w:tc>
        <w:tc>
          <w:tcPr>
            <w:tcW w:w="0" w:type="auto"/>
          </w:tcPr>
          <w:p>
            <w:pPr>
              <w:spacing w:after="0" w:line="240" w:lineRule="auto"/>
            </w:pPr>
            <w:r>
              <w:t xml:space="preserve">Mehrere Gebäude in einer Datei: Klappliste und eines je Lauf, oder alle auf einmal?</w:t>
            </w:r>
          </w:p>
        </w:tc>
        <w:tc>
          <w:tcPr>
            <w:tcW w:w="0" w:type="auto"/>
          </w:tcPr>
          <w:p>
            <w:pPr>
              <w:spacing w:after="0" w:line="240" w:lineRule="auto"/>
            </w:pPr>
            <w:r>
              <w:t xml:space="preserve">Eines je Lauf — „alle auf einmal" zöge die Dublettenlogik des Katalogimports nach.</w:t>
            </w:r>
          </w:p>
        </w:tc>
      </w:tr>
      <w:tr>
        <w:tc>
          <w:tcPr>
            <w:tcW w:w="0" w:type="auto"/>
          </w:tcPr>
          <w:p>
            <w:pPr>
              <w:spacing w:after="0" w:line="240" w:lineRule="auto"/>
            </w:pPr>
            <w:r>
              <w:rPr>
                <w:b/>
              </w:rPr>
              <w:t xml:space="preserve">U14</w:t>
            </w:r>
          </w:p>
        </w:tc>
        <w:tc>
          <w:tcPr>
            <w:tcW w:w="0" w:type="auto"/>
          </w:tcPr>
          <w:p>
            <w:pPr>
              <w:spacing w:after="0" w:line="240" w:lineRule="auto"/>
            </w:pPr>
            <w:r>
              <w:t xml:space="preserve">Fensterabzug von der Wandfläche oder Öffnungen in der Bruttofläche belassen?</w:t>
            </w:r>
          </w:p>
        </w:tc>
        <w:tc>
          <w:tcPr>
            <w:tcW w:w="0" w:type="auto"/>
          </w:tcPr>
          <w:p>
            <w:pPr>
              <w:spacing w:after="0" w:line="240" w:lineRule="auto"/>
            </w:pPr>
            <w:r>
              <w:t xml:space="preserve">Abziehen — ohne Abzug zählt die Öffnung zweimal; wird die Differenz negativ, greift die Nettofläche, sonst Warnung und null.</w:t>
            </w:r>
          </w:p>
        </w:tc>
      </w:tr>
      <w:tr>
        <w:tc>
          <w:tcPr>
            <w:tcW w:w="0" w:type="auto"/>
          </w:tcPr>
          <w:p>
            <w:pPr>
              <w:spacing w:after="0" w:line="240" w:lineRule="auto"/>
            </w:pPr>
            <w:r>
              <w:rPr>
                <w:b/>
              </w:rPr>
              <w:t xml:space="preserve">U15</w:t>
            </w:r>
          </w:p>
        </w:tc>
        <w:tc>
          <w:tcPr>
            <w:tcW w:w="0" w:type="auto"/>
          </w:tcPr>
          <w:p>
            <w:pPr>
              <w:spacing w:after="0" w:line="240" w:lineRule="auto"/>
            </w:pPr>
            <w:r>
              <w:t xml:space="preserve">Wärmebrücken beim Import als Vorgabe setzen oder leer lassen?</w:t>
            </w:r>
          </w:p>
        </w:tc>
        <w:tc>
          <w:tcPr>
            <w:tcW w:w="0" w:type="auto"/>
          </w:tcPr>
          <w:p>
            <w:pPr>
              <w:spacing w:after="0" w:line="240" w:lineRule="auto"/>
            </w:pPr>
            <w:r>
              <w:t xml:space="preserve">ψ als Vorgabe, Längen leer — eine geratene Anschlusslänge sähe aus wie eine gemessene.</w:t>
            </w:r>
          </w:p>
        </w:tc>
      </w:tr>
      <w:tr>
        <w:tc>
          <w:tcPr>
            <w:tcW w:w="0" w:type="auto"/>
          </w:tcPr>
          <w:p>
            <w:pPr>
              <w:spacing w:after="0" w:line="240" w:lineRule="auto"/>
            </w:pPr>
            <w:r>
              <w:rPr>
                <w:b/>
              </w:rPr>
              <w:t xml:space="preserve">U16</w:t>
            </w:r>
          </w:p>
        </w:tc>
        <w:tc>
          <w:tcPr>
            <w:tcW w:w="0" w:type="auto"/>
          </w:tcPr>
          <w:p>
            <w:pPr>
              <w:spacing w:after="0" w:line="240" w:lineRule="auto"/>
            </w:pPr>
            <w:r>
              <w:t xml:space="preserve">Dauerhafter Gerätebau im iOS-Workflow oder einmaliger Nachweis von Hand?</w:t>
            </w:r>
          </w:p>
        </w:tc>
        <w:tc>
          <w:tcPr>
            <w:tcW w:w="0" w:type="auto"/>
          </w:tcPr>
          <w:p>
            <w:pPr>
              <w:spacing w:after="0" w:line="240" w:lineRule="auto"/>
            </w:pPr>
            <w:r>
              <w:t xml:space="preserve">Einmaliger Nachweis nach Rückfrage; ein dauerhafter Zweig verdoppelt die Laufzeit eines zehnfach zählenden Workflows.</w:t>
            </w:r>
          </w:p>
        </w:tc>
      </w:tr>
    </w:tbl>
    <w:p>
      <w:pPr>
        <w:spacing w:after="120"/>
      </w:pPr>
    </w:p>
    <w:p>
      <w:pPr>
        <w:pStyle w:val="Heading2"/>
      </w:pPr>
      <w:r>
        <w:t xml:space="preserve">12.3 Fragen des Mehrzonenmodells (M)</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r>
      <w:tr>
        <w:tc>
          <w:tcPr>
            <w:tcW w:w="0" w:type="auto"/>
          </w:tcPr>
          <w:p>
            <w:pPr>
              <w:spacing w:after="0" w:line="240" w:lineRule="auto"/>
            </w:pPr>
            <w:r>
              <w:rPr>
                <w:b/>
              </w:rPr>
              <w:t xml:space="preserve">M1</w:t>
            </w:r>
          </w:p>
        </w:tc>
        <w:tc>
          <w:tcPr>
            <w:tcW w:w="0" w:type="auto"/>
          </w:tcPr>
          <w:p>
            <w:pPr>
              <w:spacing w:after="0" w:line="240" w:lineRule="auto"/>
            </w:pPr>
            <w:r>
              <w:t xml:space="preserve">Kopplungsweg: Vorstunde, Gauß-Seidel oder Gesamtsystem?</w:t>
            </w:r>
          </w:p>
        </w:tc>
        <w:tc>
          <w:tcPr>
            <w:tcW w:w="0" w:type="auto"/>
          </w:tcPr>
          <w:p>
            <w:pPr>
              <w:spacing w:after="0" w:line="240" w:lineRule="auto"/>
            </w:pPr>
            <w:r>
              <w:t xml:space="preserve">Gauß-Seidel, mit der Vorstunde als Vergleichsrechnung und dem Gesamtsystem für zwei Zonen als Prüforakel; die Wahl wird </w:t>
            </w:r>
            <w:r>
              <w:rPr>
                <w:b/>
              </w:rPr>
              <w:t xml:space="preserve">gemessen</w:t>
            </w:r>
            <w:r>
              <w:t xml:space="preserve"> bestätigt, nicht vorausgesetzt.</w:t>
            </w:r>
          </w:p>
        </w:tc>
      </w:tr>
      <w:tr>
        <w:tc>
          <w:tcPr>
            <w:tcW w:w="0" w:type="auto"/>
          </w:tcPr>
          <w:p>
            <w:pPr>
              <w:spacing w:after="0" w:line="240" w:lineRule="auto"/>
            </w:pPr>
            <w:r>
              <w:rPr>
                <w:b/>
              </w:rPr>
              <w:t xml:space="preserve">M2</w:t>
            </w:r>
          </w:p>
        </w:tc>
        <w:tc>
          <w:tcPr>
            <w:tcW w:w="0" w:type="auto"/>
          </w:tcPr>
          <w:p>
            <w:pPr>
              <w:spacing w:after="0" w:line="240" w:lineRule="auto"/>
            </w:pPr>
            <w:r>
              <w:t xml:space="preserve">Raumseitenmaß oder Bruttomaß beim Import?</w:t>
            </w:r>
          </w:p>
        </w:tc>
        <w:tc>
          <w:tcPr>
            <w:tcW w:w="0" w:type="auto"/>
          </w:tcPr>
          <w:p>
            <w:pPr>
              <w:spacing w:after="0" w:line="240" w:lineRule="auto"/>
            </w:pPr>
            <w:r>
              <w:t xml:space="preserve">Raumseitenmaß durchhalten und im Dialog benennen; die Abweichung von der Bemaßungsregel des Einzonenmodells ist ein Entscheid, der Abstand wird vorher beziffert.</w:t>
            </w:r>
          </w:p>
        </w:tc>
      </w:tr>
      <w:tr>
        <w:tc>
          <w:tcPr>
            <w:tcW w:w="0" w:type="auto"/>
          </w:tcPr>
          <w:p>
            <w:pPr>
              <w:spacing w:after="0" w:line="240" w:lineRule="auto"/>
            </w:pPr>
            <w:r>
              <w:rPr>
                <w:b/>
              </w:rPr>
              <w:t xml:space="preserve">M3</w:t>
            </w:r>
          </w:p>
        </w:tc>
        <w:tc>
          <w:tcPr>
            <w:tcW w:w="0" w:type="auto"/>
          </w:tcPr>
          <w:p>
            <w:pPr>
              <w:spacing w:after="0" w:line="240" w:lineRule="auto"/>
            </w:pPr>
            <w:r>
              <w:t xml:space="preserve">Gilt die 4-K-Regel als feste Vorgabe oder je Trennfläche übersteuerbar?</w:t>
            </w:r>
          </w:p>
        </w:tc>
        <w:tc>
          <w:tcPr>
            <w:tcW w:w="0" w:type="auto"/>
          </w:tcPr>
          <w:p>
            <w:pPr>
              <w:spacing w:after="0" w:line="240" w:lineRule="auto"/>
            </w:pPr>
            <w:r>
              <w:t xml:space="preserve">Vorgabe mit Übersteuerung je Trennfläche, gemessen an den gerechneten Raumkonditionen eines adiabaten Vorlaufs; die Zuordnung fällt einmal vor dem Lauf, nie während.</w:t>
            </w:r>
          </w:p>
        </w:tc>
      </w:tr>
      <w:tr>
        <w:tc>
          <w:tcPr>
            <w:tcW w:w="0" w:type="auto"/>
          </w:tcPr>
          <w:p>
            <w:pPr>
              <w:spacing w:after="0" w:line="240" w:lineRule="auto"/>
            </w:pPr>
            <w:r>
              <w:rPr>
                <w:b/>
              </w:rPr>
              <w:t xml:space="preserve">M4</w:t>
            </w:r>
          </w:p>
        </w:tc>
        <w:tc>
          <w:tcPr>
            <w:tcW w:w="0" w:type="auto"/>
          </w:tcPr>
          <w:p>
            <w:pPr>
              <w:spacing w:after="0" w:line="240" w:lineRule="auto"/>
            </w:pPr>
            <w:r>
              <w:t xml:space="preserve">Kommt der Zonen-Luftaustausch in G6 oder später?</w:t>
            </w:r>
          </w:p>
        </w:tc>
        <w:tc>
          <w:tcPr>
            <w:tcW w:w="0" w:type="auto"/>
          </w:tcPr>
          <w:p>
            <w:pPr>
              <w:spacing w:after="0" w:line="240" w:lineRule="auto"/>
            </w:pPr>
            <w:r>
              <w:t xml:space="preserve">In G6b — ohne ihn sind Treppenhaus und offene Küche nicht darstellbar, und er ist der Grund gegen die Vorstundenkopplung.</w:t>
            </w:r>
          </w:p>
        </w:tc>
      </w:tr>
      <w:tr>
        <w:tc>
          <w:tcPr>
            <w:tcW w:w="0" w:type="auto"/>
          </w:tcPr>
          <w:p>
            <w:pPr>
              <w:spacing w:after="0" w:line="240" w:lineRule="auto"/>
            </w:pPr>
            <w:r>
              <w:rPr>
                <w:b/>
              </w:rPr>
              <w:t xml:space="preserve">M5</w:t>
            </w:r>
          </w:p>
        </w:tc>
        <w:tc>
          <w:tcPr>
            <w:tcW w:w="0" w:type="auto"/>
          </w:tcPr>
          <w:p>
            <w:pPr>
              <w:spacing w:after="0" w:line="240" w:lineRule="auto"/>
            </w:pPr>
            <w:r>
              <w:t xml:space="preserve">Bekommen unbeheizte Zonen eigene Zeilen im Bedarfsdialog?</w:t>
            </w:r>
          </w:p>
        </w:tc>
        <w:tc>
          <w:tcPr>
            <w:tcW w:w="0" w:type="auto"/>
          </w:tcPr>
          <w:p>
            <w:pPr>
              <w:spacing w:after="0" w:line="240" w:lineRule="auto"/>
            </w:pPr>
            <w:r>
              <w:t xml:space="preserve">Ja — ohne Zeile ist die Kellertemperatur unsichtbar, und sie ist der fachliche Gewinn.</w:t>
            </w:r>
          </w:p>
        </w:tc>
      </w:tr>
      <w:tr>
        <w:tc>
          <w:tcPr>
            <w:tcW w:w="0" w:type="auto"/>
          </w:tcPr>
          <w:p>
            <w:pPr>
              <w:spacing w:after="0" w:line="240" w:lineRule="auto"/>
            </w:pPr>
            <w:r>
              <w:rPr>
                <w:b/>
              </w:rPr>
              <w:t xml:space="preserve">M6</w:t>
            </w:r>
          </w:p>
        </w:tc>
        <w:tc>
          <w:tcPr>
            <w:tcW w:w="0" w:type="auto"/>
          </w:tcPr>
          <w:p>
            <w:pPr>
              <w:spacing w:after="0" w:line="240" w:lineRule="auto"/>
            </w:pPr>
            <w:r>
              <w:t xml:space="preserve">Vorlauf 30 Tage mit Konvergenzprobe oder fest 90 Tage?</w:t>
            </w:r>
          </w:p>
        </w:tc>
        <w:tc>
          <w:tcPr>
            <w:tcW w:w="0" w:type="auto"/>
          </w:tcPr>
          <w:p>
            <w:pPr>
              <w:spacing w:after="0" w:line="240" w:lineRule="auto"/>
            </w:pPr>
            <w:r>
              <w:t xml:space="preserve">30 Tage mit Probe; feste 90 Tage kosten Rechenzeit ohne Aussage bei leichten Gebäuden.</w:t>
            </w:r>
          </w:p>
        </w:tc>
      </w:tr>
      <w:tr>
        <w:tc>
          <w:tcPr>
            <w:tcW w:w="0" w:type="auto"/>
          </w:tcPr>
          <w:p>
            <w:pPr>
              <w:spacing w:after="0" w:line="240" w:lineRule="auto"/>
            </w:pPr>
            <w:r>
              <w:rPr>
                <w:b/>
              </w:rPr>
              <w:t xml:space="preserve">M7</w:t>
            </w:r>
          </w:p>
        </w:tc>
        <w:tc>
          <w:tcPr>
            <w:tcW w:w="0" w:type="auto"/>
          </w:tcPr>
          <w:p>
            <w:pPr>
              <w:spacing w:after="0" w:line="240" w:lineRule="auto"/>
            </w:pPr>
            <w:r>
              <w:t xml:space="preserve">Zonenregel als Vorgabe beim Import: je Geschoss oder stets eine Zone?</w:t>
            </w:r>
          </w:p>
        </w:tc>
        <w:tc>
          <w:tcPr>
            <w:tcW w:w="0" w:type="auto"/>
          </w:tcPr>
          <w:p>
            <w:pPr>
              <w:spacing w:after="0" w:line="240" w:lineRule="auto"/>
            </w:pPr>
            <w:r>
              <w:t xml:space="preserve">Je Geschoss mit Rückfall auf eine Zone; bei fehlenden Grenzen ist der Rückfall zwingend.</w:t>
            </w:r>
          </w:p>
        </w:tc>
      </w:tr>
      <w:tr>
        <w:tc>
          <w:tcPr>
            <w:tcW w:w="0" w:type="auto"/>
          </w:tcPr>
          <w:p>
            <w:pPr>
              <w:spacing w:after="0" w:line="240" w:lineRule="auto"/>
            </w:pPr>
            <w:r>
              <w:rPr>
                <w:b/>
              </w:rPr>
              <w:t xml:space="preserve">M8</w:t>
            </w:r>
          </w:p>
        </w:tc>
        <w:tc>
          <w:tcPr>
            <w:tcW w:w="0" w:type="auto"/>
          </w:tcPr>
          <w:p>
            <w:pPr>
              <w:spacing w:after="0" w:line="240" w:lineRule="auto"/>
            </w:pPr>
            <w:r>
              <w:t xml:space="preserve">Mindestgröße einer Zone?</w:t>
            </w:r>
          </w:p>
        </w:tc>
        <w:tc>
          <w:tcPr>
            <w:tcW w:w="0" w:type="auto"/>
          </w:tcPr>
          <w:p>
            <w:pPr>
              <w:spacing w:after="0" w:line="240" w:lineRule="auto"/>
            </w:pPr>
            <w:r>
              <w:t xml:space="preserve">Ja, das Größere aus 2 m² und 2 %, mit Zuschlag zum Nachbarn mit der größten gemeinsamen Grenzfläche.</w:t>
            </w:r>
          </w:p>
        </w:tc>
      </w:tr>
      <w:tr>
        <w:tc>
          <w:tcPr>
            <w:tcW w:w="0" w:type="auto"/>
          </w:tcPr>
          <w:p>
            <w:pPr>
              <w:spacing w:after="0" w:line="240" w:lineRule="auto"/>
            </w:pPr>
            <w:r>
              <w:rPr>
                <w:b/>
              </w:rPr>
              <w:t xml:space="preserve">M9</w:t>
            </w:r>
          </w:p>
        </w:tc>
        <w:tc>
          <w:tcPr>
            <w:tcW w:w="0" w:type="auto"/>
          </w:tcPr>
          <w:p>
            <w:pPr>
              <w:spacing w:after="0" w:line="240" w:lineRule="auto"/>
            </w:pPr>
            <w:r>
              <w:t xml:space="preserve">Synonymtabelle in der Auslieferung oder je Projekt?</w:t>
            </w:r>
          </w:p>
        </w:tc>
        <w:tc>
          <w:tcPr>
            <w:tcW w:w="0" w:type="auto"/>
          </w:tcPr>
          <w:p>
            <w:pPr>
              <w:spacing w:after="0" w:line="240" w:lineRule="auto"/>
            </w:pPr>
            <w:r>
              <w:t xml:space="preserve">Auslieferung — die Namen der Autorensysteme wiederholen sich projektübergreifend; Projektzuordnungen ergänzen sie.</w:t>
            </w:r>
          </w:p>
        </w:tc>
      </w:tr>
      <w:tr>
        <w:tc>
          <w:tcPr>
            <w:tcW w:w="0" w:type="auto"/>
          </w:tcPr>
          <w:p>
            <w:pPr>
              <w:spacing w:after="0" w:line="240" w:lineRule="auto"/>
            </w:pPr>
            <w:r>
              <w:rPr>
                <w:b/>
              </w:rPr>
              <w:t xml:space="preserve">M10</w:t>
            </w:r>
          </w:p>
        </w:tc>
        <w:tc>
          <w:tcPr>
            <w:tcW w:w="0" w:type="auto"/>
          </w:tcPr>
          <w:p>
            <w:pPr>
              <w:spacing w:after="0" w:line="240" w:lineRule="auto"/>
            </w:pPr>
            <w:r>
              <w:t xml:space="preserve">Große Testdateien ins Repositorium?</w:t>
            </w:r>
          </w:p>
        </w:tc>
        <w:tc>
          <w:tcPr>
            <w:tcW w:w="0" w:type="auto"/>
          </w:tcPr>
          <w:p>
            <w:pPr>
              <w:spacing w:after="0" w:line="240" w:lineRule="auto"/>
            </w:pPr>
            <w:r>
              <w:t xml:space="preserve">Nur mit der LFS-Zeile im selben Schritt und einem Vermerk in der Liesmich; die Lizenz einer abgeleiteten Fassung ist vorher nachzufragen.</w:t>
            </w:r>
          </w:p>
        </w:tc>
      </w:tr>
      <w:tr>
        <w:tc>
          <w:tcPr>
            <w:tcW w:w="0" w:type="auto"/>
          </w:tcPr>
          <w:p>
            <w:pPr>
              <w:spacing w:after="0" w:line="240" w:lineRule="auto"/>
            </w:pPr>
            <w:r>
              <w:rPr>
                <w:b/>
              </w:rPr>
              <w:t xml:space="preserve">M11</w:t>
            </w:r>
          </w:p>
        </w:tc>
        <w:tc>
          <w:tcPr>
            <w:tcW w:w="0" w:type="auto"/>
          </w:tcPr>
          <w:p>
            <w:pPr>
              <w:spacing w:after="0" w:line="240" w:lineRule="auto"/>
            </w:pPr>
            <w:r>
              <w:t xml:space="preserve">Referenzprojekt mit Zonen: bestehendes umstellen oder ein vierzehntes anlegen?</w:t>
            </w:r>
          </w:p>
        </w:tc>
        <w:tc>
          <w:tcPr>
            <w:tcW w:w="0" w:type="auto"/>
          </w:tcPr>
          <w:p>
            <w:pPr>
              <w:spacing w:after="0" w:line="240" w:lineRule="auto"/>
            </w:pPr>
            <w:r>
              <w:t xml:space="preserve">Bestehendes umstellen — ein vierzehntes Projekt verlängert jeden CI-Lauf dauerhaft.</w:t>
            </w:r>
          </w:p>
        </w:tc>
      </w:tr>
      <w:tr>
        <w:tc>
          <w:tcPr>
            <w:tcW w:w="0" w:type="auto"/>
          </w:tcPr>
          <w:p>
            <w:pPr>
              <w:spacing w:after="0" w:line="240" w:lineRule="auto"/>
            </w:pPr>
            <w:r>
              <w:rPr>
                <w:b/>
              </w:rPr>
              <w:t xml:space="preserve">M12</w:t>
            </w:r>
          </w:p>
        </w:tc>
        <w:tc>
          <w:tcPr>
            <w:tcW w:w="0" w:type="auto"/>
          </w:tcPr>
          <w:p>
            <w:pPr>
              <w:spacing w:after="0" w:line="240" w:lineRule="auto"/>
            </w:pPr>
            <w:r>
              <w:t xml:space="preserve">Obergrenze 50 Zonen je Gebäude — und wie hart?</w:t>
            </w:r>
          </w:p>
        </w:tc>
        <w:tc>
          <w:tcPr>
            <w:tcW w:w="0" w:type="auto"/>
          </w:tcPr>
          <w:p>
            <w:pPr>
              <w:spacing w:after="0" w:line="240" w:lineRule="auto"/>
            </w:pPr>
            <w:r>
              <w:t xml:space="preserve">Vorgabe 50, im Import Warnung mit Rückfrage, in der Rechnung benannte Ablehnung; die Zahl bleibt offen, bis die Laufzeit an einem echten Mehrzonengebäude gemessen ist.</w:t>
            </w:r>
          </w:p>
        </w:tc>
      </w:tr>
      <w:tr>
        <w:tc>
          <w:tcPr>
            <w:tcW w:w="0" w:type="auto"/>
          </w:tcPr>
          <w:p>
            <w:pPr>
              <w:spacing w:after="0" w:line="240" w:lineRule="auto"/>
            </w:pPr>
            <w:r>
              <w:rPr>
                <w:b/>
              </w:rPr>
              <w:t xml:space="preserve">M13</w:t>
            </w:r>
          </w:p>
        </w:tc>
        <w:tc>
          <w:tcPr>
            <w:tcW w:w="0" w:type="auto"/>
          </w:tcPr>
          <w:p>
            <w:pPr>
              <w:spacing w:after="0" w:line="240" w:lineRule="auto"/>
            </w:pPr>
            <w:r>
              <w:t xml:space="preserve">Wie weit soll die Rekonstruktion fehlender Grenzflächenpaare gehen?</w:t>
            </w:r>
          </w:p>
        </w:tc>
        <w:tc>
          <w:tcPr>
            <w:tcW w:w="0" w:type="auto"/>
          </w:tcPr>
          <w:p>
            <w:pPr>
              <w:spacing w:after="0" w:line="240" w:lineRule="auto"/>
            </w:pPr>
            <w:r>
              <w:t xml:space="preserve">Vollständig — die magere Alternative schlösse die einzige lizenzfreie kleine Referenzdatei aus.</w:t>
            </w:r>
          </w:p>
        </w:tc>
      </w:tr>
      <w:tr>
        <w:tc>
          <w:tcPr>
            <w:tcW w:w="0" w:type="auto"/>
          </w:tcPr>
          <w:p>
            <w:pPr>
              <w:spacing w:after="0" w:line="240" w:lineRule="auto"/>
            </w:pPr>
            <w:r>
              <w:rPr>
                <w:b/>
              </w:rPr>
              <w:t xml:space="preserve">M14</w:t>
            </w:r>
          </w:p>
        </w:tc>
        <w:tc>
          <w:tcPr>
            <w:tcW w:w="0" w:type="auto"/>
          </w:tcPr>
          <w:p>
            <w:pPr>
              <w:spacing w:after="0" w:line="240" w:lineRule="auto"/>
            </w:pPr>
            <w:r>
              <w:t xml:space="preserve">Wird die Projektkopie des Baustoffkatalogs gebraucht, oder genügt der Auslieferungskatalog?</w:t>
            </w:r>
          </w:p>
        </w:tc>
        <w:tc>
          <w:tcPr>
            <w:tcW w:w="0" w:type="auto"/>
          </w:tcPr>
          <w:p>
            <w:pPr>
              <w:spacing w:after="0" w:line="240" w:lineRule="auto"/>
            </w:pPr>
            <w:r>
              <w:t xml:space="preserve">Beides behalten — die Wertekopie an der Schicht schützt gerechnete Ergebnisse, die Projektkopie erlaubt projekteigene Stoffe.</w:t>
            </w:r>
          </w:p>
        </w:tc>
      </w:tr>
    </w:tbl>
    <w:p>
      <w:pPr>
        <w:spacing w:after="120"/>
      </w:pPr>
    </w:p>
    <w:p>
      <w:pPr>
        <w:pStyle w:val="Heading2"/>
      </w:pPr>
      <w:r>
        <w:t xml:space="preserve">12.4 Fragen des Datenaustauschs (D), jetzt zu entscheiden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c>
          <w:tcPr>
            <w:tcW w:w="0" w:type="auto"/>
            <w:shd w:val="clear" w:color="auto" w:fill="D9D9D9"/>
          </w:tcPr>
          <w:p>
            <w:pPr>
              <w:spacing w:after="0" w:line="240" w:lineRule="auto"/>
              <w:rPr>
                <w:b/>
              </w:rPr>
            </w:pPr>
            <w:r>
              <w:rPr>
                <w:b/>
              </w:rPr>
              <w:t xml:space="preserve">Wann spätestens</w:t>
            </w:r>
          </w:p>
        </w:tc>
      </w:tr>
      <w:tr>
        <w:tc>
          <w:tcPr>
            <w:tcW w:w="0" w:type="auto"/>
          </w:tcPr>
          <w:p>
            <w:pPr>
              <w:spacing w:after="0" w:line="240" w:lineRule="auto"/>
            </w:pPr>
            <w:r>
              <w:rPr>
                <w:b/>
              </w:rPr>
              <w:t xml:space="preserve">D1</w:t>
            </w:r>
          </w:p>
        </w:tc>
        <w:tc>
          <w:tcPr>
            <w:tcW w:w="0" w:type="auto"/>
          </w:tcPr>
          <w:p>
            <w:pPr>
              <w:spacing w:after="0" w:line="240" w:lineRule="auto"/>
            </w:pPr>
            <w:r>
              <w:t xml:space="preserve">Reihenfolge: gbXML-Import </w:t>
            </w:r>
            <w:r>
              <w:rPr>
                <w:b/>
              </w:rPr>
              <w:t xml:space="preserve">vor</w:t>
            </w:r>
            <w:r>
              <w:t xml:space="preserve"> IFC-Import?</w:t>
            </w:r>
          </w:p>
        </w:tc>
        <w:tc>
          <w:tcPr>
            <w:tcW w:w="0" w:type="auto"/>
          </w:tcPr>
          <w:p>
            <w:pPr>
              <w:spacing w:after="0" w:line="240" w:lineRule="auto"/>
            </w:pPr>
            <w:r>
              <w:t xml:space="preserve">Vorschlag ja — gbXML ist kleiner, braucht kein Paket und keine Lizenzarbeit, liefert die thermische Topologie zuverlässiger und schafft dasselbe Zuordnungsgerüst; die Frage hängt allein daran, welche Dateien im Feld ankommen, und das weiß nur der Anwender.</w:t>
            </w:r>
          </w:p>
        </w:tc>
        <w:tc>
          <w:tcPr>
            <w:tcW w:w="0" w:type="auto"/>
          </w:tcPr>
          <w:p>
            <w:pPr>
              <w:spacing w:after="0" w:line="240" w:lineRule="auto"/>
            </w:pPr>
            <w:r>
              <w:t xml:space="preserve">vor der Beauftragung von G4a bzw. G4c</w:t>
            </w:r>
          </w:p>
        </w:tc>
      </w:tr>
      <w:tr>
        <w:tc>
          <w:tcPr>
            <w:tcW w:w="0" w:type="auto"/>
          </w:tcPr>
          <w:p>
            <w:pPr>
              <w:spacing w:after="0" w:line="240" w:lineRule="auto"/>
            </w:pPr>
            <w:r>
              <w:rPr>
                <w:b/>
              </w:rPr>
              <w:t xml:space="preserve">D2</w:t>
            </w:r>
          </w:p>
        </w:tc>
        <w:tc>
          <w:tcPr>
            <w:tcW w:w="0" w:type="auto"/>
          </w:tcPr>
          <w:p>
            <w:pPr>
              <w:spacing w:after="0" w:line="240" w:lineRule="auto"/>
            </w:pPr>
            <w:r>
              <w:t xml:space="preserve">Lohnt der gbXML-Export nur mit der synthetischen Geometrie?</w:t>
            </w:r>
          </w:p>
        </w:tc>
        <w:tc>
          <w:tcPr>
            <w:tcW w:w="0" w:type="auto"/>
          </w:tcPr>
          <w:p>
            <w:pPr>
              <w:spacing w:after="0" w:line="240" w:lineRule="auto"/>
            </w:pPr>
            <w:r>
              <w:t xml:space="preserve">Ja — ohne sie ist der Export ein Datenblatt in XML-Form; die Ausnahme wäre ein benanntes bilanzierendes Zielwerkzeug, für das vorher zu </w:t>
            </w:r>
            <w:r>
              <w:rPr>
                <w:b/>
              </w:rPr>
              <w:t xml:space="preserve">belegen</w:t>
            </w:r>
            <w:r>
              <w:t xml:space="preserve"> ist, dass es eine geometriearme Datei annimmt.</w:t>
            </w:r>
          </w:p>
        </w:tc>
        <w:tc>
          <w:tcPr>
            <w:tcW w:w="0" w:type="auto"/>
          </w:tcPr>
          <w:p>
            <w:pPr>
              <w:spacing w:after="0" w:line="240" w:lineRule="auto"/>
            </w:pPr>
            <w:r>
              <w:t xml:space="preserve">vor der Beauftragung von G7</w:t>
            </w:r>
          </w:p>
        </w:tc>
      </w:tr>
      <w:tr>
        <w:tc>
          <w:tcPr>
            <w:tcW w:w="0" w:type="auto"/>
          </w:tcPr>
          <w:p>
            <w:pPr>
              <w:spacing w:after="0" w:line="240" w:lineRule="auto"/>
            </w:pPr>
            <w:r>
              <w:rPr>
                <w:b/>
              </w:rPr>
              <w:t xml:space="preserve">D4</w:t>
            </w:r>
          </w:p>
        </w:tc>
        <w:tc>
          <w:tcPr>
            <w:tcW w:w="0" w:type="auto"/>
          </w:tcPr>
          <w:p>
            <w:pPr>
              <w:spacing w:after="0" w:line="240" w:lineRule="auto"/>
            </w:pPr>
            <w:r>
              <w:t xml:space="preserve">Ergebnisgrößen in kWh mit explizitem Einheitenverweis oder in Joule mit Hinweis?</w:t>
            </w:r>
          </w:p>
        </w:tc>
        <w:tc>
          <w:tcPr>
            <w:tcW w:w="0" w:type="auto"/>
          </w:tcPr>
          <w:p>
            <w:pPr>
              <w:spacing w:after="0" w:line="240" w:lineRule="auto"/>
            </w:pPr>
            <w:r>
              <w:t xml:space="preserve">kWh mit explizitem Verweis — ohne ihn behauptet die Datei Joule; </w:t>
            </w:r>
            <w:r>
              <w:rPr>
                <w:b/>
              </w:rPr>
              <w:t xml:space="preserve">unwiderruflich</w:t>
            </w:r>
            <w:r>
              <w:t xml:space="preserve">, eine spätere Umstellung entwertet alte Exporte.</w:t>
            </w:r>
          </w:p>
        </w:tc>
        <w:tc>
          <w:tcPr>
            <w:tcW w:w="0" w:type="auto"/>
          </w:tcPr>
          <w:p>
            <w:pPr>
              <w:spacing w:after="0" w:line="240" w:lineRule="auto"/>
            </w:pPr>
            <w:r>
              <w:t xml:space="preserve">vor der ersten Zeile Quelltext von G7c</w:t>
            </w:r>
          </w:p>
        </w:tc>
      </w:tr>
      <w:tr>
        <w:tc>
          <w:tcPr>
            <w:tcW w:w="0" w:type="auto"/>
          </w:tcPr>
          <w:p>
            <w:pPr>
              <w:spacing w:after="0" w:line="240" w:lineRule="auto"/>
            </w:pPr>
            <w:r>
              <w:rPr>
                <w:b/>
              </w:rPr>
              <w:t xml:space="preserve">D5</w:t>
            </w:r>
          </w:p>
        </w:tc>
        <w:tc>
          <w:tcPr>
            <w:tcW w:w="0" w:type="auto"/>
          </w:tcPr>
          <w:p>
            <w:pPr>
              <w:spacing w:after="0" w:line="240" w:lineRule="auto"/>
            </w:pPr>
            <w:r>
              <w:t xml:space="preserve">Deterministische Kennungen in beiden Formaten?</w:t>
            </w:r>
          </w:p>
        </w:tc>
        <w:tc>
          <w:tcPr>
            <w:tcW w:w="0" w:type="auto"/>
          </w:tcPr>
          <w:p>
            <w:pPr>
              <w:spacing w:after="0" w:line="240" w:lineRule="auto"/>
            </w:pPr>
            <w:r>
              <w:t xml:space="preserve">Ja, von Anfang an, aus dem Schlüsselpfad der IDs und nie aus Namen; nachträglich nicht mehr einzuführen.</w:t>
            </w:r>
          </w:p>
        </w:tc>
        <w:tc>
          <w:tcPr>
            <w:tcW w:w="0" w:type="auto"/>
          </w:tcPr>
          <w:p>
            <w:pPr>
              <w:spacing w:after="0" w:line="240" w:lineRule="auto"/>
            </w:pPr>
            <w:r>
              <w:t xml:space="preserve">vor der ersten Zeile Quelltext von G7a und G7c</w:t>
            </w:r>
          </w:p>
        </w:tc>
      </w:tr>
      <w:tr>
        <w:tc>
          <w:tcPr>
            <w:tcW w:w="0" w:type="auto"/>
          </w:tcPr>
          <w:p>
            <w:pPr>
              <w:spacing w:after="0" w:line="240" w:lineRule="auto"/>
            </w:pPr>
            <w:r>
              <w:rPr>
                <w:b/>
              </w:rPr>
              <w:t xml:space="preserve">D6</w:t>
            </w:r>
          </w:p>
        </w:tc>
        <w:tc>
          <w:tcPr>
            <w:tcW w:w="0" w:type="auto"/>
          </w:tcPr>
          <w:p>
            <w:pPr>
              <w:spacing w:after="0" w:line="240" w:lineRule="auto"/>
            </w:pPr>
            <w:r>
              <w:t xml:space="preserve">Wer ist das Gegenüber des IFC-Exports — welches Werkzeug, welcher Anwender, welcher Zweck?</w:t>
            </w:r>
          </w:p>
        </w:tc>
        <w:tc>
          <w:tcPr>
            <w:tcW w:w="0" w:type="auto"/>
          </w:tcPr>
          <w:p>
            <w:pPr>
              <w:spacing w:after="0" w:line="240" w:lineRule="auto"/>
            </w:pPr>
            <w:r>
              <w:t xml:space="preserve">Diese Frage geht an den Anwender, nicht an die Technik; Zwischenweg: den semantischen Export bauen, die Körper zurückstellen, bis ein Empfänger benannt ist.</w:t>
            </w:r>
          </w:p>
        </w:tc>
        <w:tc>
          <w:tcPr>
            <w:tcW w:w="0" w:type="auto"/>
          </w:tcPr>
          <w:p>
            <w:pPr>
              <w:spacing w:after="0" w:line="240" w:lineRule="auto"/>
            </w:pPr>
            <w:r>
              <w:t xml:space="preserve">vor G7e</w:t>
            </w:r>
          </w:p>
        </w:tc>
      </w:tr>
      <w:tr>
        <w:tc>
          <w:tcPr>
            <w:tcW w:w="0" w:type="auto"/>
          </w:tcPr>
          <w:p>
            <w:pPr>
              <w:spacing w:after="0" w:line="240" w:lineRule="auto"/>
            </w:pPr>
            <w:r>
              <w:rPr>
                <w:b/>
              </w:rPr>
              <w:t xml:space="preserve">D11</w:t>
            </w:r>
          </w:p>
        </w:tc>
        <w:tc>
          <w:tcPr>
            <w:tcW w:w="0" w:type="auto"/>
          </w:tcPr>
          <w:p>
            <w:pPr>
              <w:spacing w:after="0" w:line="240" w:lineRule="auto"/>
            </w:pPr>
            <w:r>
              <w:t xml:space="preserve">Vertragliche Zulässigkeit der Rückgabe fremder IFC-Dateien?</w:t>
            </w:r>
          </w:p>
        </w:tc>
        <w:tc>
          <w:tcPr>
            <w:tcW w:w="0" w:type="auto"/>
          </w:tcPr>
          <w:p>
            <w:pPr>
              <w:spacing w:after="0" w:line="240" w:lineRule="auto"/>
            </w:pPr>
            <w:r>
              <w:rPr>
                <w:b/>
              </w:rPr>
              <w:t xml:space="preserve">Vor</w:t>
            </w:r>
            <w:r>
              <w:t xml:space="preserve"> G7d zu klären, nicht danach — technisch ist der Weg billig, rechtlich ist er der Grund, ihn zu lassen; mindestens Beipackzettel, eigene Anwendungskennung, neuer Dateiname und eine bestätigte Rückfrage.</w:t>
            </w:r>
          </w:p>
        </w:tc>
        <w:tc>
          <w:tcPr>
            <w:tcW w:w="0" w:type="auto"/>
          </w:tcPr>
          <w:p>
            <w:pPr>
              <w:spacing w:after="0" w:line="240" w:lineRule="auto"/>
            </w:pPr>
            <w:r>
              <w:t xml:space="preserve">vor G7d</w:t>
            </w:r>
          </w:p>
        </w:tc>
      </w:tr>
      <w:tr>
        <w:tc>
          <w:tcPr>
            <w:tcW w:w="0" w:type="auto"/>
          </w:tcPr>
          <w:p>
            <w:pPr>
              <w:spacing w:after="0" w:line="240" w:lineRule="auto"/>
            </w:pPr>
            <w:r>
              <w:rPr>
                <w:b/>
              </w:rPr>
              <w:t xml:space="preserve">D16</w:t>
            </w:r>
          </w:p>
        </w:tc>
        <w:tc>
          <w:tcPr>
            <w:tcW w:w="0" w:type="auto"/>
          </w:tcPr>
          <w:p>
            <w:pPr>
              <w:spacing w:after="0" w:line="240" w:lineRule="auto"/>
            </w:pPr>
            <w:r>
              <w:t xml:space="preserve">Erweitert die Zonenbildung aus gbXML den Entscheid E7 auf ein zweites Format?</w:t>
            </w:r>
          </w:p>
        </w:tc>
        <w:tc>
          <w:tcPr>
            <w:tcW w:w="0" w:type="auto"/>
          </w:tcPr>
          <w:p>
            <w:pPr>
              <w:spacing w:after="0" w:line="240" w:lineRule="auto"/>
            </w:pPr>
            <w:r>
              <w:t xml:space="preserve">Vorschlag ja — dieselbe Bauform auf denselben Tabellen, sinnvoll mit G6c; sagt der Anwender nein, bleibt gbXML dauerhaft einzonig.</w:t>
            </w:r>
          </w:p>
        </w:tc>
        <w:tc>
          <w:tcPr>
            <w:tcW w:w="0" w:type="auto"/>
          </w:tcPr>
          <w:p>
            <w:pPr>
              <w:spacing w:after="0" w:line="240" w:lineRule="auto"/>
            </w:pPr>
            <w:r>
              <w:t xml:space="preserve">vor der Beauftragung von G4c</w:t>
            </w:r>
          </w:p>
        </w:tc>
      </w:tr>
    </w:tbl>
    <w:p>
      <w:pPr>
        <w:spacing w:after="120"/>
      </w:pPr>
    </w:p>
    <w:p>
      <w:r>
        <w:t xml:space="preserve">Als </w:t>
      </w:r>
      <w:r>
        <w:rPr>
          <w:b/>
        </w:rPr>
        <w:t xml:space="preserve">technische Festlegungen zur Kenntnis</w:t>
      </w:r>
      <w:r>
        <w:t xml:space="preserve"> — der Anwender kann widersprechen, muss aber nicht entscheiden — sind geführt: die Ablage des Schemas und der Testdateien, die Zurückstellung statt Streichung des Round-Trips, eigene Herkunftswerte je Format, die Umbenennung der Quellkennungsspalten vor ihrer Anlage, die Ersatzschichtung beim Export samt ihrem Vorbehalt, die Ablage der einen gbXML-Luftwechselzahl, die Bedingung für die Zonenregel aus Zonenentitäten, der Ort der Exporte in der Oberfläche und die Größengrenze für gbXML.</w:t>
      </w:r>
    </w:p>
    <w:p>
      <w:pPr>
        <w:pStyle w:val="Heading2"/>
      </w:pPr>
      <w:r>
        <w:t xml:space="preserve">12.5 Architekturfragen (A)</w:t>
      </w:r>
    </w:p>
    <w:p>
      <w:pPr>
        <w:pStyle w:val="Quote"/>
      </w:pPr>
      <w:r>
        <w:t xml:space="preserve">Neunzehn Fragen des Architekturpapiers (Entwurf). Vier davon — A4, A5, A9 und A19 — liegen bereits unter einer Nummer des Umsetzungskonzepts beim Anwender und stehen hier nur als Sperrpunkt.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c>
          <w:tcPr>
            <w:tcW w:w="0" w:type="auto"/>
            <w:shd w:val="clear" w:color="auto" w:fill="D9D9D9"/>
          </w:tcPr>
          <w:p>
            <w:pPr>
              <w:spacing w:after="0" w:line="240" w:lineRule="auto"/>
              <w:rPr>
                <w:b/>
              </w:rPr>
            </w:pPr>
            <w:r>
              <w:rPr>
                <w:b/>
              </w:rPr>
              <w:t xml:space="preserve">Sperrt</w:t>
            </w:r>
          </w:p>
        </w:tc>
      </w:tr>
      <w:tr>
        <w:tc>
          <w:tcPr>
            <w:tcW w:w="0" w:type="auto"/>
          </w:tcPr>
          <w:p>
            <w:pPr>
              <w:spacing w:after="0" w:line="240" w:lineRule="auto"/>
            </w:pPr>
            <w:r>
              <w:rPr>
                <w:b/>
              </w:rPr>
              <w:t xml:space="preserve">A1</w:t>
            </w:r>
          </w:p>
        </w:tc>
        <w:tc>
          <w:tcPr>
            <w:tcW w:w="0" w:type="auto"/>
          </w:tcPr>
          <w:p>
            <w:pPr>
              <w:spacing w:after="0" w:line="240" w:lineRule="auto"/>
            </w:pPr>
            <w:r>
              <w:t xml:space="preserve">Bleibt die Kaskade der Gebäudekinder, obwohl der Schreibweg möglicherweise löscht und neu anlegt?</w:t>
            </w:r>
          </w:p>
        </w:tc>
        <w:tc>
          <w:tcPr>
            <w:tcW w:w="0" w:type="auto"/>
          </w:tcPr>
          <w:p>
            <w:pPr>
              <w:spacing w:after="0" w:line="240" w:lineRule="auto"/>
            </w:pPr>
            <w:r>
              <w:t xml:space="preserve">Kaskade behalten, den Schreibweg vor G3 </w:t>
            </w:r>
            <w:r>
              <w:rPr>
                <w:b/>
              </w:rPr>
              <w:t xml:space="preserve">messen</w:t>
            </w:r>
            <w:r>
              <w:t xml:space="preserve"> und die Rettung dort einbauen, wo das Löschen steht.</w:t>
            </w:r>
          </w:p>
        </w:tc>
        <w:tc>
          <w:tcPr>
            <w:tcW w:w="0" w:type="auto"/>
          </w:tcPr>
          <w:p>
            <w:pPr>
              <w:spacing w:after="0" w:line="240" w:lineRule="auto"/>
            </w:pPr>
            <w:r>
              <w:t xml:space="preserve">G3</w:t>
            </w:r>
          </w:p>
        </w:tc>
      </w:tr>
      <w:tr>
        <w:tc>
          <w:tcPr>
            <w:tcW w:w="0" w:type="auto"/>
          </w:tcPr>
          <w:p>
            <w:pPr>
              <w:spacing w:after="0" w:line="240" w:lineRule="auto"/>
            </w:pPr>
            <w:r>
              <w:rPr>
                <w:b/>
              </w:rPr>
              <w:t xml:space="preserve">A2</w:t>
            </w:r>
          </w:p>
        </w:tc>
        <w:tc>
          <w:tcPr>
            <w:tcW w:w="0" w:type="auto"/>
          </w:tcPr>
          <w:p>
            <w:pPr>
              <w:spacing w:after="0" w:line="240" w:lineRule="auto"/>
            </w:pPr>
            <w:r>
              <w:t xml:space="preserve">Bleibt das IFC-Paket am Kern oder zieht der Leser in ein eigenes Projekt?</w:t>
            </w:r>
          </w:p>
        </w:tc>
        <w:tc>
          <w:tcPr>
            <w:tcW w:w="0" w:type="auto"/>
          </w:tcPr>
          <w:p>
            <w:pPr>
              <w:spacing w:after="0" w:line="240" w:lineRule="auto"/>
            </w:pPr>
            <w:r>
              <w:t xml:space="preserve">Am Kern bleiben, aber die Leserschnittstelle von Anfang an ziehen — dann kostet ein Umzug eine Fabrikzeile statt eines Umbaus.</w:t>
            </w:r>
          </w:p>
        </w:tc>
        <w:tc>
          <w:tcPr>
            <w:tcW w:w="0" w:type="auto"/>
          </w:tcPr>
          <w:p>
            <w:pPr>
              <w:spacing w:after="0" w:line="240" w:lineRule="auto"/>
            </w:pPr>
            <w:r>
              <w:t xml:space="preserve">nichts</w:t>
            </w:r>
          </w:p>
        </w:tc>
      </w:tr>
      <w:tr>
        <w:tc>
          <w:tcPr>
            <w:tcW w:w="0" w:type="auto"/>
          </w:tcPr>
          <w:p>
            <w:pPr>
              <w:spacing w:after="0" w:line="240" w:lineRule="auto"/>
            </w:pPr>
            <w:r>
              <w:rPr>
                <w:b/>
              </w:rPr>
              <w:t xml:space="preserve">A3</w:t>
            </w:r>
          </w:p>
        </w:tc>
        <w:tc>
          <w:tcPr>
            <w:tcW w:w="0" w:type="auto"/>
          </w:tcPr>
          <w:p>
            <w:pPr>
              <w:spacing w:after="0" w:line="240" w:lineRule="auto"/>
            </w:pPr>
            <w:r>
              <w:t xml:space="preserve">Name und Ordner des Zuordnungsdialogs?</w:t>
            </w:r>
          </w:p>
        </w:tc>
        <w:tc>
          <w:tcPr>
            <w:tcW w:w="0" w:type="auto"/>
          </w:tcPr>
          <w:p>
            <w:pPr>
              <w:spacing w:after="0" w:line="240" w:lineRule="auto"/>
            </w:pPr>
            <w:r>
              <w:t xml:space="preserve">Der formatfreie Name — ein Format im Namen einer Maske, die zwei Formate trägt, ist eine Unwahrheit.</w:t>
            </w:r>
          </w:p>
        </w:tc>
        <w:tc>
          <w:tcPr>
            <w:tcW w:w="0" w:type="auto"/>
          </w:tcPr>
          <w:p>
            <w:pPr>
              <w:spacing w:after="0" w:line="240" w:lineRule="auto"/>
            </w:pPr>
            <w:r>
              <w:t xml:space="preserve">G4</w:t>
            </w:r>
          </w:p>
        </w:tc>
      </w:tr>
      <w:tr>
        <w:tc>
          <w:tcPr>
            <w:tcW w:w="0" w:type="auto"/>
          </w:tcPr>
          <w:p>
            <w:pPr>
              <w:spacing w:after="0" w:line="240" w:lineRule="auto"/>
            </w:pPr>
            <w:r>
              <w:rPr>
                <w:b/>
              </w:rPr>
              <w:t xml:space="preserve">A4</w:t>
            </w:r>
          </w:p>
        </w:tc>
        <w:tc>
          <w:tcPr>
            <w:tcW w:w="0" w:type="auto"/>
          </w:tcPr>
          <w:p>
            <w:pPr>
              <w:spacing w:after="0" w:line="240" w:lineRule="auto"/>
            </w:pPr>
            <w:r>
              <w:t xml:space="preserve">Ein Schreibweg im Katalogeditor?</w:t>
            </w:r>
          </w:p>
        </w:tc>
        <w:tc>
          <w:tcPr>
            <w:tcW w:w="0" w:type="auto"/>
          </w:tcPr>
          <w:p>
            <w:pPr>
              <w:spacing w:after="0" w:line="240" w:lineRule="auto"/>
            </w:pPr>
            <w:r>
              <w:t xml:space="preserve">Gleich U1: ja, mit G1.</w:t>
            </w:r>
          </w:p>
        </w:tc>
        <w:tc>
          <w:tcPr>
            <w:tcW w:w="0" w:type="auto"/>
          </w:tcPr>
          <w:p>
            <w:pPr>
              <w:spacing w:after="0" w:line="240" w:lineRule="auto"/>
            </w:pPr>
            <w:r>
              <w:t xml:space="preserve">G1</w:t>
            </w:r>
          </w:p>
        </w:tc>
      </w:tr>
      <w:tr>
        <w:tc>
          <w:tcPr>
            <w:tcW w:w="0" w:type="auto"/>
          </w:tcPr>
          <w:p>
            <w:pPr>
              <w:spacing w:after="0" w:line="240" w:lineRule="auto"/>
            </w:pPr>
            <w:r>
              <w:rPr>
                <w:b/>
              </w:rPr>
              <w:t xml:space="preserve">A5</w:t>
            </w:r>
          </w:p>
        </w:tc>
        <w:tc>
          <w:tcPr>
            <w:tcW w:w="0" w:type="auto"/>
          </w:tcPr>
          <w:p>
            <w:pPr>
              <w:spacing w:after="0" w:line="240" w:lineRule="auto"/>
            </w:pPr>
            <w:r>
              <w:t xml:space="preserve">Platzhalter am Zahlenfeld?</w:t>
            </w:r>
          </w:p>
        </w:tc>
        <w:tc>
          <w:tcPr>
            <w:tcW w:w="0" w:type="auto"/>
          </w:tcPr>
          <w:p>
            <w:pPr>
              <w:spacing w:after="0" w:line="240" w:lineRule="auto"/>
            </w:pPr>
            <w:r>
              <w:t xml:space="preserve">Gleich U3: ja, rein additiv.</w:t>
            </w:r>
          </w:p>
        </w:tc>
        <w:tc>
          <w:tcPr>
            <w:tcW w:w="0" w:type="auto"/>
          </w:tcPr>
          <w:p>
            <w:pPr>
              <w:spacing w:after="0" w:line="240" w:lineRule="auto"/>
            </w:pPr>
            <w:r>
              <w:t xml:space="preserve">G1</w:t>
            </w:r>
          </w:p>
        </w:tc>
      </w:tr>
      <w:tr>
        <w:tc>
          <w:tcPr>
            <w:tcW w:w="0" w:type="auto"/>
          </w:tcPr>
          <w:p>
            <w:pPr>
              <w:spacing w:after="0" w:line="240" w:lineRule="auto"/>
            </w:pPr>
            <w:r>
              <w:rPr>
                <w:b/>
              </w:rPr>
              <w:t xml:space="preserve">A6</w:t>
            </w:r>
          </w:p>
        </w:tc>
        <w:tc>
          <w:tcPr>
            <w:tcW w:w="0" w:type="auto"/>
          </w:tcPr>
          <w:p>
            <w:pPr>
              <w:spacing w:after="0" w:line="240" w:lineRule="auto"/>
            </w:pPr>
            <w:r>
              <w:t xml:space="preserve">Zonen, Bauteile und Luftströme als </w:t>
            </w:r>
            <w:r>
              <w:rPr>
                <w:b/>
              </w:rPr>
              <w:t xml:space="preserve">ein</w:t>
            </w:r>
            <w:r>
              <w:t xml:space="preserve"> Aggregat je Gebäude schreiben oder je Zone einzeln — und schreibt das Aggregat durch </w:t>
            </w:r>
            <w:r>
              <w:rPr>
                <w:b/>
              </w:rPr>
              <w:t xml:space="preserve">Löschen + Neuanlegen</w:t>
            </w:r>
            <w:r>
              <w:t xml:space="preserve"> oder durch </w:t>
            </w:r>
            <w:r>
              <w:rPr>
                <w:b/>
              </w:rPr>
              <w:t xml:space="preserve">Abgleich über die Ids</w:t>
            </w:r>
            <w:r>
              <w:t xml:space="preserve">?</w:t>
            </w:r>
          </w:p>
        </w:tc>
        <w:tc>
          <w:tcPr>
            <w:tcW w:w="0" w:type="auto"/>
          </w:tcPr>
          <w:p>
            <w:pPr>
              <w:spacing w:after="0" w:line="240" w:lineRule="auto"/>
            </w:pPr>
            <w:r>
              <w:t xml:space="preserve">Ein Aggregat, und darin </w:t>
            </w:r>
            <w:r>
              <w:rPr>
                <w:b/>
              </w:rPr>
              <w:t xml:space="preserve">Ändern statt Löschen</w:t>
            </w:r>
            <w:r>
              <w:t xml:space="preserve">: Abgleich über die Ids in der Reihenfolge Entfernen → Ändern → Anlegen, alles in </w:t>
            </w:r>
            <w:r>
              <w:rPr>
                <w:b/>
              </w:rPr>
              <w:t xml:space="preserve">einer</w:t>
            </w:r>
            <w:r>
              <w:t xml:space="preserve"> Transaktion. Nur so bleibt der eine Schreibweg über vier Überlagerungsebenen einer </w:t>
            </w:r>
            <w:r>
              <w:rPr>
                <w:b/>
              </w:rPr>
              <w:t xml:space="preserve">und</w:t>
            </w:r>
            <w:r>
              <w:t xml:space="preserve"> bleiben die Ids stehen, an denen Importzuordnung (ohne Kaskade) und Luftstromtabelle hängen; Löschen + Neuanlegen zerstörte bei jedem gewöhnlichen Speichern die Importherkunft und damit den Round-Trip.</w:t>
            </w:r>
          </w:p>
        </w:tc>
        <w:tc>
          <w:tcPr>
            <w:tcW w:w="0" w:type="auto"/>
          </w:tcPr>
          <w:p>
            <w:pPr>
              <w:spacing w:after="0" w:line="240" w:lineRule="auto"/>
            </w:pPr>
            <w:r>
              <w:t xml:space="preserve">G6b</w:t>
            </w:r>
          </w:p>
        </w:tc>
      </w:tr>
      <w:tr>
        <w:tc>
          <w:tcPr>
            <w:tcW w:w="0" w:type="auto"/>
          </w:tcPr>
          <w:p>
            <w:pPr>
              <w:spacing w:after="0" w:line="240" w:lineRule="auto"/>
            </w:pPr>
            <w:r>
              <w:rPr>
                <w:b/>
              </w:rPr>
              <w:t xml:space="preserve">A7</w:t>
            </w:r>
          </w:p>
        </w:tc>
        <w:tc>
          <w:tcPr>
            <w:tcW w:w="0" w:type="auto"/>
          </w:tcPr>
          <w:p>
            <w:pPr>
              <w:spacing w:after="0" w:line="240" w:lineRule="auto"/>
            </w:pPr>
            <w:r>
              <w:t xml:space="preserve">Wird ADR-004 angenommen?</w:t>
            </w:r>
          </w:p>
        </w:tc>
        <w:tc>
          <w:tcPr>
            <w:tcW w:w="0" w:type="auto"/>
          </w:tcPr>
          <w:p>
            <w:pPr>
              <w:spacing w:after="0" w:line="240" w:lineRule="auto"/>
            </w:pPr>
            <w:r>
              <w:t xml:space="preserve">Annehmen — ohne Entscheid hat der gbXML-Import keinen Leseweg.</w:t>
            </w:r>
          </w:p>
        </w:tc>
        <w:tc>
          <w:tcPr>
            <w:tcW w:w="0" w:type="auto"/>
          </w:tcPr>
          <w:p>
            <w:pPr>
              <w:spacing w:after="0" w:line="240" w:lineRule="auto"/>
            </w:pPr>
            <w:r>
              <w:rPr>
                <w:b/>
              </w:rPr>
              <w:t xml:space="preserve">G4c vollständig</w:t>
            </w:r>
          </w:p>
        </w:tc>
      </w:tr>
      <w:tr>
        <w:tc>
          <w:tcPr>
            <w:tcW w:w="0" w:type="auto"/>
          </w:tcPr>
          <w:p>
            <w:pPr>
              <w:spacing w:after="0" w:line="240" w:lineRule="auto"/>
            </w:pPr>
            <w:r>
              <w:rPr>
                <w:b/>
              </w:rPr>
              <w:t xml:space="preserve">A8</w:t>
            </w:r>
          </w:p>
        </w:tc>
        <w:tc>
          <w:tcPr>
            <w:tcW w:w="0" w:type="auto"/>
          </w:tcPr>
          <w:p>
            <w:pPr>
              <w:spacing w:after="0" w:line="240" w:lineRule="auto"/>
            </w:pPr>
            <w:r>
              <w:t xml:space="preserve">Wird ADR-005 angenommen?</w:t>
            </w:r>
          </w:p>
        </w:tc>
        <w:tc>
          <w:tcPr>
            <w:tcW w:w="0" w:type="auto"/>
          </w:tcPr>
          <w:p>
            <w:pPr>
              <w:spacing w:after="0" w:line="240" w:lineRule="auto"/>
            </w:pPr>
            <w:r>
              <w:t xml:space="preserve">Annehmen, aber mit </w:t>
            </w:r>
            <w:r>
              <w:rPr>
                <w:b/>
              </w:rPr>
              <w:t xml:space="preserve">Messpflicht</w:t>
            </w:r>
            <w:r>
              <w:t xml:space="preserve">: Vergleichsrechnung, Prüforakel und die Bitgleichheitsprobe als Gate.</w:t>
            </w:r>
          </w:p>
        </w:tc>
        <w:tc>
          <w:tcPr>
            <w:tcW w:w="0" w:type="auto"/>
          </w:tcPr>
          <w:p>
            <w:pPr>
              <w:spacing w:after="0" w:line="240" w:lineRule="auto"/>
            </w:pPr>
            <w:r>
              <w:rPr>
                <w:b/>
              </w:rPr>
              <w:t xml:space="preserve">G6b vollständig</w:t>
            </w:r>
          </w:p>
        </w:tc>
      </w:tr>
      <w:tr>
        <w:tc>
          <w:tcPr>
            <w:tcW w:w="0" w:type="auto"/>
          </w:tcPr>
          <w:p>
            <w:pPr>
              <w:spacing w:after="0" w:line="240" w:lineRule="auto"/>
            </w:pPr>
            <w:r>
              <w:rPr>
                <w:b/>
              </w:rPr>
              <w:t xml:space="preserve">A9</w:t>
            </w:r>
          </w:p>
        </w:tc>
        <w:tc>
          <w:tcPr>
            <w:tcW w:w="0" w:type="auto"/>
          </w:tcPr>
          <w:p>
            <w:pPr>
              <w:spacing w:after="0" w:line="240" w:lineRule="auto"/>
            </w:pPr>
            <w:r>
              <w:t xml:space="preserve">Die beiden Schemaschritte verschmelzen?</w:t>
            </w:r>
          </w:p>
        </w:tc>
        <w:tc>
          <w:tcPr>
            <w:tcW w:w="0" w:type="auto"/>
          </w:tcPr>
          <w:p>
            <w:pPr>
              <w:spacing w:after="0" w:line="240" w:lineRule="auto"/>
            </w:pPr>
            <w:r>
              <w:t xml:space="preserve">Gleich U5: ja.</w:t>
            </w:r>
          </w:p>
        </w:tc>
        <w:tc>
          <w:tcPr>
            <w:tcW w:w="0" w:type="auto"/>
          </w:tcPr>
          <w:p>
            <w:pPr>
              <w:spacing w:after="0" w:line="240" w:lineRule="auto"/>
            </w:pPr>
            <w:r>
              <w:t xml:space="preserve">M3</w:t>
            </w:r>
          </w:p>
        </w:tc>
      </w:tr>
      <w:tr>
        <w:tc>
          <w:tcPr>
            <w:tcW w:w="0" w:type="auto"/>
          </w:tcPr>
          <w:p>
            <w:pPr>
              <w:spacing w:after="0" w:line="240" w:lineRule="auto"/>
            </w:pPr>
            <w:r>
              <w:rPr>
                <w:b/>
              </w:rPr>
              <w:t xml:space="preserve">A10</w:t>
            </w:r>
          </w:p>
        </w:tc>
        <w:tc>
          <w:tcPr>
            <w:tcW w:w="0" w:type="auto"/>
          </w:tcPr>
          <w:p>
            <w:pPr>
              <w:spacing w:after="0" w:line="240" w:lineRule="auto"/>
            </w:pPr>
            <w:r>
              <w:t xml:space="preserve">Zieht der Gebäudedialog schon mit G1 in die plattformfreie Hülle oder erst mit G6?</w:t>
            </w:r>
          </w:p>
        </w:tc>
        <w:tc>
          <w:tcPr>
            <w:tcW w:w="0" w:type="auto"/>
          </w:tcPr>
          <w:p>
            <w:pPr>
              <w:spacing w:after="0" w:line="240" w:lineRule="auto"/>
            </w:pPr>
            <w:r>
              <w:t xml:space="preserve">Mit G1 — die Hülle wird ohnehin neu geschnitten, und der Importweg setzt einen plattformfreien Schreibweg voraus.</w:t>
            </w:r>
          </w:p>
        </w:tc>
        <w:tc>
          <w:tcPr>
            <w:tcW w:w="0" w:type="auto"/>
          </w:tcPr>
          <w:p>
            <w:pPr>
              <w:spacing w:after="0" w:line="240" w:lineRule="auto"/>
            </w:pPr>
            <w:r>
              <w:t xml:space="preserve">G4</w:t>
            </w:r>
          </w:p>
        </w:tc>
      </w:tr>
      <w:tr>
        <w:tc>
          <w:tcPr>
            <w:tcW w:w="0" w:type="auto"/>
          </w:tcPr>
          <w:p>
            <w:pPr>
              <w:spacing w:after="0" w:line="240" w:lineRule="auto"/>
            </w:pPr>
            <w:r>
              <w:rPr>
                <w:b/>
              </w:rPr>
              <w:t xml:space="preserve">A11</w:t>
            </w:r>
          </w:p>
        </w:tc>
        <w:tc>
          <w:tcPr>
            <w:tcW w:w="0" w:type="auto"/>
          </w:tcPr>
          <w:p>
            <w:pPr>
              <w:spacing w:after="0" w:line="240" w:lineRule="auto"/>
            </w:pPr>
            <w:r>
              <w:t xml:space="preserve">Schrittnummern jetzt verbindlich vergeben oder erst bei Beauftragung?</w:t>
            </w:r>
          </w:p>
        </w:tc>
        <w:tc>
          <w:tcPr>
            <w:tcW w:w="0" w:type="auto"/>
          </w:tcPr>
          <w:p>
            <w:pPr>
              <w:spacing w:after="0" w:line="240" w:lineRule="auto"/>
            </w:pPr>
            <w:r>
              <w:t xml:space="preserve">Erst bei Beauftragung; verbindlich sind jetzt Reihenfolge und Inhalt, weil jede vergebene Nummer ältere Projektpakete entwertet.</w:t>
            </w:r>
          </w:p>
        </w:tc>
        <w:tc>
          <w:tcPr>
            <w:tcW w:w="0" w:type="auto"/>
          </w:tcPr>
          <w:p>
            <w:pPr>
              <w:spacing w:after="0" w:line="240" w:lineRule="auto"/>
            </w:pPr>
            <w:r>
              <w:t xml:space="preserve">nichts</w:t>
            </w:r>
          </w:p>
        </w:tc>
      </w:tr>
      <w:tr>
        <w:tc>
          <w:tcPr>
            <w:tcW w:w="0" w:type="auto"/>
          </w:tcPr>
          <w:p>
            <w:pPr>
              <w:spacing w:after="0" w:line="240" w:lineRule="auto"/>
            </w:pPr>
            <w:r>
              <w:rPr>
                <w:b/>
              </w:rPr>
              <w:t xml:space="preserve">A12</w:t>
            </w:r>
          </w:p>
        </w:tc>
        <w:tc>
          <w:tcPr>
            <w:tcW w:w="0" w:type="auto"/>
          </w:tcPr>
          <w:p>
            <w:pPr>
              <w:spacing w:after="0" w:line="240" w:lineRule="auto"/>
            </w:pPr>
            <w:r>
              <w:t xml:space="preserve">Wo erscheint der Produktausweis — Wiki-Seite und Berichtskopf?</w:t>
            </w:r>
          </w:p>
        </w:tc>
        <w:tc>
          <w:tcPr>
            <w:tcW w:w="0" w:type="auto"/>
          </w:tcPr>
          <w:p>
            <w:pPr>
              <w:spacing w:after="0" w:line="240" w:lineRule="auto"/>
            </w:pPr>
            <w:r>
              <w:t xml:space="preserve">Beides, im Wortlaut und ohne Umschreibung; sonst erführe der Leser eines Berichts nicht, mit welchem Rechenkern die Zahlen entstanden sind.</w:t>
            </w:r>
          </w:p>
        </w:tc>
        <w:tc>
          <w:tcPr>
            <w:tcW w:w="0" w:type="auto"/>
          </w:tcPr>
          <w:p>
            <w:pPr>
              <w:spacing w:after="0" w:line="240" w:lineRule="auto"/>
            </w:pPr>
            <w:r>
              <w:t xml:space="preserve">G1, G2</w:t>
            </w:r>
          </w:p>
        </w:tc>
      </w:tr>
      <w:tr>
        <w:tc>
          <w:tcPr>
            <w:tcW w:w="0" w:type="auto"/>
          </w:tcPr>
          <w:p>
            <w:pPr>
              <w:spacing w:after="0" w:line="240" w:lineRule="auto"/>
            </w:pPr>
            <w:r>
              <w:rPr>
                <w:b/>
              </w:rPr>
              <w:t xml:space="preserve">A13</w:t>
            </w:r>
          </w:p>
        </w:tc>
        <w:tc>
          <w:tcPr>
            <w:tcW w:w="0" w:type="auto"/>
          </w:tcPr>
          <w:p>
            <w:pPr>
              <w:spacing w:after="0" w:line="240" w:lineRule="auto"/>
            </w:pPr>
            <w:r>
              <w:t xml:space="preserve">Bekommt </w:t>
            </w:r>
            <w:r>
              <w:rPr>
                <w:rFonts w:ascii="Consolas" w:hAnsi="Consolas" w:cs="Consolas"/>
                <w:noProof/>
                <w:sz w:val="20"/>
                <w:szCs w:val="20"/>
                <w:shd w:val="clear" w:color="auto" w:fill="EFEFEF"/>
              </w:rPr>
              <w:t xml:space="preserve">Tab_Gebaeude</w:t>
            </w:r>
            <w:r>
              <w:t xml:space="preserve"> Herkunft und Quellkennung?</w:t>
            </w:r>
          </w:p>
        </w:tc>
        <w:tc>
          <w:tcPr>
            <w:tcW w:w="0" w:type="auto"/>
          </w:tcPr>
          <w:p>
            <w:pPr>
              <w:spacing w:after="0" w:line="240" w:lineRule="auto"/>
            </w:pPr>
            <w:r>
              <w:t xml:space="preserve">Nein — Gebäudeherkunft nur in der Importzuordnung; sonst 17 statt 15 neue Spalten und ein </w:t>
            </w:r>
            <w:r>
              <w:rPr>
                <w:b/>
              </w:rPr>
              <w:t xml:space="preserve">zweiter</w:t>
            </w:r>
            <w:r>
              <w:t xml:space="preserve"> Sichtneubau.</w:t>
            </w:r>
          </w:p>
        </w:tc>
        <w:tc>
          <w:tcPr>
            <w:tcW w:w="0" w:type="auto"/>
          </w:tcPr>
          <w:p>
            <w:pPr>
              <w:spacing w:after="0" w:line="240" w:lineRule="auto"/>
            </w:pPr>
            <w:r>
              <w:t xml:space="preserve">G4</w:t>
            </w:r>
          </w:p>
        </w:tc>
      </w:tr>
      <w:tr>
        <w:tc>
          <w:tcPr>
            <w:tcW w:w="0" w:type="auto"/>
          </w:tcPr>
          <w:p>
            <w:pPr>
              <w:spacing w:after="0" w:line="240" w:lineRule="auto"/>
            </w:pPr>
            <w:r>
              <w:rPr>
                <w:b/>
              </w:rPr>
              <w:t xml:space="preserve">A14</w:t>
            </w:r>
          </w:p>
        </w:tc>
        <w:tc>
          <w:tcPr>
            <w:tcW w:w="0" w:type="auto"/>
          </w:tcPr>
          <w:p>
            <w:pPr>
              <w:spacing w:after="0" w:line="240" w:lineRule="auto"/>
            </w:pPr>
            <w:r>
              <w:t xml:space="preserve">Was trägt den Umschalter Klassenweg → Bauteilweg?</w:t>
            </w:r>
          </w:p>
        </w:tc>
        <w:tc>
          <w:tcPr>
            <w:tcW w:w="0" w:type="auto"/>
          </w:tcPr>
          <w:p>
            <w:pPr>
              <w:spacing w:after="0" w:line="240" w:lineRule="auto"/>
            </w:pPr>
            <w:r>
              <w:t xml:space="preserve">Die Datenlage behalten, aber den Übergang </w:t>
            </w:r>
            <w:r>
              <w:rPr>
                <w:b/>
              </w:rPr>
              <w:t xml:space="preserve">benennen</w:t>
            </w:r>
            <w:r>
              <w:t xml:space="preserve">: Rückfrage vor der ersten Zone und Herleitungszeile am Modellschalter in beiden Stellungen.</w:t>
            </w:r>
          </w:p>
        </w:tc>
        <w:tc>
          <w:tcPr>
            <w:tcW w:w="0" w:type="auto"/>
          </w:tcPr>
          <w:p>
            <w:pPr>
              <w:spacing w:after="0" w:line="240" w:lineRule="auto"/>
            </w:pPr>
            <w:r>
              <w:t xml:space="preserve">G3</w:t>
            </w:r>
          </w:p>
        </w:tc>
      </w:tr>
      <w:tr>
        <w:tc>
          <w:tcPr>
            <w:tcW w:w="0" w:type="auto"/>
          </w:tcPr>
          <w:p>
            <w:pPr>
              <w:spacing w:after="0" w:line="240" w:lineRule="auto"/>
            </w:pPr>
            <w:r>
              <w:rPr>
                <w:b/>
              </w:rPr>
              <w:t xml:space="preserve">A15</w:t>
            </w:r>
          </w:p>
        </w:tc>
        <w:tc>
          <w:tcPr>
            <w:tcW w:w="0" w:type="auto"/>
          </w:tcPr>
          <w:p>
            <w:pPr>
              <w:spacing w:after="0" w:line="240" w:lineRule="auto"/>
            </w:pPr>
            <w:r>
              <w:t xml:space="preserve">Was geschieht mit der letzten reinen Bestandsbasis, gegen die der Rückweg-Nachweis läuft?</w:t>
            </w:r>
          </w:p>
        </w:tc>
        <w:tc>
          <w:tcPr>
            <w:tcW w:w="0" w:type="auto"/>
          </w:tcPr>
          <w:p>
            <w:pPr>
              <w:spacing w:after="0" w:line="240" w:lineRule="auto"/>
            </w:pPr>
            <w:r>
              <w:t xml:space="preserve">Keine zweite Basis im Repositorium, sondern ein Referenzprojekt, das dauerhaft auf Tagesbilanz steht und in der neuen Basis mit eingefroren wird.</w:t>
            </w:r>
          </w:p>
        </w:tc>
        <w:tc>
          <w:tcPr>
            <w:tcW w:w="0" w:type="auto"/>
          </w:tcPr>
          <w:p>
            <w:pPr>
              <w:spacing w:after="0" w:line="240" w:lineRule="auto"/>
            </w:pPr>
            <w:r>
              <w:t xml:space="preserve">G1 + G2</w:t>
            </w:r>
          </w:p>
        </w:tc>
      </w:tr>
      <w:tr>
        <w:tc>
          <w:tcPr>
            <w:tcW w:w="0" w:type="auto"/>
          </w:tcPr>
          <w:p>
            <w:pPr>
              <w:spacing w:after="0" w:line="240" w:lineRule="auto"/>
            </w:pPr>
            <w:r>
              <w:rPr>
                <w:b/>
              </w:rPr>
              <w:t xml:space="preserve">A16</w:t>
            </w:r>
          </w:p>
        </w:tc>
        <w:tc>
          <w:tcPr>
            <w:tcW w:w="0" w:type="auto"/>
          </w:tcPr>
          <w:p>
            <w:pPr>
              <w:spacing w:after="0" w:line="240" w:lineRule="auto"/>
            </w:pPr>
            <w:r>
              <w:t xml:space="preserve">Bekommt der zweite Verzweigungspunkt in der Flächen- und Bewohnerrechnung denselben Zuschnitt, und wie gelangt die Modellwahl dorthin? (Für den Punkt im Rumpf ist es entschieden: die Verzweigung umschließt den ganzen Tagesverteilungsblock, der Stundenzweig erbt den Abbruch nicht.)</w:t>
            </w:r>
          </w:p>
        </w:tc>
        <w:tc>
          <w:tcPr>
            <w:tcW w:w="0" w:type="auto"/>
          </w:tcPr>
          <w:p>
            <w:pPr>
              <w:spacing w:after="0" w:line="240" w:lineRule="auto"/>
            </w:pPr>
            <w:r>
              <w:t xml:space="preserve">Derselbe Zuschnitt, als Parameter </w:t>
            </w:r>
            <w:r>
              <w:rPr>
                <w:b/>
              </w:rPr>
              <w:t xml:space="preserve">durchgereicht</w:t>
            </w:r>
            <w:r>
              <w:t xml:space="preserve"> — nicht über ein Feld der Instanz, das zwischen Gebäuden reisen könnte; der Tagesbilanz-Weg bleibt an beiden Stellen Zeichen für Zeichen, wie er ist.</w:t>
            </w:r>
          </w:p>
        </w:tc>
        <w:tc>
          <w:tcPr>
            <w:tcW w:w="0" w:type="auto"/>
          </w:tcPr>
          <w:p>
            <w:pPr>
              <w:spacing w:after="0" w:line="240" w:lineRule="auto"/>
            </w:pPr>
            <w:r>
              <w:t xml:space="preserve">G1</w:t>
            </w:r>
          </w:p>
        </w:tc>
      </w:tr>
      <w:tr>
        <w:tc>
          <w:tcPr>
            <w:tcW w:w="0" w:type="auto"/>
          </w:tcPr>
          <w:p>
            <w:pPr>
              <w:spacing w:after="0" w:line="240" w:lineRule="auto"/>
            </w:pPr>
            <w:r>
              <w:rPr>
                <w:b/>
              </w:rPr>
              <w:t xml:space="preserve">A17</w:t>
            </w:r>
          </w:p>
        </w:tc>
        <w:tc>
          <w:tcPr>
            <w:tcW w:w="0" w:type="auto"/>
          </w:tcPr>
          <w:p>
            <w:pPr>
              <w:spacing w:after="0" w:line="240" w:lineRule="auto"/>
            </w:pPr>
            <w:r>
              <w:t xml:space="preserve">Bekommen Gebäudeimport und -export einen Maskenschlüssel und eine Menüzeile?</w:t>
            </w:r>
          </w:p>
        </w:tc>
        <w:tc>
          <w:tcPr>
            <w:tcW w:w="0" w:type="auto"/>
          </w:tcPr>
          <w:p>
            <w:pPr>
              <w:spacing w:after="0" w:line="240" w:lineRule="auto"/>
            </w:pPr>
            <w:r>
              <w:t xml:space="preserve">Nein — Überlagerung im Gebäudedialog über Knöpfe in der Katalogleiste; das spart vier Pflegestellen je Schlüssel. Hier widersprechen sich zwei geltende Papiere.</w:t>
            </w:r>
          </w:p>
        </w:tc>
        <w:tc>
          <w:tcPr>
            <w:tcW w:w="0" w:type="auto"/>
          </w:tcPr>
          <w:p>
            <w:pPr>
              <w:spacing w:after="0" w:line="240" w:lineRule="auto"/>
            </w:pPr>
            <w:r>
              <w:t xml:space="preserve">G4</w:t>
            </w:r>
          </w:p>
        </w:tc>
      </w:tr>
      <w:tr>
        <w:tc>
          <w:tcPr>
            <w:tcW w:w="0" w:type="auto"/>
          </w:tcPr>
          <w:p>
            <w:pPr>
              <w:spacing w:after="0" w:line="240" w:lineRule="auto"/>
            </w:pPr>
            <w:r>
              <w:rPr>
                <w:b/>
              </w:rPr>
              <w:t xml:space="preserve">A18</w:t>
            </w:r>
          </w:p>
        </w:tc>
        <w:tc>
          <w:tcPr>
            <w:tcW w:w="0" w:type="auto"/>
          </w:tcPr>
          <w:p>
            <w:pPr>
              <w:spacing w:after="0" w:line="240" w:lineRule="auto"/>
            </w:pPr>
            <w:r>
              <w:t xml:space="preserve">Bleibt der Klimaweg eine eigene Klasse oder fällt er in den Eingangsbauer zurück?</w:t>
            </w:r>
          </w:p>
        </w:tc>
        <w:tc>
          <w:tcPr>
            <w:tcW w:w="0" w:type="auto"/>
          </w:tcPr>
          <w:p>
            <w:pPr>
              <w:spacing w:after="0" w:line="240" w:lineRule="auto"/>
            </w:pPr>
            <w:r>
              <w:t xml:space="preserve">Eigene Klasse behalten, aber </w:t>
            </w:r>
            <w:r>
              <w:rPr>
                <w:b/>
              </w:rPr>
              <w:t xml:space="preserve">ausschließlich</w:t>
            </w:r>
            <w:r>
              <w:t xml:space="preserve"> vom Eingangsbauer gerufen — genau die vier Entscheidungen muss der Prüfmodus umschalten.</w:t>
            </w:r>
          </w:p>
        </w:tc>
        <w:tc>
          <w:tcPr>
            <w:tcW w:w="0" w:type="auto"/>
          </w:tcPr>
          <w:p>
            <w:pPr>
              <w:spacing w:after="0" w:line="240" w:lineRule="auto"/>
            </w:pPr>
            <w:r>
              <w:t xml:space="preserve">G1</w:t>
            </w:r>
          </w:p>
        </w:tc>
      </w:tr>
      <w:tr>
        <w:tc>
          <w:tcPr>
            <w:tcW w:w="0" w:type="auto"/>
          </w:tcPr>
          <w:p>
            <w:pPr>
              <w:spacing w:after="0" w:line="240" w:lineRule="auto"/>
            </w:pPr>
            <w:r>
              <w:rPr>
                <w:b/>
              </w:rPr>
              <w:t xml:space="preserve">A19</w:t>
            </w:r>
          </w:p>
        </w:tc>
        <w:tc>
          <w:tcPr>
            <w:tcW w:w="0" w:type="auto"/>
          </w:tcPr>
          <w:p>
            <w:pPr>
              <w:spacing w:after="0" w:line="240" w:lineRule="auto"/>
            </w:pPr>
            <w:r>
              <w:t xml:space="preserve">Werden die sieben Modellparameterfelder des Reiters 3 im Tagesbilanz-Weg </w:t>
            </w:r>
            <w:r>
              <w:rPr>
                <w:b/>
              </w:rPr>
              <w:t xml:space="preserve">versteckt</w:t>
            </w:r>
            <w:r>
              <w:t xml:space="preserve"> oder </w:t>
            </w:r>
            <w:r>
              <w:rPr>
                <w:b/>
              </w:rPr>
              <w:t xml:space="preserve">gesperrt gezeigt</w:t>
            </w:r>
            <w:r>
              <w:t xml:space="preserve">?</w:t>
            </w:r>
          </w:p>
        </w:tc>
        <w:tc>
          <w:tcPr>
            <w:tcW w:w="0" w:type="auto"/>
          </w:tcPr>
          <w:p>
            <w:pPr>
              <w:spacing w:after="0" w:line="240" w:lineRule="auto"/>
            </w:pPr>
            <w:r>
              <w:t xml:space="preserve">Gleich U2: </w:t>
            </w:r>
            <w:r>
              <w:rPr>
                <w:b/>
              </w:rPr>
              <w:t xml:space="preserve">verstecken</w:t>
            </w:r>
            <w:r>
              <w:t xml:space="preserve"> — die Herleitungszeile sagt in beiden Stellungen, was gilt; sieben gesperrte, aber sichtbare Felder wären nach der Hausregel sieben Begründungen auf einmal.</w:t>
            </w:r>
          </w:p>
        </w:tc>
        <w:tc>
          <w:tcPr>
            <w:tcW w:w="0" w:type="auto"/>
          </w:tcPr>
          <w:p>
            <w:pPr>
              <w:spacing w:after="0" w:line="240" w:lineRule="auto"/>
            </w:pPr>
            <w:r>
              <w:t xml:space="preserve">G1</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Dokumentation/aktuell/Konzept_Gebaeudesimulation_VDI6007_EPOS-Plan.md</w:t>
      </w:r>
      <w:r>
        <w:t xml:space="preserve"> (Kapitel 13), </w:t>
      </w:r>
      <w:r>
        <w:rPr>
          <w:rFonts w:ascii="Consolas" w:hAnsi="Consolas" w:cs="Consolas"/>
          <w:noProof/>
          <w:sz w:val="20"/>
          <w:szCs w:val="20"/>
          <w:shd w:val="clear" w:color="auto" w:fill="EFEFEF"/>
        </w:rPr>
        <w:t xml:space="preserve">Dokumentation/aktuell/Umsetzungskonzept_Gebaeudesimulation_VDI6007_EPOS-Plan.md</w:t>
      </w:r>
      <w:r>
        <w:t xml:space="preserve"> (Kapitel 5), </w:t>
      </w:r>
      <w:r>
        <w:rPr>
          <w:rFonts w:ascii="Consolas" w:hAnsi="Consolas" w:cs="Consolas"/>
          <w:noProof/>
          <w:sz w:val="20"/>
          <w:szCs w:val="20"/>
          <w:shd w:val="clear" w:color="auto" w:fill="EFEFEF"/>
        </w:rPr>
        <w:t xml:space="preserve">Dokumentation/aktuell/Konzept_Mehrzonenmodell_IFC_EPOS-Plan.md</w:t>
      </w:r>
      <w:r>
        <w:t xml:space="preserve"> (Kapitel 10), </w:t>
      </w:r>
      <w:r>
        <w:rPr>
          <w:rFonts w:ascii="Consolas" w:hAnsi="Consolas" w:cs="Consolas"/>
          <w:noProof/>
          <w:sz w:val="20"/>
          <w:szCs w:val="20"/>
          <w:shd w:val="clear" w:color="auto" w:fill="EFEFEF"/>
        </w:rPr>
        <w:t xml:space="preserve">Dokumentation/aktuell/Konzept_Datenaustausch_gbXML_IFC_EPOS-Plan.md</w:t>
      </w:r>
      <w:r>
        <w:t xml:space="preserve"> (Kapitel 11) und </w:t>
      </w:r>
      <w:r>
        <w:rPr>
          <w:rFonts w:ascii="Consolas" w:hAnsi="Consolas" w:cs="Consolas"/>
          <w:noProof/>
          <w:sz w:val="20"/>
          <w:szCs w:val="20"/>
          <w:shd w:val="clear" w:color="auto" w:fill="EFEFEF"/>
        </w:rPr>
        <w:t xml:space="preserve">Dokumentation/aktuell/Softwarearchitektur_Gebaeudesimulation_EPOS-Plan.md</w:t>
      </w:r>
      <w:r>
        <w:t xml:space="preserve"> (Kapitel 6).</w:t>
      </w:r>
    </w:p>
    <w:p>
      <w:pPr>
        <w:pStyle w:val="Trennlinie"/>
      </w:pPr>
    </w:p>
    <w:p>
      <w:pPr>
        <w:pStyle w:val="Heading1"/>
      </w:pPr>
      <w:r>
        <w:t xml:space="preserve">13 Verzeichnis der Papiere</w:t>
      </w:r>
    </w:p>
    <w:p>
      <w:pPr>
        <w:pStyle w:val="Heading2"/>
      </w:pPr>
      <w:r>
        <w:t xml:space="preserve">13.1 Konzepte und Entwürfe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Papier</w:t>
            </w:r>
          </w:p>
        </w:tc>
        <w:tc>
          <w:tcPr>
            <w:tcW w:w="0" w:type="auto"/>
            <w:shd w:val="clear" w:color="auto" w:fill="D9D9D9"/>
          </w:tcPr>
          <w:p>
            <w:pPr>
              <w:spacing w:after="0" w:line="240" w:lineRule="auto"/>
              <w:rPr>
                <w:b/>
              </w:rPr>
            </w:pPr>
            <w:r>
              <w:rPr>
                <w:b/>
              </w:rPr>
              <w:t xml:space="preserve">Pfad</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Stand</w:t>
            </w:r>
          </w:p>
        </w:tc>
      </w:tr>
      <w:tr>
        <w:tc>
          <w:tcPr>
            <w:tcW w:w="0" w:type="auto"/>
          </w:tcPr>
          <w:p>
            <w:pPr>
              <w:spacing w:after="0" w:line="240" w:lineRule="auto"/>
            </w:pPr>
            <w:r>
              <w:t xml:space="preserve">Konzept Gebäudesimulation</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Dokumentation/aktuell/Konzept_Gebaeudesimulation_VDI6007_EPOS-Plan.md</w:t>
            </w:r>
          </w:p>
        </w:tc>
        <w:tc>
          <w:tcPr>
            <w:tcW w:w="0" w:type="auto"/>
          </w:tcPr>
          <w:p>
            <w:pPr>
              <w:spacing w:after="0" w:line="240" w:lineRule="auto"/>
            </w:pPr>
            <w:r>
              <w:t xml:space="preserve">Physik, Rechenweg, Datenprüfung, Prototyp, Datenmodell, IFC, Stufen G0–G5, Fragen Q1–Q23, Nachtrag 1 mit E1–E11</w:t>
            </w:r>
          </w:p>
        </w:tc>
        <w:tc>
          <w:tcPr>
            <w:tcW w:w="0" w:type="auto"/>
          </w:tcPr>
          <w:p>
            <w:pPr>
              <w:spacing w:after="0" w:line="240" w:lineRule="auto"/>
            </w:pPr>
            <w:r>
              <w:t xml:space="preserve">Rev. 1 mit Nachtrag 1, gegengelesen</w:t>
            </w:r>
          </w:p>
        </w:tc>
      </w:tr>
      <w:tr>
        <w:tc>
          <w:tcPr>
            <w:tcW w:w="0" w:type="auto"/>
          </w:tcPr>
          <w:p>
            <w:pPr>
              <w:spacing w:after="0" w:line="240" w:lineRule="auto"/>
            </w:pPr>
            <w:r>
              <w:t xml:space="preserve">Umsetzungskonzept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Dokumentation/aktuell/Umsetzungskonzept_Gebaeudesimulation_VDI6007_EPOS-Plan.md</w:t>
            </w:r>
          </w:p>
        </w:tc>
        <w:tc>
          <w:tcPr>
            <w:tcW w:w="0" w:type="auto"/>
          </w:tcPr>
          <w:p>
            <w:pPr>
              <w:spacing w:after="0" w:line="240" w:lineRule="auto"/>
            </w:pPr>
            <w:r>
              <w:t xml:space="preserve">Einbindung in den Kern, Gebäudedialog mit U·A je Bauteil, IFC-Import G4a, gbXML-Import G4c, Exporte G7, Fragen U1–U16</w:t>
            </w:r>
          </w:p>
        </w:tc>
        <w:tc>
          <w:tcPr>
            <w:tcW w:w="0" w:type="auto"/>
          </w:tcPr>
          <w:p>
            <w:pPr>
              <w:spacing w:after="0" w:line="240" w:lineRule="auto"/>
            </w:pPr>
            <w:r>
              <w:rPr>
                <w:b/>
              </w:rPr>
              <w:t xml:space="preserve">Rev. 2</w:t>
            </w:r>
            <w:r>
              <w:t xml:space="preserve">, 62 Korrekturen eingearbeitet, unabhängig geprüft</w:t>
            </w:r>
          </w:p>
        </w:tc>
      </w:tr>
      <w:tr>
        <w:tc>
          <w:tcPr>
            <w:tcW w:w="0" w:type="auto"/>
          </w:tcPr>
          <w:p>
            <w:pPr>
              <w:spacing w:after="0" w:line="240" w:lineRule="auto"/>
            </w:pPr>
            <w:r>
              <w:t xml:space="preserve">Mehrzonenkonzept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Dokumentation/aktuell/Konzept_Mehrzonenmodell_IFC_EPOS-Plan.md</w:t>
            </w:r>
          </w:p>
        </w:tc>
        <w:tc>
          <w:tcPr>
            <w:tcW w:w="0" w:type="auto"/>
          </w:tcPr>
          <w:p>
            <w:pPr>
              <w:spacing w:after="0" w:line="240" w:lineRule="auto"/>
            </w:pPr>
            <w:r>
              <w:t xml:space="preserve">Zonenkopplung, Bauteile und Stoffwerte, Datenmodell Zone → Bauteil → Aufbau → Schicht → Baustoff, Zoneneingabe, Zonenimport, Stufen G6a–G6d, Fragen M1–M14, Grundrissansicht (E11)</w:t>
            </w:r>
          </w:p>
        </w:tc>
        <w:tc>
          <w:tcPr>
            <w:tcW w:w="0" w:type="auto"/>
          </w:tcPr>
          <w:p>
            <w:pPr>
              <w:spacing w:after="0" w:line="240" w:lineRule="auto"/>
            </w:pPr>
            <w:r>
              <w:rPr>
                <w:b/>
              </w:rPr>
              <w:t xml:space="preserve">Rev. 2</w:t>
            </w:r>
          </w:p>
        </w:tc>
      </w:tr>
      <w:tr>
        <w:tc>
          <w:tcPr>
            <w:tcW w:w="0" w:type="auto"/>
          </w:tcPr>
          <w:p>
            <w:pPr>
              <w:spacing w:after="0" w:line="240" w:lineRule="auto"/>
            </w:pPr>
            <w:r>
              <w:t xml:space="preserve">Datenaustauschkonzept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Dokumentation/aktuell/Konzept_Datenaustausch_gbXML_IFC_EPOS-Plan.md</w:t>
            </w:r>
          </w:p>
        </w:tc>
        <w:tc>
          <w:tcPr>
            <w:tcW w:w="0" w:type="auto"/>
          </w:tcPr>
          <w:p>
            <w:pPr>
              <w:spacing w:after="0" w:line="240" w:lineRule="auto"/>
            </w:pPr>
            <w:r>
              <w:t xml:space="preserve">gemeinsames Zuordnungsgerüst, gbXML-Import G4c, Exporte G7a–G7e, Persistenz der Zuordnung, Lizenz, 27 Proben, Fragen D1–D16, Nachtrag 1 zum Gebäudebetrachter</w:t>
            </w:r>
          </w:p>
        </w:tc>
        <w:tc>
          <w:tcPr>
            <w:tcW w:w="0" w:type="auto"/>
          </w:tcPr>
          <w:p>
            <w:pPr>
              <w:spacing w:after="0" w:line="240" w:lineRule="auto"/>
            </w:pPr>
            <w:r>
              <w:rPr>
                <w:b/>
              </w:rPr>
              <w:t xml:space="preserve">Rev. 2</w:t>
            </w:r>
            <w:r>
              <w:t xml:space="preserve">, 64 Befunde eingearbeitet</w:t>
            </w:r>
          </w:p>
        </w:tc>
      </w:tr>
      <w:tr>
        <w:tc>
          <w:tcPr>
            <w:tcW w:w="0" w:type="auto"/>
          </w:tcPr>
          <w:p>
            <w:pPr>
              <w:spacing w:after="0" w:line="240" w:lineRule="auto"/>
            </w:pPr>
            <w:r>
              <w:t xml:space="preserve">Rechenschritte</w:t>
            </w:r>
          </w:p>
        </w:tc>
        <w:tc>
          <w:tcPr>
            <w:tcW w:w="0" w:type="auto"/>
          </w:tcPr>
          <w:p>
            <w:pPr>
              <w:spacing w:after="0" w:line="240" w:lineRule="auto"/>
            </w:pPr>
            <w:r>
              <w:rPr>
                <w:rFonts w:ascii="Consolas" w:hAnsi="Consolas" w:cs="Consolas"/>
                <w:noProof/>
                <w:sz w:val="20"/>
                <w:szCs w:val="20"/>
                <w:shd w:val="clear" w:color="auto" w:fill="EFEFEF"/>
              </w:rPr>
              <w:t xml:space="preserve">Dokumentation/aktuell/Rechenschritte_Gebaeudesimulation_VDI6007_EPOS-Plan.md</w:t>
            </w:r>
          </w:p>
        </w:tc>
        <w:tc>
          <w:tcPr>
            <w:tcW w:w="0" w:type="auto"/>
          </w:tcPr>
          <w:p>
            <w:pPr>
              <w:spacing w:after="0" w:line="240" w:lineRule="auto"/>
            </w:pPr>
            <w:r>
              <w:t xml:space="preserve">das Rechenbuch: Schritte A–G, Eingaben und Datenquellen, Zahlenweg an einem EPOS-Gebäude, Prüfband nach E10, 15 benannte Abweichungen</w:t>
            </w:r>
          </w:p>
        </w:tc>
        <w:tc>
          <w:tcPr>
            <w:tcW w:w="0" w:type="auto"/>
          </w:tcPr>
          <w:p>
            <w:pPr>
              <w:spacing w:after="0" w:line="240" w:lineRule="auto"/>
            </w:pPr>
            <w:r>
              <w:rPr>
                <w:b/>
              </w:rPr>
              <w:t xml:space="preserve">fertig</w:t>
            </w:r>
            <w:r>
              <w:t xml:space="preserve">, zwei Lesungen eingearbeitet</w:t>
            </w:r>
          </w:p>
        </w:tc>
      </w:tr>
      <w:tr>
        <w:tc>
          <w:tcPr>
            <w:tcW w:w="0" w:type="auto"/>
          </w:tcPr>
          <w:p>
            <w:pPr>
              <w:spacing w:after="0" w:line="240" w:lineRule="auto"/>
            </w:pPr>
            <w:r>
              <w:t xml:space="preserve">Systementwurf</w:t>
            </w:r>
          </w:p>
        </w:tc>
        <w:tc>
          <w:tcPr>
            <w:tcW w:w="0" w:type="auto"/>
          </w:tcPr>
          <w:p>
            <w:pPr>
              <w:spacing w:after="0" w:line="240" w:lineRule="auto"/>
            </w:pPr>
            <w:r>
              <w:rPr>
                <w:rFonts w:ascii="Consolas" w:hAnsi="Consolas" w:cs="Consolas"/>
                <w:noProof/>
                <w:sz w:val="20"/>
                <w:szCs w:val="20"/>
                <w:shd w:val="clear" w:color="auto" w:fill="EFEFEF"/>
              </w:rPr>
              <w:t xml:space="preserve">Dokumentation/aktuell/Systementwurf_Gebaeudesimulation_EPOS-Plan.md</w:t>
            </w:r>
          </w:p>
        </w:tc>
        <w:tc>
          <w:tcPr>
            <w:tcW w:w="0" w:type="auto"/>
          </w:tcPr>
          <w:p>
            <w:pPr>
              <w:spacing w:after="0" w:line="240" w:lineRule="auto"/>
            </w:pPr>
            <w:r>
              <w:t xml:space="preserve">Anforderungen, Komponentenbild, Datenflüsse, Verträge, Speicherung, Fehlerbehandlung, Leistung, Nachweis, Abwägungen, Grenzen</w:t>
            </w:r>
          </w:p>
        </w:tc>
        <w:tc>
          <w:tcPr>
            <w:tcW w:w="0" w:type="auto"/>
          </w:tcPr>
          <w:p>
            <w:pPr>
              <w:spacing w:after="0" w:line="240" w:lineRule="auto"/>
            </w:pPr>
            <w:r>
              <w:rPr>
                <w:b/>
              </w:rPr>
              <w:t xml:space="preserve">Entwurf Rev. 1</w:t>
            </w:r>
            <w:r>
              <w:t xml:space="preserve">, Gegenlesen läuft</w:t>
            </w:r>
          </w:p>
        </w:tc>
      </w:tr>
      <w:tr>
        <w:tc>
          <w:tcPr>
            <w:tcW w:w="0" w:type="auto"/>
          </w:tcPr>
          <w:p>
            <w:pPr>
              <w:spacing w:after="0" w:line="240" w:lineRule="auto"/>
            </w:pPr>
            <w:r>
              <w:t xml:space="preserve">Softwarearchitektur</w:t>
            </w:r>
          </w:p>
        </w:tc>
        <w:tc>
          <w:tcPr>
            <w:tcW w:w="0" w:type="auto"/>
          </w:tcPr>
          <w:p>
            <w:pPr>
              <w:spacing w:after="0" w:line="240" w:lineRule="auto"/>
            </w:pPr>
            <w:r>
              <w:rPr>
                <w:rFonts w:ascii="Consolas" w:hAnsi="Consolas" w:cs="Consolas"/>
                <w:noProof/>
                <w:sz w:val="20"/>
                <w:szCs w:val="20"/>
                <w:shd w:val="clear" w:color="auto" w:fill="EFEFEF"/>
              </w:rPr>
              <w:t xml:space="preserve">Dokumentation/aktuell/Softwarearchitektur_Gebaeudesimulation_EPOS-Plan.md</w:t>
            </w:r>
          </w:p>
        </w:tc>
        <w:tc>
          <w:tcPr>
            <w:tcW w:w="0" w:type="auto"/>
          </w:tcPr>
          <w:p>
            <w:pPr>
              <w:spacing w:after="0" w:line="240" w:lineRule="auto"/>
            </w:pPr>
            <w:r>
              <w:t xml:space="preserve">Schichten und Klassen, Nähte, Wächter, Datenmodell-Architektur, Dialogführung, Integration, Umsetzungsreihenfolge, Architekturfragen A1–A18</w:t>
            </w:r>
          </w:p>
        </w:tc>
        <w:tc>
          <w:tcPr>
            <w:tcW w:w="0" w:type="auto"/>
          </w:tcPr>
          <w:p>
            <w:pPr>
              <w:spacing w:after="0" w:line="240" w:lineRule="auto"/>
            </w:pPr>
            <w:r>
              <w:rPr>
                <w:b/>
              </w:rPr>
              <w:t xml:space="preserve">Entwurf Rev. 1</w:t>
            </w:r>
            <w:r>
              <w:t xml:space="preserve">, Gegenlesen läuft</w:t>
            </w:r>
          </w:p>
        </w:tc>
      </w:tr>
      <w:tr>
        <w:tc>
          <w:tcPr>
            <w:tcW w:w="0" w:type="auto"/>
          </w:tcPr>
          <w:p>
            <w:pPr>
              <w:spacing w:after="0" w:line="240" w:lineRule="auto"/>
            </w:pPr>
            <w:r>
              <w:t xml:space="preserve">Statusdatei</w:t>
            </w:r>
          </w:p>
        </w:tc>
        <w:tc>
          <w:tcPr>
            <w:tcW w:w="0" w:type="auto"/>
          </w:tcPr>
          <w:p>
            <w:pPr>
              <w:spacing w:after="0" w:line="240" w:lineRule="auto"/>
            </w:pPr>
            <w:r>
              <w:rPr>
                <w:rFonts w:ascii="Consolas" w:hAnsi="Consolas" w:cs="Consolas"/>
                <w:noProof/>
                <w:sz w:val="20"/>
                <w:szCs w:val="20"/>
                <w:shd w:val="clear" w:color="auto" w:fill="EFEFEF"/>
              </w:rPr>
              <w:t xml:space="preserve">Dokumentation/aktuell/Status_Gebaeudesimulation_VDI6007.md</w:t>
            </w:r>
          </w:p>
        </w:tc>
        <w:tc>
          <w:tcPr>
            <w:tcW w:w="0" w:type="auto"/>
          </w:tcPr>
          <w:p>
            <w:pPr>
              <w:spacing w:after="0" w:line="240" w:lineRule="auto"/>
            </w:pPr>
            <w:r>
              <w:t xml:space="preserve">je Entscheid und je Stufe eine Zeile: was wann mit welchem Ergebnis entschieden und umgesetzt ist — und was offen ist</w:t>
            </w:r>
          </w:p>
        </w:tc>
        <w:tc>
          <w:tcPr>
            <w:tcW w:w="0" w:type="auto"/>
          </w:tcPr>
          <w:p>
            <w:pPr>
              <w:spacing w:after="0" w:line="240" w:lineRule="auto"/>
            </w:pPr>
            <w:r>
              <w:t xml:space="preserve">fortlaufend</w:t>
            </w:r>
          </w:p>
        </w:tc>
      </w:tr>
      <w:tr>
        <w:tc>
          <w:tcPr>
            <w:tcW w:w="0" w:type="auto"/>
          </w:tcPr>
          <w:p>
            <w:pPr>
              <w:spacing w:after="0" w:line="240" w:lineRule="auto"/>
            </w:pPr>
            <w:r>
              <w:t xml:space="preserve">Werkzeuglage</w:t>
            </w:r>
          </w:p>
        </w:tc>
        <w:tc>
          <w:tcPr>
            <w:tcW w:w="0" w:type="auto"/>
          </w:tcPr>
          <w:p>
            <w:pPr>
              <w:spacing w:after="0" w:line="240" w:lineRule="auto"/>
            </w:pPr>
            <w:r>
              <w:rPr>
                <w:rFonts w:ascii="Consolas" w:hAnsi="Consolas" w:cs="Consolas"/>
                <w:noProof/>
                <w:sz w:val="20"/>
                <w:szCs w:val="20"/>
                <w:shd w:val="clear" w:color="auto" w:fill="EFEFEF"/>
              </w:rPr>
              <w:t xml:space="preserve">Dokumentation/aktuell/Werkzeuglage_Rechner_EPOS-Plan.md</w:t>
            </w:r>
          </w:p>
        </w:tc>
        <w:tc>
          <w:tcPr>
            <w:tcW w:w="0" w:type="auto"/>
          </w:tcPr>
          <w:p>
            <w:pPr>
              <w:spacing w:after="0" w:line="240" w:lineRule="auto"/>
            </w:pPr>
            <w:r>
              <w:t xml:space="preserve">Werkzeugstand des Arbeitsrechners</w:t>
            </w:r>
          </w:p>
        </w:tc>
        <w:tc>
          <w:tcPr>
            <w:tcW w:w="0" w:type="auto"/>
          </w:tcPr>
          <w:p>
            <w:pPr>
              <w:spacing w:after="0" w:line="240" w:lineRule="auto"/>
            </w:pPr>
            <w:r>
              <w:t xml:space="preserve">fortlaufend</w:t>
            </w:r>
          </w:p>
        </w:tc>
      </w:tr>
    </w:tbl>
    <w:p>
      <w:pPr>
        <w:spacing w:after="120"/>
      </w:pPr>
    </w:p>
    <w:p>
      <w:pPr>
        <w:pStyle w:val="Heading2"/>
      </w:pPr>
      <w:r>
        <w:t xml:space="preserve">13.2 Architekturentscheide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ADR</w:t>
            </w:r>
          </w:p>
        </w:tc>
        <w:tc>
          <w:tcPr>
            <w:tcW w:w="0" w:type="auto"/>
            <w:shd w:val="clear" w:color="auto" w:fill="D9D9D9"/>
          </w:tcPr>
          <w:p>
            <w:pPr>
              <w:spacing w:after="0" w:line="240" w:lineRule="auto"/>
              <w:rPr>
                <w:b/>
              </w:rPr>
            </w:pPr>
            <w:r>
              <w:rPr>
                <w:b/>
              </w:rPr>
              <w:t xml:space="preserve">Pfad</w:t>
            </w:r>
          </w:p>
        </w:tc>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Status</w:t>
            </w:r>
          </w:p>
        </w:tc>
      </w:tr>
      <w:tr>
        <w:tc>
          <w:tcPr>
            <w:tcW w:w="0" w:type="auto"/>
          </w:tcPr>
          <w:p>
            <w:pPr>
              <w:spacing w:after="0" w:line="240" w:lineRule="auto"/>
            </w:pPr>
            <w:r>
              <w:t xml:space="preserve">ADR-001</w:t>
            </w:r>
          </w:p>
        </w:tc>
        <w:tc>
          <w:tcPr>
            <w:tcW w:w="0" w:type="auto"/>
          </w:tcPr>
          <w:p>
            <w:pPr>
              <w:spacing w:after="0" w:line="240" w:lineRule="auto"/>
            </w:pPr>
            <w:r>
              <w:rPr>
                <w:rFonts w:ascii="Consolas" w:hAnsi="Consolas" w:cs="Consolas"/>
                <w:noProof/>
                <w:sz w:val="20"/>
                <w:szCs w:val="20"/>
                <w:shd w:val="clear" w:color="auto" w:fill="EFEFEF"/>
              </w:rPr>
              <w:t xml:space="preserve">Dokumentation/aktuell/ADR-001_Schema-Ausrollung.md</w:t>
            </w:r>
          </w:p>
        </w:tc>
        <w:tc>
          <w:tcPr>
            <w:tcW w:w="0" w:type="auto"/>
          </w:tcPr>
          <w:p>
            <w:pPr>
              <w:spacing w:after="0" w:line="240" w:lineRule="auto"/>
            </w:pPr>
            <w:r>
              <w:t xml:space="preserve">Schemaänderungen als nummerierte Schritte</w:t>
            </w:r>
          </w:p>
        </w:tc>
        <w:tc>
          <w:tcPr>
            <w:tcW w:w="0" w:type="auto"/>
          </w:tcPr>
          <w:p>
            <w:pPr>
              <w:spacing w:after="0" w:line="240" w:lineRule="auto"/>
            </w:pPr>
            <w:r>
              <w:t xml:space="preserve">angenommen</w:t>
            </w:r>
          </w:p>
        </w:tc>
      </w:tr>
      <w:tr>
        <w:tc>
          <w:tcPr>
            <w:tcW w:w="0" w:type="auto"/>
          </w:tcPr>
          <w:p>
            <w:pPr>
              <w:spacing w:after="0" w:line="240" w:lineRule="auto"/>
            </w:pPr>
            <w:r>
              <w:t xml:space="preserve">ADR-002</w:t>
            </w:r>
          </w:p>
        </w:tc>
        <w:tc>
          <w:tcPr>
            <w:tcW w:w="0" w:type="auto"/>
          </w:tcPr>
          <w:p>
            <w:pPr>
              <w:spacing w:after="0" w:line="240" w:lineRule="auto"/>
            </w:pPr>
            <w:r>
              <w:rPr>
                <w:rFonts w:ascii="Consolas" w:hAnsi="Consolas" w:cs="Consolas"/>
                <w:noProof/>
                <w:sz w:val="20"/>
                <w:szCs w:val="20"/>
                <w:shd w:val="clear" w:color="auto" w:fill="EFEFEF"/>
              </w:rPr>
              <w:t xml:space="preserve">Dokumentation/aktuell/ADR-002_Stundenmodell_VDI6007_Einbindung.md</w:t>
            </w:r>
          </w:p>
        </w:tc>
        <w:tc>
          <w:tcPr>
            <w:tcW w:w="0" w:type="auto"/>
          </w:tcPr>
          <w:p>
            <w:pPr>
              <w:spacing w:after="0" w:line="240" w:lineRule="auto"/>
            </w:pPr>
            <w:r>
              <w:t xml:space="preserve">Stundenmodell als Vorgabemodell, eine Naht, Basis neu einfrieren</w:t>
            </w:r>
          </w:p>
        </w:tc>
        <w:tc>
          <w:tcPr>
            <w:tcW w:w="0" w:type="auto"/>
          </w:tcPr>
          <w:p>
            <w:pPr>
              <w:spacing w:after="0" w:line="240" w:lineRule="auto"/>
            </w:pPr>
            <w:r>
              <w:rPr>
                <w:b/>
              </w:rPr>
              <w:t xml:space="preserve">angenommen</w:t>
            </w:r>
          </w:p>
        </w:tc>
      </w:tr>
      <w:tr>
        <w:tc>
          <w:tcPr>
            <w:tcW w:w="0" w:type="auto"/>
          </w:tcPr>
          <w:p>
            <w:pPr>
              <w:spacing w:after="0" w:line="240" w:lineRule="auto"/>
            </w:pPr>
            <w:r>
              <w:t xml:space="preserve">ADR-003</w:t>
            </w:r>
          </w:p>
        </w:tc>
        <w:tc>
          <w:tcPr>
            <w:tcW w:w="0" w:type="auto"/>
          </w:tcPr>
          <w:p>
            <w:pPr>
              <w:spacing w:after="0" w:line="240" w:lineRule="auto"/>
            </w:pPr>
            <w:r>
              <w:rPr>
                <w:rFonts w:ascii="Consolas" w:hAnsi="Consolas" w:cs="Consolas"/>
                <w:noProof/>
                <w:sz w:val="20"/>
                <w:szCs w:val="20"/>
                <w:shd w:val="clear" w:color="auto" w:fill="EFEFEF"/>
              </w:rPr>
              <w:t xml:space="preserve">Dokumentation/aktuell/ADR-003_IFC_xBIM_ohne_Geometriekernel.md</w:t>
            </w:r>
          </w:p>
        </w:tc>
        <w:tc>
          <w:tcPr>
            <w:tcW w:w="0" w:type="auto"/>
          </w:tcPr>
          <w:p>
            <w:pPr>
              <w:spacing w:after="0" w:line="240" w:lineRule="auto"/>
            </w:pPr>
            <w:r>
              <w:t xml:space="preserve">xBIM als unverändertes NuGet-Paket, allein das Speichermodell, kein Geometriekernel</w:t>
            </w:r>
          </w:p>
        </w:tc>
        <w:tc>
          <w:tcPr>
            <w:tcW w:w="0" w:type="auto"/>
          </w:tcPr>
          <w:p>
            <w:pPr>
              <w:spacing w:after="0" w:line="240" w:lineRule="auto"/>
            </w:pPr>
            <w:r>
              <w:rPr>
                <w:b/>
              </w:rPr>
              <w:t xml:space="preserve">angenommen</w:t>
            </w:r>
          </w:p>
        </w:tc>
      </w:tr>
      <w:tr>
        <w:tc>
          <w:tcPr>
            <w:tcW w:w="0" w:type="auto"/>
          </w:tcPr>
          <w:p>
            <w:pPr>
              <w:spacing w:after="0" w:line="240" w:lineRule="auto"/>
            </w:pPr>
            <w:r>
              <w:t xml:space="preserve">ADR-004</w:t>
            </w:r>
          </w:p>
        </w:tc>
        <w:tc>
          <w:tcPr>
            <w:tcW w:w="0" w:type="auto"/>
          </w:tcPr>
          <w:p>
            <w:pPr>
              <w:spacing w:after="0" w:line="240" w:lineRule="auto"/>
            </w:pPr>
            <w:r>
              <w:rPr>
                <w:rFonts w:ascii="Consolas" w:hAnsi="Consolas" w:cs="Consolas"/>
                <w:noProof/>
                <w:sz w:val="20"/>
                <w:szCs w:val="20"/>
                <w:shd w:val="clear" w:color="auto" w:fill="EFEFEF"/>
              </w:rPr>
              <w:t xml:space="preserve">Dokumentation/aktuell/ADR-004_gbXML_LINQ_to_XML.md</w:t>
            </w:r>
          </w:p>
        </w:tc>
        <w:tc>
          <w:tcPr>
            <w:tcW w:w="0" w:type="auto"/>
          </w:tcPr>
          <w:p>
            <w:pPr>
              <w:spacing w:after="0" w:line="240" w:lineRule="auto"/>
            </w:pPr>
            <w:r>
              <w:t xml:space="preserve">gbXML mit LINQ to XML statt Serialisierer, Version 6.01</w:t>
            </w:r>
          </w:p>
        </w:tc>
        <w:tc>
          <w:tcPr>
            <w:tcW w:w="0" w:type="auto"/>
          </w:tcPr>
          <w:p>
            <w:pPr>
              <w:spacing w:after="0" w:line="240" w:lineRule="auto"/>
            </w:pPr>
            <w:r>
              <w:rPr>
                <w:b/>
              </w:rPr>
              <w:t xml:space="preserve">vorgeschlagen</w:t>
            </w:r>
          </w:p>
        </w:tc>
      </w:tr>
      <w:tr>
        <w:tc>
          <w:tcPr>
            <w:tcW w:w="0" w:type="auto"/>
          </w:tcPr>
          <w:p>
            <w:pPr>
              <w:spacing w:after="0" w:line="240" w:lineRule="auto"/>
            </w:pPr>
            <w:r>
              <w:t xml:space="preserve">ADR-005</w:t>
            </w:r>
          </w:p>
        </w:tc>
        <w:tc>
          <w:tcPr>
            <w:tcW w:w="0" w:type="auto"/>
          </w:tcPr>
          <w:p>
            <w:pPr>
              <w:spacing w:after="0" w:line="240" w:lineRule="auto"/>
            </w:pPr>
            <w:r>
              <w:rPr>
                <w:rFonts w:ascii="Consolas" w:hAnsi="Consolas" w:cs="Consolas"/>
                <w:noProof/>
                <w:sz w:val="20"/>
                <w:szCs w:val="20"/>
                <w:shd w:val="clear" w:color="auto" w:fill="EFEFEF"/>
              </w:rPr>
              <w:t xml:space="preserve">Dokumentation/aktuell/ADR-005_Zonenkopplung_Mehrzonenmodell.md</w:t>
            </w:r>
          </w:p>
        </w:tc>
        <w:tc>
          <w:tcPr>
            <w:tcW w:w="0" w:type="auto"/>
          </w:tcPr>
          <w:p>
            <w:pPr>
              <w:spacing w:after="0" w:line="240" w:lineRule="auto"/>
            </w:pPr>
            <w:r>
              <w:t xml:space="preserve">Zonenkopplung über die Nachbarraum-Randbedingung, Gauß-Seidel je Stunde</w:t>
            </w:r>
          </w:p>
        </w:tc>
        <w:tc>
          <w:tcPr>
            <w:tcW w:w="0" w:type="auto"/>
          </w:tcPr>
          <w:p>
            <w:pPr>
              <w:spacing w:after="0" w:line="240" w:lineRule="auto"/>
            </w:pPr>
            <w:r>
              <w:rPr>
                <w:b/>
              </w:rPr>
              <w:t xml:space="preserve">vorgeschlagen</w:t>
            </w:r>
          </w:p>
        </w:tc>
      </w:tr>
    </w:tbl>
    <w:p>
      <w:pPr>
        <w:spacing w:after="120"/>
      </w:pPr>
    </w:p>
    <w:p>
      <w:pPr>
        <w:pStyle w:val="Heading2"/>
      </w:pPr>
      <w:r>
        <w:t xml:space="preserve">13.3 Befunde der Prüfagenten</w:t>
      </w:r>
    </w:p>
    <w:p>
      <w:r>
        <w:t xml:space="preserve">Alle Befunde liegen unter </w:t>
      </w:r>
      <w:r>
        <w:rPr>
          <w:rFonts w:ascii="Consolas" w:hAnsi="Consolas" w:cs="Consolas"/>
          <w:noProof/>
          <w:sz w:val="20"/>
          <w:szCs w:val="20"/>
          <w:shd w:val="clear" w:color="auto" w:fill="EFEFEF"/>
        </w:rPr>
        <w:t xml:space="preserve">Dokumentation/aktuell/Gebaeudesimulation/</w:t>
      </w:r>
      <w:r>
        <w:t xml:space="preserve"> mit dem Datumspräfix </w:t>
      </w:r>
      <w:r>
        <w:rPr>
          <w:rFonts w:ascii="Consolas" w:hAnsi="Consolas" w:cs="Consolas"/>
          <w:noProof/>
          <w:sz w:val="20"/>
          <w:szCs w:val="20"/>
          <w:shd w:val="clear" w:color="auto" w:fill="EFEFEF"/>
        </w:rPr>
        <w:t xml:space="preserve">2026-09-15_</w:t>
      </w:r>
      <w:r>
        <w:t xml:space="preserve">. Sie bleiben Belegquelle in </w:t>
      </w:r>
      <w:r>
        <w:rPr>
          <w:rFonts w:ascii="Consolas" w:hAnsi="Consolas" w:cs="Consolas"/>
          <w:noProof/>
          <w:sz w:val="20"/>
          <w:szCs w:val="20"/>
          <w:shd w:val="clear" w:color="auto" w:fill="EFEFEF"/>
        </w:rPr>
        <w:t xml:space="preserve">aktuell/</w:t>
      </w:r>
      <w:r>
        <w:t xml:space="preserve">, solange die Konzept- und Architekturpapiere gelten.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Befund</w:t>
            </w:r>
          </w:p>
        </w:tc>
        <w:tc>
          <w:tcPr>
            <w:tcW w:w="0" w:type="auto"/>
            <w:shd w:val="clear" w:color="auto" w:fill="D9D9D9"/>
          </w:tcPr>
          <w:p>
            <w:pPr>
              <w:spacing w:after="0" w:line="240" w:lineRule="auto"/>
              <w:rPr>
                <w:b/>
              </w:rPr>
            </w:pPr>
            <w:r>
              <w:rPr>
                <w:b/>
              </w:rPr>
              <w:t xml:space="preserve">Datei</w:t>
            </w:r>
          </w:p>
        </w:tc>
        <w:tc>
          <w:tcPr>
            <w:tcW w:w="0" w:type="auto"/>
            <w:shd w:val="clear" w:color="auto" w:fill="D9D9D9"/>
          </w:tcPr>
          <w:p>
            <w:pPr>
              <w:spacing w:after="0" w:line="240" w:lineRule="auto"/>
              <w:rPr>
                <w:b/>
              </w:rPr>
            </w:pPr>
            <w:r>
              <w:rPr>
                <w:b/>
              </w:rPr>
              <w:t xml:space="preserve">Inhalt in einem Satz</w:t>
            </w:r>
          </w:p>
        </w:tc>
      </w:tr>
      <w:tr>
        <w:tc>
          <w:tcPr>
            <w:tcW w:w="0" w:type="auto"/>
          </w:tcPr>
          <w:p>
            <w:pPr>
              <w:spacing w:after="0" w:line="240" w:lineRule="auto"/>
            </w:pPr>
            <w:r>
              <w:rPr>
                <w:b/>
              </w:rPr>
              <w:t xml:space="preserve">A</w:t>
            </w:r>
          </w:p>
        </w:tc>
        <w:tc>
          <w:tcPr>
            <w:tcW w:w="0" w:type="auto"/>
          </w:tcPr>
          <w:p>
            <w:pPr>
              <w:spacing w:after="0" w:line="240" w:lineRule="auto"/>
            </w:pPr>
            <w:r>
              <w:rPr>
                <w:rFonts w:ascii="Consolas" w:hAnsi="Consolas" w:cs="Consolas"/>
                <w:noProof/>
                <w:sz w:val="20"/>
                <w:szCs w:val="20"/>
                <w:shd w:val="clear" w:color="auto" w:fill="EFEFEF"/>
              </w:rPr>
              <w:t xml:space="preserve">2026-09-15_Befund_A_Material_VDI6007.md</w:t>
            </w:r>
          </w:p>
        </w:tc>
        <w:tc>
          <w:tcPr>
            <w:tcW w:w="0" w:type="auto"/>
          </w:tcPr>
          <w:p>
            <w:pPr>
              <w:spacing w:after="0" w:line="240" w:lineRule="auto"/>
            </w:pPr>
            <w:r>
              <w:t xml:space="preserve">das Material auf dem Netzlaufwerk: Inhalt, Strukturfehler, Lizenz, was übernehmbar ist</w:t>
            </w:r>
          </w:p>
        </w:tc>
      </w:tr>
      <w:tr>
        <w:tc>
          <w:tcPr>
            <w:tcW w:w="0" w:type="auto"/>
          </w:tcPr>
          <w:p>
            <w:pPr>
              <w:spacing w:after="0" w:line="240" w:lineRule="auto"/>
            </w:pPr>
            <w:r>
              <w:rPr>
                <w:b/>
              </w:rPr>
              <w:t xml:space="preserve">B</w:t>
            </w:r>
          </w:p>
        </w:tc>
        <w:tc>
          <w:tcPr>
            <w:tcW w:w="0" w:type="auto"/>
          </w:tcPr>
          <w:p>
            <w:pPr>
              <w:spacing w:after="0" w:line="240" w:lineRule="auto"/>
            </w:pPr>
            <w:r>
              <w:rPr>
                <w:rFonts w:ascii="Consolas" w:hAnsi="Consolas" w:cs="Consolas"/>
                <w:noProof/>
                <w:sz w:val="20"/>
                <w:szCs w:val="20"/>
                <w:shd w:val="clear" w:color="auto" w:fill="EFEFEF"/>
              </w:rPr>
              <w:t xml:space="preserve">2026-09-15_Befund_B_Rechenweg_Kern.md</w:t>
            </w:r>
          </w:p>
        </w:tc>
        <w:tc>
          <w:tcPr>
            <w:tcW w:w="0" w:type="auto"/>
          </w:tcPr>
          <w:p>
            <w:pPr>
              <w:spacing w:after="0" w:line="240" w:lineRule="auto"/>
            </w:pPr>
            <w:r>
              <w:t xml:space="preserve">der Rechenweg des Bestands, sein Datenmodell und seine Andockpunkte</w:t>
            </w:r>
          </w:p>
        </w:tc>
      </w:tr>
      <w:tr>
        <w:tc>
          <w:tcPr>
            <w:tcW w:w="0" w:type="auto"/>
          </w:tcPr>
          <w:p>
            <w:pPr>
              <w:spacing w:after="0" w:line="240" w:lineRule="auto"/>
            </w:pPr>
            <w:r>
              <w:rPr>
                <w:b/>
              </w:rPr>
              <w:t xml:space="preserve">C</w:t>
            </w:r>
          </w:p>
        </w:tc>
        <w:tc>
          <w:tcPr>
            <w:tcW w:w="0" w:type="auto"/>
          </w:tcPr>
          <w:p>
            <w:pPr>
              <w:spacing w:after="0" w:line="240" w:lineRule="auto"/>
            </w:pPr>
            <w:r>
              <w:rPr>
                <w:rFonts w:ascii="Consolas" w:hAnsi="Consolas" w:cs="Consolas"/>
                <w:noProof/>
                <w:sz w:val="20"/>
                <w:szCs w:val="20"/>
                <w:shd w:val="clear" w:color="auto" w:fill="EFEFEF"/>
              </w:rPr>
              <w:t xml:space="preserve">2026-09-15_Befund_C_IFC-Recherche.md</w:t>
            </w:r>
          </w:p>
        </w:tc>
        <w:tc>
          <w:tcPr>
            <w:tcW w:w="0" w:type="auto"/>
          </w:tcPr>
          <w:p>
            <w:pPr>
              <w:spacing w:after="0" w:line="240" w:lineRule="auto"/>
            </w:pPr>
            <w:r>
              <w:t xml:space="preserve">IFC-Bibliotheken, Autorensysteme, Praxisrelevanz und Grenzen</w:t>
            </w:r>
          </w:p>
        </w:tc>
      </w:tr>
      <w:tr>
        <w:tc>
          <w:tcPr>
            <w:tcW w:w="0" w:type="auto"/>
          </w:tcPr>
          <w:p>
            <w:pPr>
              <w:spacing w:after="0" w:line="240" w:lineRule="auto"/>
            </w:pPr>
            <w:r>
              <w:rPr>
                <w:b/>
              </w:rPr>
              <w:t xml:space="preserve">D</w:t>
            </w:r>
          </w:p>
        </w:tc>
        <w:tc>
          <w:tcPr>
            <w:tcW w:w="0" w:type="auto"/>
          </w:tcPr>
          <w:p>
            <w:pPr>
              <w:spacing w:after="0" w:line="240" w:lineRule="auto"/>
            </w:pPr>
            <w:r>
              <w:rPr>
                <w:rFonts w:ascii="Consolas" w:hAnsi="Consolas" w:cs="Consolas"/>
                <w:noProof/>
                <w:sz w:val="20"/>
                <w:szCs w:val="20"/>
                <w:shd w:val="clear" w:color="auto" w:fill="EFEFEF"/>
              </w:rPr>
              <w:t xml:space="preserve">2026-09-15_Befund_D_Testdatenbank.md</w:t>
            </w:r>
          </w:p>
        </w:tc>
        <w:tc>
          <w:tcPr>
            <w:tcW w:w="0" w:type="auto"/>
          </w:tcPr>
          <w:p>
            <w:pPr>
              <w:spacing w:after="0" w:line="240" w:lineRule="auto"/>
            </w:pPr>
            <w:r>
              <w:t xml:space="preserve">Umfang, Vollständigkeit, Einheiten und Datenfehler der Testdatenbank</w:t>
            </w:r>
          </w:p>
        </w:tc>
      </w:tr>
      <w:tr>
        <w:tc>
          <w:tcPr>
            <w:tcW w:w="0" w:type="auto"/>
          </w:tcPr>
          <w:p>
            <w:pPr>
              <w:spacing w:after="0" w:line="240" w:lineRule="auto"/>
            </w:pPr>
            <w:r>
              <w:rPr>
                <w:b/>
              </w:rPr>
              <w:t xml:space="preserve">E</w:t>
            </w:r>
          </w:p>
        </w:tc>
        <w:tc>
          <w:tcPr>
            <w:tcW w:w="0" w:type="auto"/>
          </w:tcPr>
          <w:p>
            <w:pPr>
              <w:spacing w:after="0" w:line="240" w:lineRule="auto"/>
            </w:pPr>
            <w:r>
              <w:rPr>
                <w:rFonts w:ascii="Consolas" w:hAnsi="Consolas" w:cs="Consolas"/>
                <w:noProof/>
                <w:sz w:val="20"/>
                <w:szCs w:val="20"/>
                <w:shd w:val="clear" w:color="auto" w:fill="EFEFEF"/>
              </w:rPr>
              <w:t xml:space="preserve">2026-09-15_Befund_E_Prototyp_Normtestfaelle.md</w:t>
            </w:r>
          </w:p>
        </w:tc>
        <w:tc>
          <w:tcPr>
            <w:tcW w:w="0" w:type="auto"/>
          </w:tcPr>
          <w:p>
            <w:pPr>
              <w:spacing w:after="0" w:line="240" w:lineRule="auto"/>
            </w:pPr>
            <w:r>
              <w:t xml:space="preserve">der Prototyp gegen die zwölf Normtestfälle</w:t>
            </w:r>
          </w:p>
        </w:tc>
      </w:tr>
      <w:tr>
        <w:tc>
          <w:tcPr>
            <w:tcW w:w="0" w:type="auto"/>
          </w:tcPr>
          <w:p>
            <w:pPr>
              <w:spacing w:after="0" w:line="240" w:lineRule="auto"/>
            </w:pPr>
            <w:r>
              <w:rPr>
                <w:b/>
              </w:rPr>
              <w:t xml:space="preserve">F</w:t>
            </w:r>
          </w:p>
        </w:tc>
        <w:tc>
          <w:tcPr>
            <w:tcW w:w="0" w:type="auto"/>
          </w:tcPr>
          <w:p>
            <w:pPr>
              <w:spacing w:after="0" w:line="240" w:lineRule="auto"/>
            </w:pPr>
            <w:r>
              <w:rPr>
                <w:rFonts w:ascii="Consolas" w:hAnsi="Consolas" w:cs="Consolas"/>
                <w:noProof/>
                <w:sz w:val="20"/>
                <w:szCs w:val="20"/>
                <w:shd w:val="clear" w:color="auto" w:fill="EFEFEF"/>
              </w:rPr>
              <w:t xml:space="preserve">2026-09-15_Befund_F_Prototyp_Vergleich_Tagesmodell.md</w:t>
            </w:r>
          </w:p>
        </w:tc>
        <w:tc>
          <w:tcPr>
            <w:tcW w:w="0" w:type="auto"/>
          </w:tcPr>
          <w:p>
            <w:pPr>
              <w:spacing w:after="0" w:line="240" w:lineRule="auto"/>
            </w:pPr>
            <w:r>
              <w:t xml:space="preserve">Prototyp gegen das Tagesmodell je Projekt und Gebäude</w:t>
            </w:r>
          </w:p>
        </w:tc>
      </w:tr>
      <w:tr>
        <w:tc>
          <w:tcPr>
            <w:tcW w:w="0" w:type="auto"/>
          </w:tcPr>
          <w:p>
            <w:pPr>
              <w:spacing w:after="0" w:line="240" w:lineRule="auto"/>
            </w:pPr>
            <w:r>
              <w:rPr>
                <w:b/>
              </w:rPr>
              <w:t xml:space="preserve">G</w:t>
            </w:r>
          </w:p>
        </w:tc>
        <w:tc>
          <w:tcPr>
            <w:tcW w:w="0" w:type="auto"/>
          </w:tcPr>
          <w:p>
            <w:pPr>
              <w:spacing w:after="0" w:line="240" w:lineRule="auto"/>
            </w:pPr>
            <w:r>
              <w:rPr>
                <w:rFonts w:ascii="Consolas" w:hAnsi="Consolas" w:cs="Consolas"/>
                <w:noProof/>
                <w:sz w:val="20"/>
                <w:szCs w:val="20"/>
                <w:shd w:val="clear" w:color="auto" w:fill="EFEFEF"/>
              </w:rPr>
              <w:t xml:space="preserve">2026-09-15_Befund_G_Kritik_Widersprueche.md</w:t>
            </w:r>
          </w:p>
        </w:tc>
        <w:tc>
          <w:tcPr>
            <w:tcW w:w="0" w:type="auto"/>
          </w:tcPr>
          <w:p>
            <w:pPr>
              <w:spacing w:after="0" w:line="240" w:lineRule="auto"/>
            </w:pPr>
            <w:r>
              <w:t xml:space="preserve">Kritik und Widersprüche im Bestand</w:t>
            </w:r>
          </w:p>
        </w:tc>
      </w:tr>
      <w:tr>
        <w:tc>
          <w:tcPr>
            <w:tcW w:w="0" w:type="auto"/>
          </w:tcPr>
          <w:p>
            <w:pPr>
              <w:spacing w:after="0" w:line="240" w:lineRule="auto"/>
            </w:pPr>
            <w:r>
              <w:rPr>
                <w:b/>
              </w:rPr>
              <w:t xml:space="preserve">H</w:t>
            </w:r>
          </w:p>
        </w:tc>
        <w:tc>
          <w:tcPr>
            <w:tcW w:w="0" w:type="auto"/>
          </w:tcPr>
          <w:p>
            <w:pPr>
              <w:spacing w:after="0" w:line="240" w:lineRule="auto"/>
            </w:pPr>
            <w:r>
              <w:rPr>
                <w:rFonts w:ascii="Consolas" w:hAnsi="Consolas" w:cs="Consolas"/>
                <w:noProof/>
                <w:sz w:val="20"/>
                <w:szCs w:val="20"/>
                <w:shd w:val="clear" w:color="auto" w:fill="EFEFEF"/>
              </w:rPr>
              <w:t xml:space="preserve">2026-09-15_Befund_H_OstWest_Rechenzeit.md</w:t>
            </w:r>
          </w:p>
        </w:tc>
        <w:tc>
          <w:tcPr>
            <w:tcW w:w="0" w:type="auto"/>
          </w:tcPr>
          <w:p>
            <w:pPr>
              <w:spacing w:after="0" w:line="240" w:lineRule="auto"/>
            </w:pPr>
            <w:r>
              <w:t xml:space="preserve">Ost-West-Trennung und gemessene Rechenzeit</w:t>
            </w:r>
          </w:p>
        </w:tc>
      </w:tr>
      <w:tr>
        <w:tc>
          <w:tcPr>
            <w:tcW w:w="0" w:type="auto"/>
          </w:tcPr>
          <w:p>
            <w:pPr>
              <w:spacing w:after="0" w:line="240" w:lineRule="auto"/>
            </w:pPr>
            <w:r>
              <w:rPr>
                <w:b/>
              </w:rPr>
              <w:t xml:space="preserve">I</w:t>
            </w:r>
          </w:p>
        </w:tc>
        <w:tc>
          <w:tcPr>
            <w:tcW w:w="0" w:type="auto"/>
          </w:tcPr>
          <w:p>
            <w:pPr>
              <w:spacing w:after="0" w:line="240" w:lineRule="auto"/>
            </w:pPr>
            <w:r>
              <w:rPr>
                <w:rFonts w:ascii="Consolas" w:hAnsi="Consolas" w:cs="Consolas"/>
                <w:noProof/>
                <w:sz w:val="20"/>
                <w:szCs w:val="20"/>
                <w:shd w:val="clear" w:color="auto" w:fill="EFEFEF"/>
              </w:rPr>
              <w:t xml:space="preserve">2026-09-15_Befund_I_VDI6007_Richtlinie_Abgleich.md</w:t>
            </w:r>
          </w:p>
        </w:tc>
        <w:tc>
          <w:tcPr>
            <w:tcW w:w="0" w:type="auto"/>
          </w:tcPr>
          <w:p>
            <w:pPr>
              <w:spacing w:after="0" w:line="240" w:lineRule="auto"/>
            </w:pPr>
            <w:r>
              <w:t xml:space="preserve">Abgleich des Rechenwegs gegen die Richtlinie Blatt 1 bis 3</w:t>
            </w:r>
          </w:p>
        </w:tc>
      </w:tr>
      <w:tr>
        <w:tc>
          <w:tcPr>
            <w:tcW w:w="0" w:type="auto"/>
          </w:tcPr>
          <w:p>
            <w:pPr>
              <w:spacing w:after="0" w:line="240" w:lineRule="auto"/>
            </w:pPr>
            <w:r>
              <w:rPr>
                <w:b/>
              </w:rPr>
              <w:t xml:space="preserve">J</w:t>
            </w:r>
          </w:p>
        </w:tc>
        <w:tc>
          <w:tcPr>
            <w:tcW w:w="0" w:type="auto"/>
          </w:tcPr>
          <w:p>
            <w:pPr>
              <w:spacing w:after="0" w:line="240" w:lineRule="auto"/>
            </w:pPr>
            <w:r>
              <w:rPr>
                <w:rFonts w:ascii="Consolas" w:hAnsi="Consolas" w:cs="Consolas"/>
                <w:noProof/>
                <w:sz w:val="20"/>
                <w:szCs w:val="20"/>
                <w:shd w:val="clear" w:color="auto" w:fill="EFEFEF"/>
              </w:rPr>
              <w:t xml:space="preserve">2026-09-15_Befund_J_Normband_Validierung.md</w:t>
            </w:r>
          </w:p>
        </w:tc>
        <w:tc>
          <w:tcPr>
            <w:tcW w:w="0" w:type="auto"/>
          </w:tcPr>
          <w:p>
            <w:pPr>
              <w:spacing w:after="0" w:line="240" w:lineRule="auto"/>
            </w:pPr>
            <w:r>
              <w:t xml:space="preserve">Normband-Validierung aller zwölf Testfälle, 6 192 gelesene Zellen</w:t>
            </w:r>
          </w:p>
        </w:tc>
      </w:tr>
      <w:tr>
        <w:tc>
          <w:tcPr>
            <w:tcW w:w="0" w:type="auto"/>
          </w:tcPr>
          <w:p>
            <w:pPr>
              <w:spacing w:after="0" w:line="240" w:lineRule="auto"/>
            </w:pPr>
            <w:r>
              <w:rPr>
                <w:b/>
              </w:rPr>
              <w:t xml:space="preserve">K</w:t>
            </w:r>
          </w:p>
        </w:tc>
        <w:tc>
          <w:tcPr>
            <w:tcW w:w="0" w:type="auto"/>
          </w:tcPr>
          <w:p>
            <w:pPr>
              <w:spacing w:after="0" w:line="240" w:lineRule="auto"/>
            </w:pPr>
            <w:r>
              <w:rPr>
                <w:rFonts w:ascii="Consolas" w:hAnsi="Consolas" w:cs="Consolas"/>
                <w:noProof/>
                <w:sz w:val="20"/>
                <w:szCs w:val="20"/>
                <w:shd w:val="clear" w:color="auto" w:fill="EFEFEF"/>
              </w:rPr>
              <w:t xml:space="preserve">2026-09-15_Befund_K_VDI6020_VDI2078_Abgleich.md</w:t>
            </w:r>
          </w:p>
        </w:tc>
        <w:tc>
          <w:tcPr>
            <w:tcW w:w="0" w:type="auto"/>
          </w:tcPr>
          <w:p>
            <w:pPr>
              <w:spacing w:after="0" w:line="240" w:lineRule="auto"/>
            </w:pPr>
            <w:r>
              <w:t xml:space="preserve">Abgleich gegen die beiden Nachbarrichtlinien</w:t>
            </w:r>
          </w:p>
        </w:tc>
      </w:tr>
      <w:tr>
        <w:tc>
          <w:tcPr>
            <w:tcW w:w="0" w:type="auto"/>
          </w:tcPr>
          <w:p>
            <w:pPr>
              <w:spacing w:after="0" w:line="240" w:lineRule="auto"/>
            </w:pPr>
            <w:r>
              <w:rPr>
                <w:b/>
              </w:rPr>
              <w:t xml:space="preserve">L</w:t>
            </w:r>
          </w:p>
        </w:tc>
        <w:tc>
          <w:tcPr>
            <w:tcW w:w="0" w:type="auto"/>
          </w:tcPr>
          <w:p>
            <w:pPr>
              <w:spacing w:after="0" w:line="240" w:lineRule="auto"/>
            </w:pPr>
            <w:r>
              <w:rPr>
                <w:rFonts w:ascii="Consolas" w:hAnsi="Consolas" w:cs="Consolas"/>
                <w:noProof/>
                <w:sz w:val="20"/>
                <w:szCs w:val="20"/>
                <w:shd w:val="clear" w:color="auto" w:fill="EFEFEF"/>
              </w:rPr>
              <w:t xml:space="preserve">2026-09-15_Befund_L_Einbindung_Kern.md</w:t>
            </w:r>
          </w:p>
        </w:tc>
        <w:tc>
          <w:tcPr>
            <w:tcW w:w="0" w:type="auto"/>
          </w:tcPr>
          <w:p>
            <w:pPr>
              <w:spacing w:after="0" w:line="240" w:lineRule="auto"/>
            </w:pPr>
            <w:r>
              <w:t xml:space="preserve">die eine Naht, die zwei Aufrufer, die zwei Verzweigungspunkte</w:t>
            </w:r>
          </w:p>
        </w:tc>
      </w:tr>
      <w:tr>
        <w:tc>
          <w:tcPr>
            <w:tcW w:w="0" w:type="auto"/>
          </w:tcPr>
          <w:p>
            <w:pPr>
              <w:spacing w:after="0" w:line="240" w:lineRule="auto"/>
            </w:pPr>
            <w:r>
              <w:rPr>
                <w:b/>
              </w:rPr>
              <w:t xml:space="preserve">M</w:t>
            </w:r>
          </w:p>
        </w:tc>
        <w:tc>
          <w:tcPr>
            <w:tcW w:w="0" w:type="auto"/>
          </w:tcPr>
          <w:p>
            <w:pPr>
              <w:spacing w:after="0" w:line="240" w:lineRule="auto"/>
            </w:pPr>
            <w:r>
              <w:rPr>
                <w:rFonts w:ascii="Consolas" w:hAnsi="Consolas" w:cs="Consolas"/>
                <w:noProof/>
                <w:sz w:val="20"/>
                <w:szCs w:val="20"/>
                <w:shd w:val="clear" w:color="auto" w:fill="EFEFEF"/>
              </w:rPr>
              <w:t xml:space="preserve">2026-09-15_Befund_M_Gebaeudedialog.md</w:t>
            </w:r>
          </w:p>
        </w:tc>
        <w:tc>
          <w:tcPr>
            <w:tcW w:w="0" w:type="auto"/>
          </w:tcPr>
          <w:p>
            <w:pPr>
              <w:spacing w:after="0" w:line="240" w:lineRule="auto"/>
            </w:pPr>
            <w:r>
              <w:t xml:space="preserve">Feldbestand und Wortlaut der Gebäudemasken</w:t>
            </w:r>
          </w:p>
        </w:tc>
      </w:tr>
      <w:tr>
        <w:tc>
          <w:tcPr>
            <w:tcW w:w="0" w:type="auto"/>
          </w:tcPr>
          <w:p>
            <w:pPr>
              <w:spacing w:after="0" w:line="240" w:lineRule="auto"/>
            </w:pPr>
            <w:r>
              <w:rPr>
                <w:b/>
              </w:rPr>
              <w:t xml:space="preserve">N</w:t>
            </w:r>
          </w:p>
        </w:tc>
        <w:tc>
          <w:tcPr>
            <w:tcW w:w="0" w:type="auto"/>
          </w:tcPr>
          <w:p>
            <w:pPr>
              <w:spacing w:after="0" w:line="240" w:lineRule="auto"/>
            </w:pPr>
            <w:r>
              <w:rPr>
                <w:rFonts w:ascii="Consolas" w:hAnsi="Consolas" w:cs="Consolas"/>
                <w:noProof/>
                <w:sz w:val="20"/>
                <w:szCs w:val="20"/>
                <w:shd w:val="clear" w:color="auto" w:fill="EFEFEF"/>
              </w:rPr>
              <w:t xml:space="preserve">2026-09-15_Befund_N_IFC-Import_Entwurf.md</w:t>
            </w:r>
          </w:p>
        </w:tc>
        <w:tc>
          <w:tcPr>
            <w:tcW w:w="0" w:type="auto"/>
          </w:tcPr>
          <w:p>
            <w:pPr>
              <w:spacing w:after="0" w:line="240" w:lineRule="auto"/>
            </w:pPr>
            <w:r>
              <w:t xml:space="preserve">Entwurf des IFC-Importwegs, Paketzuschnitt, Speicherbedarf</w:t>
            </w:r>
          </w:p>
        </w:tc>
      </w:tr>
      <w:tr>
        <w:tc>
          <w:tcPr>
            <w:tcW w:w="0" w:type="auto"/>
          </w:tcPr>
          <w:p>
            <w:pPr>
              <w:spacing w:after="0" w:line="240" w:lineRule="auto"/>
            </w:pPr>
            <w:r>
              <w:rPr>
                <w:b/>
              </w:rPr>
              <w:t xml:space="preserve">O</w:t>
            </w:r>
          </w:p>
        </w:tc>
        <w:tc>
          <w:tcPr>
            <w:tcW w:w="0" w:type="auto"/>
          </w:tcPr>
          <w:p>
            <w:pPr>
              <w:spacing w:after="0" w:line="240" w:lineRule="auto"/>
            </w:pPr>
            <w:r>
              <w:rPr>
                <w:rFonts w:ascii="Consolas" w:hAnsi="Consolas" w:cs="Consolas"/>
                <w:noProof/>
                <w:sz w:val="20"/>
                <w:szCs w:val="20"/>
                <w:shd w:val="clear" w:color="auto" w:fill="EFEFEF"/>
              </w:rPr>
              <w:t xml:space="preserve">2026-09-15_Befund_O_Zonenkopplung_VDI6007.md</w:t>
            </w:r>
          </w:p>
        </w:tc>
        <w:tc>
          <w:tcPr>
            <w:tcW w:w="0" w:type="auto"/>
          </w:tcPr>
          <w:p>
            <w:pPr>
              <w:spacing w:after="0" w:line="240" w:lineRule="auto"/>
            </w:pPr>
            <w:r>
              <w:t xml:space="preserve">was die Richtlinie zur Zonenkopplung sagt und was nicht</w:t>
            </w:r>
          </w:p>
        </w:tc>
      </w:tr>
      <w:tr>
        <w:tc>
          <w:tcPr>
            <w:tcW w:w="0" w:type="auto"/>
          </w:tcPr>
          <w:p>
            <w:pPr>
              <w:spacing w:after="0" w:line="240" w:lineRule="auto"/>
            </w:pPr>
            <w:r>
              <w:rPr>
                <w:b/>
              </w:rPr>
              <w:t xml:space="preserve">P</w:t>
            </w:r>
          </w:p>
        </w:tc>
        <w:tc>
          <w:tcPr>
            <w:tcW w:w="0" w:type="auto"/>
          </w:tcPr>
          <w:p>
            <w:pPr>
              <w:spacing w:after="0" w:line="240" w:lineRule="auto"/>
            </w:pPr>
            <w:r>
              <w:rPr>
                <w:rFonts w:ascii="Consolas" w:hAnsi="Consolas" w:cs="Consolas"/>
                <w:noProof/>
                <w:sz w:val="20"/>
                <w:szCs w:val="20"/>
                <w:shd w:val="clear" w:color="auto" w:fill="EFEFEF"/>
              </w:rPr>
              <w:t xml:space="preserve">2026-09-15_Befund_P_IFC_Zonen_Materialien.md</w:t>
            </w:r>
          </w:p>
        </w:tc>
        <w:tc>
          <w:tcPr>
            <w:tcW w:w="0" w:type="auto"/>
          </w:tcPr>
          <w:p>
            <w:pPr>
              <w:spacing w:after="0" w:line="240" w:lineRule="auto"/>
            </w:pPr>
            <w:r>
              <w:t xml:space="preserve">Messung von vier IFC-Dateien auf Zonen, Grenzflächen und Stoffwerte</w:t>
            </w:r>
          </w:p>
        </w:tc>
      </w:tr>
      <w:tr>
        <w:tc>
          <w:tcPr>
            <w:tcW w:w="0" w:type="auto"/>
          </w:tcPr>
          <w:p>
            <w:pPr>
              <w:spacing w:after="0" w:line="240" w:lineRule="auto"/>
            </w:pPr>
            <w:r>
              <w:rPr>
                <w:b/>
              </w:rPr>
              <w:t xml:space="preserve">Q</w:t>
            </w:r>
          </w:p>
        </w:tc>
        <w:tc>
          <w:tcPr>
            <w:tcW w:w="0" w:type="auto"/>
          </w:tcPr>
          <w:p>
            <w:pPr>
              <w:spacing w:after="0" w:line="240" w:lineRule="auto"/>
            </w:pPr>
            <w:r>
              <w:rPr>
                <w:rFonts w:ascii="Consolas" w:hAnsi="Consolas" w:cs="Consolas"/>
                <w:noProof/>
                <w:sz w:val="20"/>
                <w:szCs w:val="20"/>
                <w:shd w:val="clear" w:color="auto" w:fill="EFEFEF"/>
              </w:rPr>
              <w:t xml:space="preserve">2026-09-15_Befund_Q_Muster_Datenmodell_Dialoge.md</w:t>
            </w:r>
          </w:p>
        </w:tc>
        <w:tc>
          <w:tcPr>
            <w:tcW w:w="0" w:type="auto"/>
          </w:tcPr>
          <w:p>
            <w:pPr>
              <w:spacing w:after="0" w:line="240" w:lineRule="auto"/>
            </w:pPr>
            <w:r>
              <w:t xml:space="preserve">Hausmuster für Datenmodell und Dialoge, Aufwandsschätzung</w:t>
            </w:r>
          </w:p>
        </w:tc>
      </w:tr>
      <w:tr>
        <w:tc>
          <w:tcPr>
            <w:tcW w:w="0" w:type="auto"/>
          </w:tcPr>
          <w:p>
            <w:pPr>
              <w:spacing w:after="0" w:line="240" w:lineRule="auto"/>
            </w:pPr>
            <w:r>
              <w:rPr>
                <w:b/>
              </w:rPr>
              <w:t xml:space="preserve">R</w:t>
            </w:r>
          </w:p>
        </w:tc>
        <w:tc>
          <w:tcPr>
            <w:tcW w:w="0" w:type="auto"/>
          </w:tcPr>
          <w:p>
            <w:pPr>
              <w:spacing w:after="0" w:line="240" w:lineRule="auto"/>
            </w:pPr>
            <w:r>
              <w:rPr>
                <w:rFonts w:ascii="Consolas" w:hAnsi="Consolas" w:cs="Consolas"/>
                <w:noProof/>
                <w:sz w:val="20"/>
                <w:szCs w:val="20"/>
                <w:shd w:val="clear" w:color="auto" w:fill="EFEFEF"/>
              </w:rPr>
              <w:t xml:space="preserve">2026-09-15_Befund_R_gbXML_Schema_Werkzeuge.md</w:t>
            </w:r>
          </w:p>
        </w:tc>
        <w:tc>
          <w:tcPr>
            <w:tcW w:w="0" w:type="auto"/>
          </w:tcPr>
          <w:p>
            <w:pPr>
              <w:spacing w:after="0" w:line="240" w:lineRule="auto"/>
            </w:pPr>
            <w:r>
              <w:t xml:space="preserve">gbXML-Schema, Beispieldateien, .NET-Weg, Zielwerkzeuge</w:t>
            </w:r>
          </w:p>
        </w:tc>
      </w:tr>
      <w:tr>
        <w:tc>
          <w:tcPr>
            <w:tcW w:w="0" w:type="auto"/>
          </w:tcPr>
          <w:p>
            <w:pPr>
              <w:spacing w:after="0" w:line="240" w:lineRule="auto"/>
            </w:pPr>
            <w:r>
              <w:rPr>
                <w:b/>
              </w:rPr>
              <w:t xml:space="preserve">S</w:t>
            </w:r>
          </w:p>
        </w:tc>
        <w:tc>
          <w:tcPr>
            <w:tcW w:w="0" w:type="auto"/>
          </w:tcPr>
          <w:p>
            <w:pPr>
              <w:spacing w:after="0" w:line="240" w:lineRule="auto"/>
            </w:pPr>
            <w:r>
              <w:rPr>
                <w:rFonts w:ascii="Consolas" w:hAnsi="Consolas" w:cs="Consolas"/>
                <w:noProof/>
                <w:sz w:val="20"/>
                <w:szCs w:val="20"/>
                <w:shd w:val="clear" w:color="auto" w:fill="EFEFEF"/>
              </w:rPr>
              <w:t xml:space="preserve">2026-09-15_Befund_S_IFC-Export_ohne_Geometriekernel.md</w:t>
            </w:r>
          </w:p>
        </w:tc>
        <w:tc>
          <w:tcPr>
            <w:tcW w:w="0" w:type="auto"/>
          </w:tcPr>
          <w:p>
            <w:pPr>
              <w:spacing w:after="0" w:line="240" w:lineRule="auto"/>
            </w:pPr>
            <w:r>
              <w:t xml:space="preserve">was ein IFC-Export ohne Geometriekernel leisten kann</w:t>
            </w:r>
          </w:p>
        </w:tc>
      </w:tr>
      <w:tr>
        <w:tc>
          <w:tcPr>
            <w:tcW w:w="0" w:type="auto"/>
          </w:tcPr>
          <w:p>
            <w:pPr>
              <w:spacing w:after="0" w:line="240" w:lineRule="auto"/>
            </w:pPr>
            <w:r>
              <w:rPr>
                <w:b/>
              </w:rPr>
              <w:t xml:space="preserve">T</w:t>
            </w:r>
          </w:p>
        </w:tc>
        <w:tc>
          <w:tcPr>
            <w:tcW w:w="0" w:type="auto"/>
          </w:tcPr>
          <w:p>
            <w:pPr>
              <w:spacing w:after="0" w:line="240" w:lineRule="auto"/>
            </w:pPr>
            <w:r>
              <w:rPr>
                <w:rFonts w:ascii="Consolas" w:hAnsi="Consolas" w:cs="Consolas"/>
                <w:noProof/>
                <w:sz w:val="20"/>
                <w:szCs w:val="20"/>
                <w:shd w:val="clear" w:color="auto" w:fill="EFEFEF"/>
              </w:rPr>
              <w:t xml:space="preserve">2026-09-15_Befund_T_Softwarearchitektur_Bestand.md</w:t>
            </w:r>
          </w:p>
        </w:tc>
        <w:tc>
          <w:tcPr>
            <w:tcW w:w="0" w:type="auto"/>
          </w:tcPr>
          <w:p>
            <w:pPr>
              <w:spacing w:after="0" w:line="240" w:lineRule="auto"/>
            </w:pPr>
            <w:r>
              <w:t xml:space="preserve">Schichten, Nähte, Zustand, Rechenzeit und Fallen des Bestands</w:t>
            </w:r>
          </w:p>
        </w:tc>
      </w:tr>
      <w:tr>
        <w:tc>
          <w:tcPr>
            <w:tcW w:w="0" w:type="auto"/>
          </w:tcPr>
          <w:p>
            <w:pPr>
              <w:spacing w:after="0" w:line="240" w:lineRule="auto"/>
            </w:pPr>
            <w:r>
              <w:rPr>
                <w:b/>
              </w:rPr>
              <w:t xml:space="preserve">U</w:t>
            </w:r>
          </w:p>
        </w:tc>
        <w:tc>
          <w:tcPr>
            <w:tcW w:w="0" w:type="auto"/>
          </w:tcPr>
          <w:p>
            <w:pPr>
              <w:spacing w:after="0" w:line="240" w:lineRule="auto"/>
            </w:pPr>
            <w:r>
              <w:rPr>
                <w:rFonts w:ascii="Consolas" w:hAnsi="Consolas" w:cs="Consolas"/>
                <w:noProof/>
                <w:sz w:val="20"/>
                <w:szCs w:val="20"/>
                <w:shd w:val="clear" w:color="auto" w:fill="EFEFEF"/>
              </w:rPr>
              <w:t xml:space="preserve">2026-09-15_Befund_U_Dialogfuehrung_Bestand.md</w:t>
            </w:r>
          </w:p>
        </w:tc>
        <w:tc>
          <w:tcPr>
            <w:tcW w:w="0" w:type="auto"/>
          </w:tcPr>
          <w:p>
            <w:pPr>
              <w:spacing w:after="0" w:line="240" w:lineRule="auto"/>
            </w:pPr>
            <w:r>
              <w:t xml:space="preserve">Navigation, Masken, Schreibwege, iOS-Erreichbarkeit im Bestand</w:t>
            </w:r>
          </w:p>
        </w:tc>
      </w:tr>
      <w:tr>
        <w:tc>
          <w:tcPr>
            <w:tcW w:w="0" w:type="auto"/>
          </w:tcPr>
          <w:p>
            <w:pPr>
              <w:spacing w:after="0" w:line="240" w:lineRule="auto"/>
            </w:pPr>
            <w:r>
              <w:rPr>
                <w:b/>
              </w:rPr>
              <w:t xml:space="preserve">V</w:t>
            </w:r>
          </w:p>
        </w:tc>
        <w:tc>
          <w:tcPr>
            <w:tcW w:w="0" w:type="auto"/>
          </w:tcPr>
          <w:p>
            <w:pPr>
              <w:spacing w:after="0" w:line="240" w:lineRule="auto"/>
            </w:pPr>
            <w:r>
              <w:rPr>
                <w:rFonts w:ascii="Consolas" w:hAnsi="Consolas" w:cs="Consolas"/>
                <w:noProof/>
                <w:sz w:val="20"/>
                <w:szCs w:val="20"/>
                <w:shd w:val="clear" w:color="auto" w:fill="EFEFEF"/>
              </w:rPr>
              <w:t xml:space="preserve">2026-09-15_Befund_V_Datenmodell_Architektur.md</w:t>
            </w:r>
          </w:p>
        </w:tc>
        <w:tc>
          <w:tcPr>
            <w:tcW w:w="0" w:type="auto"/>
          </w:tcPr>
          <w:p>
            <w:pPr>
              <w:spacing w:after="0" w:line="240" w:lineRule="auto"/>
            </w:pPr>
            <w:r>
              <w:t xml:space="preserve">Bestandsdatenmodell, Widersprüche und Mengengerüst</w:t>
            </w:r>
          </w:p>
        </w:tc>
      </w:tr>
    </w:tbl>
    <w:p>
      <w:pPr>
        <w:spacing w:after="120"/>
      </w:pPr>
    </w:p>
    <w:p>
      <w:pPr>
        <w:pStyle w:val="Heading2"/>
      </w:pPr>
      <w:r>
        <w:t xml:space="preserve">13.4 Protokolle des Gegenlesens</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Protokoll</w:t>
            </w:r>
          </w:p>
        </w:tc>
        <w:tc>
          <w:tcPr>
            <w:tcW w:w="0" w:type="auto"/>
            <w:shd w:val="clear" w:color="auto" w:fill="D9D9D9"/>
          </w:tcPr>
          <w:p>
            <w:pPr>
              <w:spacing w:after="0" w:line="240" w:lineRule="auto"/>
              <w:rPr>
                <w:b/>
              </w:rPr>
            </w:pPr>
            <w:r>
              <w:rPr>
                <w:b/>
              </w:rPr>
              <w:t xml:space="preserve">Datei</w:t>
            </w:r>
          </w:p>
        </w:tc>
        <w:tc>
          <w:tcPr>
            <w:tcW w:w="0" w:type="auto"/>
            <w:shd w:val="clear" w:color="auto" w:fill="D9D9D9"/>
          </w:tcPr>
          <w:p>
            <w:pPr>
              <w:spacing w:after="0" w:line="240" w:lineRule="auto"/>
              <w:rPr>
                <w:b/>
              </w:rPr>
            </w:pPr>
            <w:r>
              <w:rPr>
                <w:b/>
              </w:rPr>
              <w:t xml:space="preserve">Gegenstand</w:t>
            </w:r>
          </w:p>
        </w:tc>
      </w:tr>
      <w:tr>
        <w:tc>
          <w:tcPr>
            <w:tcW w:w="0" w:type="auto"/>
          </w:tcPr>
          <w:p>
            <w:pPr>
              <w:spacing w:after="0" w:line="240" w:lineRule="auto"/>
            </w:pPr>
            <w:r>
              <w:t xml:space="preserve">Physik</w:t>
            </w:r>
          </w:p>
        </w:tc>
        <w:tc>
          <w:tcPr>
            <w:tcW w:w="0" w:type="auto"/>
          </w:tcPr>
          <w:p>
            <w:pPr>
              <w:spacing w:after="0" w:line="240" w:lineRule="auto"/>
            </w:pPr>
            <w:r>
              <w:rPr>
                <w:rFonts w:ascii="Consolas" w:hAnsi="Consolas" w:cs="Consolas"/>
                <w:noProof/>
                <w:sz w:val="20"/>
                <w:szCs w:val="20"/>
                <w:shd w:val="clear" w:color="auto" w:fill="EFEFEF"/>
              </w:rPr>
              <w:t xml:space="preserve">Dokumentation/aktuell/Gebaeudesimulation/2026-09-15_Gegenlesen_Physik.md</w:t>
            </w:r>
          </w:p>
        </w:tc>
        <w:tc>
          <w:tcPr>
            <w:tcW w:w="0" w:type="auto"/>
          </w:tcPr>
          <w:p>
            <w:pPr>
              <w:spacing w:after="0" w:line="240" w:lineRule="auto"/>
            </w:pPr>
            <w:r>
              <w:t xml:space="preserve">Rechenweg und Formeln</w:t>
            </w:r>
          </w:p>
        </w:tc>
      </w:tr>
      <w:tr>
        <w:tc>
          <w:tcPr>
            <w:tcW w:w="0" w:type="auto"/>
          </w:tcPr>
          <w:p>
            <w:pPr>
              <w:spacing w:after="0" w:line="240" w:lineRule="auto"/>
            </w:pPr>
            <w:r>
              <w:t xml:space="preserve">Leser</w:t>
            </w:r>
          </w:p>
        </w:tc>
        <w:tc>
          <w:tcPr>
            <w:tcW w:w="0" w:type="auto"/>
          </w:tcPr>
          <w:p>
            <w:pPr>
              <w:spacing w:after="0" w:line="240" w:lineRule="auto"/>
            </w:pPr>
            <w:r>
              <w:rPr>
                <w:rFonts w:ascii="Consolas" w:hAnsi="Consolas" w:cs="Consolas"/>
                <w:noProof/>
                <w:sz w:val="20"/>
                <w:szCs w:val="20"/>
                <w:shd w:val="clear" w:color="auto" w:fill="EFEFEF"/>
              </w:rPr>
              <w:t xml:space="preserve">…/2026-09-15_Gegenlesen_Leser.md</w:t>
            </w:r>
          </w:p>
        </w:tc>
        <w:tc>
          <w:tcPr>
            <w:tcW w:w="0" w:type="auto"/>
          </w:tcPr>
          <w:p>
            <w:pPr>
              <w:spacing w:after="0" w:line="240" w:lineRule="auto"/>
            </w:pPr>
            <w:r>
              <w:t xml:space="preserve">Lesbarkeit und Aufbau der Papiere</w:t>
            </w:r>
          </w:p>
        </w:tc>
      </w:tr>
      <w:tr>
        <w:tc>
          <w:tcPr>
            <w:tcW w:w="0" w:type="auto"/>
          </w:tcPr>
          <w:p>
            <w:pPr>
              <w:spacing w:after="0" w:line="240" w:lineRule="auto"/>
            </w:pPr>
            <w:r>
              <w:t xml:space="preserve">Repositorium</w:t>
            </w:r>
          </w:p>
        </w:tc>
        <w:tc>
          <w:tcPr>
            <w:tcW w:w="0" w:type="auto"/>
          </w:tcPr>
          <w:p>
            <w:pPr>
              <w:spacing w:after="0" w:line="240" w:lineRule="auto"/>
            </w:pPr>
            <w:r>
              <w:rPr>
                <w:rFonts w:ascii="Consolas" w:hAnsi="Consolas" w:cs="Consolas"/>
                <w:noProof/>
                <w:sz w:val="20"/>
                <w:szCs w:val="20"/>
                <w:shd w:val="clear" w:color="auto" w:fill="EFEFEF"/>
              </w:rPr>
              <w:t xml:space="preserve">…/2026-09-15_Gegenlesen_Repositorium.md</w:t>
            </w:r>
          </w:p>
        </w:tc>
        <w:tc>
          <w:tcPr>
            <w:tcW w:w="0" w:type="auto"/>
          </w:tcPr>
          <w:p>
            <w:pPr>
              <w:spacing w:after="0" w:line="240" w:lineRule="auto"/>
            </w:pPr>
            <w:r>
              <w:t xml:space="preserve">Belege gegen den Codestand</w:t>
            </w:r>
          </w:p>
        </w:tc>
      </w:tr>
      <w:tr>
        <w:tc>
          <w:tcPr>
            <w:tcW w:w="0" w:type="auto"/>
          </w:tcPr>
          <w:p>
            <w:pPr>
              <w:spacing w:after="0" w:line="240" w:lineRule="auto"/>
            </w:pPr>
            <w:r>
              <w:t xml:space="preserve">Umsetzungskonzept</w:t>
            </w:r>
          </w:p>
        </w:tc>
        <w:tc>
          <w:tcPr>
            <w:tcW w:w="0" w:type="auto"/>
          </w:tcPr>
          <w:p>
            <w:pPr>
              <w:spacing w:after="0" w:line="240" w:lineRule="auto"/>
            </w:pPr>
            <w:r>
              <w:rPr>
                <w:rFonts w:ascii="Consolas" w:hAnsi="Consolas" w:cs="Consolas"/>
                <w:noProof/>
                <w:sz w:val="20"/>
                <w:szCs w:val="20"/>
                <w:shd w:val="clear" w:color="auto" w:fill="EFEFEF"/>
              </w:rPr>
              <w:t xml:space="preserve">…/2026-09-15_Gegenlesen_Umsetzungskonzept.md</w:t>
            </w:r>
          </w:p>
        </w:tc>
        <w:tc>
          <w:tcPr>
            <w:tcW w:w="0" w:type="auto"/>
          </w:tcPr>
          <w:p>
            <w:pPr>
              <w:spacing w:after="0" w:line="240" w:lineRule="auto"/>
            </w:pPr>
            <w:r>
              <w:t xml:space="preserve">62 Korrekturen zu Rev. 2</w:t>
            </w:r>
          </w:p>
        </w:tc>
      </w:tr>
      <w:tr>
        <w:tc>
          <w:tcPr>
            <w:tcW w:w="0" w:type="auto"/>
          </w:tcPr>
          <w:p>
            <w:pPr>
              <w:spacing w:after="0" w:line="240" w:lineRule="auto"/>
            </w:pPr>
            <w:r>
              <w:t xml:space="preserve">Mehrzonenkonzept</w:t>
            </w:r>
          </w:p>
        </w:tc>
        <w:tc>
          <w:tcPr>
            <w:tcW w:w="0" w:type="auto"/>
          </w:tcPr>
          <w:p>
            <w:pPr>
              <w:spacing w:after="0" w:line="240" w:lineRule="auto"/>
            </w:pPr>
            <w:r>
              <w:rPr>
                <w:rFonts w:ascii="Consolas" w:hAnsi="Consolas" w:cs="Consolas"/>
                <w:noProof/>
                <w:sz w:val="20"/>
                <w:szCs w:val="20"/>
                <w:shd w:val="clear" w:color="auto" w:fill="EFEFEF"/>
              </w:rPr>
              <w:t xml:space="preserve">…/2026-09-15_Gegenlesen_Mehrzonenkonzept.md</w:t>
            </w:r>
          </w:p>
        </w:tc>
        <w:tc>
          <w:tcPr>
            <w:tcW w:w="0" w:type="auto"/>
          </w:tcPr>
          <w:p>
            <w:pPr>
              <w:spacing w:after="0" w:line="240" w:lineRule="auto"/>
            </w:pPr>
            <w:r>
              <w:t xml:space="preserve">Befunde zu Rev. 2</w:t>
            </w:r>
          </w:p>
        </w:tc>
      </w:tr>
      <w:tr>
        <w:tc>
          <w:tcPr>
            <w:tcW w:w="0" w:type="auto"/>
          </w:tcPr>
          <w:p>
            <w:pPr>
              <w:spacing w:after="0" w:line="240" w:lineRule="auto"/>
            </w:pPr>
            <w:r>
              <w:t xml:space="preserve">Datenaustausch</w:t>
            </w:r>
          </w:p>
        </w:tc>
        <w:tc>
          <w:tcPr>
            <w:tcW w:w="0" w:type="auto"/>
          </w:tcPr>
          <w:p>
            <w:pPr>
              <w:spacing w:after="0" w:line="240" w:lineRule="auto"/>
            </w:pPr>
            <w:r>
              <w:rPr>
                <w:rFonts w:ascii="Consolas" w:hAnsi="Consolas" w:cs="Consolas"/>
                <w:noProof/>
                <w:sz w:val="20"/>
                <w:szCs w:val="20"/>
                <w:shd w:val="clear" w:color="auto" w:fill="EFEFEF"/>
              </w:rPr>
              <w:t xml:space="preserve">…/2026-09-15_Gegenlesen_Datenaustausch.md</w:t>
            </w:r>
          </w:p>
        </w:tc>
        <w:tc>
          <w:tcPr>
            <w:tcW w:w="0" w:type="auto"/>
          </w:tcPr>
          <w:p>
            <w:pPr>
              <w:spacing w:after="0" w:line="240" w:lineRule="auto"/>
            </w:pPr>
            <w:r>
              <w:t xml:space="preserve">64 Befunde zu Rev. 2</w:t>
            </w:r>
          </w:p>
        </w:tc>
      </w:tr>
      <w:tr>
        <w:tc>
          <w:tcPr>
            <w:tcW w:w="0" w:type="auto"/>
          </w:tcPr>
          <w:p>
            <w:pPr>
              <w:spacing w:after="0" w:line="240" w:lineRule="auto"/>
            </w:pPr>
            <w:r>
              <w:t xml:space="preserve">IFC</w:t>
            </w:r>
          </w:p>
        </w:tc>
        <w:tc>
          <w:tcPr>
            <w:tcW w:w="0" w:type="auto"/>
          </w:tcPr>
          <w:p>
            <w:pPr>
              <w:spacing w:after="0" w:line="240" w:lineRule="auto"/>
            </w:pPr>
            <w:r>
              <w:rPr>
                <w:rFonts w:ascii="Consolas" w:hAnsi="Consolas" w:cs="Consolas"/>
                <w:noProof/>
                <w:sz w:val="20"/>
                <w:szCs w:val="20"/>
                <w:shd w:val="clear" w:color="auto" w:fill="EFEFEF"/>
              </w:rPr>
              <w:t xml:space="preserve">…/2026-09-15_Gegenlesen_IFC.md</w:t>
            </w:r>
          </w:p>
        </w:tc>
        <w:tc>
          <w:tcPr>
            <w:tcW w:w="0" w:type="auto"/>
          </w:tcPr>
          <w:p>
            <w:pPr>
              <w:spacing w:after="0" w:line="240" w:lineRule="auto"/>
            </w:pPr>
            <w:r>
              <w:t xml:space="preserve">IFC-Aussagen gegen die Primärquellen</w:t>
            </w:r>
          </w:p>
        </w:tc>
      </w:tr>
      <w:tr>
        <w:tc>
          <w:tcPr>
            <w:tcW w:w="0" w:type="auto"/>
          </w:tcPr>
          <w:p>
            <w:pPr>
              <w:spacing w:after="0" w:line="240" w:lineRule="auto"/>
            </w:pPr>
            <w:r>
              <w:t xml:space="preserve">Korrekturliste</w:t>
            </w:r>
          </w:p>
        </w:tc>
        <w:tc>
          <w:tcPr>
            <w:tcW w:w="0" w:type="auto"/>
          </w:tcPr>
          <w:p>
            <w:pPr>
              <w:spacing w:after="0" w:line="240" w:lineRule="auto"/>
            </w:pPr>
            <w:r>
              <w:rPr>
                <w:rFonts w:ascii="Consolas" w:hAnsi="Consolas" w:cs="Consolas"/>
                <w:noProof/>
                <w:sz w:val="20"/>
                <w:szCs w:val="20"/>
                <w:shd w:val="clear" w:color="auto" w:fill="EFEFEF"/>
              </w:rPr>
              <w:t xml:space="preserve">…/2026-09-15_Gegenlesen_Korrekturliste.md</w:t>
            </w:r>
          </w:p>
        </w:tc>
        <w:tc>
          <w:tcPr>
            <w:tcW w:w="0" w:type="auto"/>
          </w:tcPr>
          <w:p>
            <w:pPr>
              <w:spacing w:after="0" w:line="240" w:lineRule="auto"/>
            </w:pPr>
            <w:r>
              <w:t xml:space="preserve">Sammelliste der Korrekturen</w:t>
            </w:r>
          </w:p>
        </w:tc>
      </w:tr>
    </w:tbl>
    <w:p>
      <w:pPr>
        <w:spacing w:after="120"/>
      </w:pPr>
    </w:p>
    <w:p>
      <w:pPr>
        <w:pStyle w:val="Heading2"/>
      </w:pPr>
      <w:r>
        <w:t xml:space="preserve">13.5 Hausregeln und Regressionsnetz</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Pfad</w:t>
            </w:r>
          </w:p>
        </w:tc>
      </w:tr>
      <w:tr>
        <w:tc>
          <w:tcPr>
            <w:tcW w:w="0" w:type="auto"/>
          </w:tcPr>
          <w:p>
            <w:pPr>
              <w:spacing w:after="0" w:line="240" w:lineRule="auto"/>
            </w:pPr>
            <w:r>
              <w:t xml:space="preserve">Projektregeln</w:t>
            </w:r>
          </w:p>
        </w:tc>
        <w:tc>
          <w:tcPr>
            <w:tcW w:w="0" w:type="auto"/>
          </w:tcPr>
          <w:p>
            <w:pPr>
              <w:spacing w:after="0" w:line="240" w:lineRule="auto"/>
            </w:pPr>
            <w:r>
              <w:rPr>
                <w:rFonts w:ascii="Consolas" w:hAnsi="Consolas" w:cs="Consolas"/>
                <w:noProof/>
                <w:sz w:val="20"/>
                <w:szCs w:val="20"/>
                <w:shd w:val="clear" w:color="auto" w:fill="EFEFEF"/>
              </w:rPr>
              <w:t xml:space="preserve">CLAUDE.md</w:t>
            </w:r>
            <w:r>
              <w:t xml:space="preserve"> in der Repowurzel sowie je Projekt in </w:t>
            </w:r>
            <w:r>
              <w:rPr>
                <w:rFonts w:ascii="Consolas" w:hAnsi="Consolas" w:cs="Consolas"/>
                <w:noProof/>
                <w:sz w:val="20"/>
                <w:szCs w:val="20"/>
                <w:shd w:val="clear" w:color="auto" w:fill="EFEFEF"/>
              </w:rPr>
              <w:t xml:space="preserve">EPOS.Kern/</w:t>
            </w:r>
            <w:r>
              <w:t xml:space="preserve">, </w:t>
            </w:r>
            <w:r>
              <w:rPr>
                <w:rFonts w:ascii="Consolas" w:hAnsi="Consolas" w:cs="Consolas"/>
                <w:noProof/>
                <w:sz w:val="20"/>
                <w:szCs w:val="20"/>
                <w:shd w:val="clear" w:color="auto" w:fill="EFEFEF"/>
              </w:rPr>
              <w:t xml:space="preserve">EPOS.UI/</w:t>
            </w:r>
            <w:r>
              <w:t xml:space="preserve">, </w:t>
            </w:r>
            <w:r>
              <w:rPr>
                <w:rFonts w:ascii="Consolas" w:hAnsi="Consolas" w:cs="Consolas"/>
                <w:noProof/>
                <w:sz w:val="20"/>
                <w:szCs w:val="20"/>
                <w:shd w:val="clear" w:color="auto" w:fill="EFEFEF"/>
              </w:rPr>
              <w:t xml:space="preserve">EPOS.iOS/</w:t>
            </w:r>
            <w:r>
              <w:t xml:space="preserve">, </w:t>
            </w:r>
            <w:r>
              <w:rPr>
                <w:rFonts w:ascii="Consolas" w:hAnsi="Consolas" w:cs="Consolas"/>
                <w:noProof/>
                <w:sz w:val="20"/>
                <w:szCs w:val="20"/>
                <w:shd w:val="clear" w:color="auto" w:fill="EFEFEF"/>
              </w:rPr>
              <w:t xml:space="preserve">WindowsFormsApplication1/</w:t>
            </w:r>
          </w:p>
        </w:tc>
      </w:tr>
      <w:tr>
        <w:tc>
          <w:tcPr>
            <w:tcW w:w="0" w:type="auto"/>
          </w:tcPr>
          <w:p>
            <w:pPr>
              <w:spacing w:after="0" w:line="240" w:lineRule="auto"/>
            </w:pPr>
            <w:r>
              <w:t xml:space="preserve">Regressionsnetz und Referenzbasis</w:t>
            </w:r>
          </w:p>
        </w:tc>
        <w:tc>
          <w:tcPr>
            <w:tcW w:w="0" w:type="auto"/>
          </w:tcPr>
          <w:p>
            <w:pPr>
              <w:spacing w:after="0" w:line="240" w:lineRule="auto"/>
            </w:pPr>
            <w:r>
              <w:rPr>
                <w:rFonts w:ascii="Consolas" w:hAnsi="Consolas" w:cs="Consolas"/>
                <w:noProof/>
                <w:sz w:val="20"/>
                <w:szCs w:val="20"/>
                <w:shd w:val="clear" w:color="auto" w:fill="EFEFEF"/>
              </w:rPr>
              <w:t xml:space="preserve">Referenzlaeufe/LIESMICH.md</w:t>
            </w:r>
          </w:p>
        </w:tc>
      </w:tr>
      <w:tr>
        <w:tc>
          <w:tcPr>
            <w:tcW w:w="0" w:type="auto"/>
          </w:tcPr>
          <w:p>
            <w:pPr>
              <w:spacing w:after="0" w:line="240" w:lineRule="auto"/>
            </w:pPr>
            <w:r>
              <w:t xml:space="preserve">Index aller Papiere</w:t>
            </w:r>
          </w:p>
        </w:tc>
        <w:tc>
          <w:tcPr>
            <w:tcW w:w="0" w:type="auto"/>
          </w:tcPr>
          <w:p>
            <w:pPr>
              <w:spacing w:after="0" w:line="240" w:lineRule="auto"/>
            </w:pPr>
            <w:r>
              <w:rPr>
                <w:rFonts w:ascii="Consolas" w:hAnsi="Consolas" w:cs="Consolas"/>
                <w:noProof/>
                <w:sz w:val="20"/>
                <w:szCs w:val="20"/>
                <w:shd w:val="clear" w:color="auto" w:fill="EFEFEF"/>
              </w:rPr>
              <w:t xml:space="preserve">Dokumentation/LIESMICH.md</w:t>
            </w:r>
          </w:p>
        </w:tc>
      </w:tr>
      <w:tr>
        <w:tc>
          <w:tcPr>
            <w:tcW w:w="0" w:type="auto"/>
          </w:tcPr>
          <w:p>
            <w:pPr>
              <w:spacing w:after="0" w:line="240" w:lineRule="auto"/>
            </w:pPr>
            <w:r>
              <w:t xml:space="preserve">Betrieb der Datenbank und SQL-Dialekt</w:t>
            </w:r>
          </w:p>
        </w:tc>
        <w:tc>
          <w:tcPr>
            <w:tcW w:w="0" w:type="auto"/>
          </w:tcPr>
          <w:p>
            <w:pPr>
              <w:spacing w:after="0" w:line="240" w:lineRule="auto"/>
            </w:pPr>
            <w:r>
              <w:rPr>
                <w:rFonts w:ascii="Consolas" w:hAnsi="Consolas" w:cs="Consolas"/>
                <w:noProof/>
                <w:sz w:val="20"/>
                <w:szCs w:val="20"/>
                <w:shd w:val="clear" w:color="auto" w:fill="EFEFEF"/>
              </w:rPr>
              <w:t xml:space="preserve">Dokumentation/aktuell/BETRIEB_SQLITE.md</w:t>
            </w:r>
          </w:p>
        </w:tc>
      </w:tr>
      <w:tr>
        <w:tc>
          <w:tcPr>
            <w:tcW w:w="0" w:type="auto"/>
          </w:tcPr>
          <w:p>
            <w:pPr>
              <w:spacing w:after="0" w:line="240" w:lineRule="auto"/>
            </w:pPr>
            <w:r>
              <w:t xml:space="preserve">Simulationsablauf</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Dokumentation/aktuell/Konzept_Simulationsablauf_EPOS-Plan.md</w:t>
            </w:r>
          </w:p>
        </w:tc>
      </w:tr>
      <w:tr>
        <w:tc>
          <w:tcPr>
            <w:tcW w:w="0" w:type="auto"/>
          </w:tcPr>
          <w:p>
            <w:pPr>
              <w:spacing w:after="0" w:line="240" w:lineRule="auto"/>
            </w:pPr>
            <w:r>
              <w:t xml:space="preserve">Hilfe- und Wikikonzept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Dokumentation/aktuell/Konzept_Hilfesystem_Wikidokumentation.md</w:t>
            </w:r>
          </w:p>
        </w:tc>
      </w:tr>
      <w:tr>
        <w:tc>
          <w:tcPr>
            <w:tcW w:w="0" w:type="auto"/>
          </w:tcPr>
          <w:p>
            <w:pPr>
              <w:spacing w:after="0" w:line="240" w:lineRule="auto"/>
            </w:pPr>
            <w:r>
              <w:t xml:space="preserve">Glossar und Lokalisierung</w:t>
            </w:r>
          </w:p>
        </w:tc>
        <w:tc>
          <w:tcPr>
            <w:tcW w:w="0" w:type="auto"/>
          </w:tcPr>
          <w:p>
            <w:pPr>
              <w:spacing w:after="0" w:line="240" w:lineRule="auto"/>
            </w:pPr>
            <w:r>
              <w:rPr>
                <w:rFonts w:ascii="Consolas" w:hAnsi="Consolas" w:cs="Consolas"/>
                <w:noProof/>
                <w:sz w:val="20"/>
                <w:szCs w:val="20"/>
                <w:shd w:val="clear" w:color="auto" w:fill="EFEFEF"/>
              </w:rPr>
              <w:t xml:space="preserve">Dokumentation/aktuell/Glossar_Lokalisierung.md</w:t>
            </w:r>
          </w:p>
        </w:tc>
      </w:tr>
      <w:tr>
        <w:tc>
          <w:tcPr>
            <w:tcW w:w="0" w:type="auto"/>
          </w:tcPr>
          <w:p>
            <w:pPr>
              <w:spacing w:after="0" w:line="240" w:lineRule="auto"/>
            </w:pPr>
            <w:r>
              <w:t xml:space="preserve">Vorbild des Stufenschnitts</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Dokumentation/aktuell/Konzept_Photovoltaik_Ertragsmodell_EPOS-Plan.md</w:t>
            </w:r>
          </w:p>
        </w:tc>
      </w:tr>
    </w:tbl>
    <w:p>
      <w:pPr>
        <w:spacing w:after="120"/>
      </w:pPr>
    </w:p>
    <w:sectPr>
      <w:pgSz w:w="11906" w:h="16838"/>
      <w:pgMar w:top="1134" w:right="1134" w:bottom="1134" w:left="1134" w:header="709" w:footer="709" w:gutter="0"/>
      <w:cols w:space="708"/>
      <w:docGrid w:linePitch="360"/>
    </w:sectPr>
  </w:body>
</w:document>
</file>

<file path=word/numbering.xml><?xml version="1.0" encoding="utf-8"?>
<w:numbering xmlns:w="http://schemas.openxmlformats.org/wordprocessingml/2006/main">
  <w:abstractNum w:abstractNumId="0">
    <w:nsid w:val="0A1B2C30"/>
    <w:multiLevelType w:val="hybridMultilevel"/>
    <w:lvl w:ilvl="0">
      <w:start w:val="1"/>
      <w:numFmt w:val="bullet"/>
      <w:lvlText w:val="·"/>
      <w:lvlJc w:val="left"/>
      <w:pPr>
        <w:ind w:left="454" w:hanging="284"/>
      </w:pPr>
      <w:rPr>
        <w:rFonts w:ascii="Symbol" w:hAnsi="Symbol" w:hint="default"/>
      </w:rPr>
    </w:lvl>
    <w:lvl w:ilvl="1">
      <w:start w:val="1"/>
      <w:numFmt w:val="bullet"/>
      <w:lvlText w:val="o"/>
      <w:lvlJc w:val="left"/>
      <w:pPr>
        <w:ind w:left="964" w:hanging="284"/>
      </w:pPr>
      <w:rPr>
        <w:rFonts w:ascii="Courier New" w:hAnsi="Courier New" w:hint="default"/>
      </w:rPr>
    </w:lvl>
  </w:abstractNum>
  <w:abstractNum w:abstractNumId="1">
    <w:nsid w:val="0A1B2C31"/>
    <w:multiLevelType w:val="hybridMultilevel"/>
    <w:lvl w:ilvl="0">
      <w:start w:val="1"/>
      <w:numFmt w:val="decimal"/>
      <w:lvlText w:val="%1."/>
      <w:lvlJc w:val="left"/>
      <w:pPr>
        <w:ind w:left="454" w:hanging="454"/>
      </w:pPr>
    </w:lvl>
    <w:lvl w:ilvl="1">
      <w:start w:val="1"/>
      <w:numFmt w:val="lowerLetter"/>
      <w:lvlText w:val="%2."/>
      <w:lvlJc w:val="left"/>
      <w:pPr>
        <w:ind w:left="964" w:hanging="397"/>
      </w:pPr>
    </w:lvl>
  </w:abstractNum>
  <w:num w:numId="1">
    <w:abstractNumId w:val="0"/>
  </w:num>
  <w:num w:numId="2">
    <w:abstractNumId w:val="1"/>
    <w:lvlOverride w:ilvl="0">
      <w:startOverride w:val="1"/>
    </w:lvlOverride>
    <w:lvlOverride w:ilvl="1">
      <w:startOverride w:val="1"/>
    </w:lvlOverride>
  </w:num>
  <w:num w:numId="3">
    <w:abstractNumId w:val="0"/>
  </w:num>
  <w:num w:numId="4">
    <w:abstractNumId w:val="1"/>
    <w:lvlOverride w:ilvl="0">
      <w:startOverride w:val="1"/>
    </w:lvlOverride>
    <w:lvlOverride w:ilvl="1">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characterSpacingControl w:val="doNotCompress"/>
  <w:updateFields w:val="true"/>
</w:settings>
</file>

<file path=word/styles.xml><?xml version="1.0" encoding="utf-8"?>
<w:styles xmlns:w="http://schemas.openxmlformats.org/wordprocessingml/2006/main">
  <w:docDefaults>
    <w:rPrDefault>
      <w:rPr>
        <w:rFonts w:ascii="Calibri" w:hAnsi="Calibri" w:eastAsia="Calibri" w:cs="Calibri"/>
        <w:sz w:val="22"/>
        <w:szCs w:val="22"/>
        <w:lang w:val="de-DE" w:eastAsia="de-DE" w:bidi="ar-SA"/>
      </w:rPr>
    </w:rPrDefault>
    <w:pPrDefault>
      <w:pPr>
        <w:spacing w:after="120" w:line="264"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28" w:type="dxa"/>
        <w:left w:w="85" w:type="dxa"/>
        <w:bottom w:w="28" w:type="dxa"/>
        <w:right w:w="85"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spacing w:before="360" w:after="120"/>
      <w:outlineLvl w:val="0"/>
    </w:pPr>
    <w:rPr>
      <w:rFonts w:ascii="Calibri Light" w:hAnsi="Calibri Light" w:cs="Calibri Light"/>
      <w:b/>
      <w:color w:val="1F3864"/>
      <w:sz w:val="36"/>
      <w:szCs w:val="36"/>
    </w:rPr>
  </w:style>
  <w:style w:type="paragraph" w:styleId="Heading2">
    <w:name w:val="heading 2"/>
    <w:basedOn w:val="Normal"/>
    <w:next w:val="Normal"/>
    <w:uiPriority w:val="9"/>
    <w:qFormat/>
    <w:pPr>
      <w:keepNext/>
      <w:keepLines/>
      <w:spacing w:before="280" w:after="120"/>
      <w:outlineLvl w:val="1"/>
    </w:pPr>
    <w:rPr>
      <w:rFonts w:ascii="Calibri Light" w:hAnsi="Calibri Light" w:cs="Calibri Light"/>
      <w:b/>
      <w:color w:val="1F3864"/>
      <w:sz w:val="30"/>
      <w:szCs w:val="30"/>
    </w:rPr>
  </w:style>
  <w:style w:type="paragraph" w:styleId="Heading3">
    <w:name w:val="heading 3"/>
    <w:basedOn w:val="Normal"/>
    <w:next w:val="Normal"/>
    <w:uiPriority w:val="9"/>
    <w:qFormat/>
    <w:pPr>
      <w:keepNext/>
      <w:keepLines/>
      <w:spacing w:before="240" w:after="120"/>
      <w:outlineLvl w:val="2"/>
    </w:pPr>
    <w:rPr>
      <w:rFonts w:ascii="Calibri Light" w:hAnsi="Calibri Light" w:cs="Calibri Light"/>
      <w:b/>
      <w:color w:val="2E5395"/>
      <w:sz w:val="26"/>
      <w:szCs w:val="26"/>
    </w:rPr>
  </w:style>
  <w:style w:type="paragraph" w:styleId="Heading4">
    <w:name w:val="heading 4"/>
    <w:basedOn w:val="Normal"/>
    <w:next w:val="Normal"/>
    <w:uiPriority w:val="9"/>
    <w:qFormat/>
    <w:pPr>
      <w:keepNext/>
      <w:keepLines/>
      <w:spacing w:before="200" w:after="120"/>
      <w:outlineLvl w:val="3"/>
    </w:pPr>
    <w:rPr>
      <w:rFonts w:ascii="Calibri Light" w:hAnsi="Calibri Light" w:cs="Calibri Light"/>
      <w:b/>
      <w:color w:val="2E5395"/>
      <w:sz w:val="23"/>
      <w:szCs w:val="23"/>
    </w:rPr>
  </w:style>
  <w:style w:type="paragraph" w:styleId="Title">
    <w:name w:val="Title"/>
    <w:basedOn w:val="Normal"/>
    <w:next w:val="Normal"/>
    <w:uiPriority w:val="10"/>
    <w:qFormat/>
    <w:pPr>
      <w:spacing w:before="2400" w:after="120"/>
      <w:jc w:val="center"/>
    </w:pPr>
    <w:rPr>
      <w:rFonts w:ascii="Calibri Light" w:hAnsi="Calibri Light" w:cs="Calibri Light"/>
      <w:b/>
      <w:color w:val="1F3864"/>
      <w:spacing w:val="-10"/>
      <w:sz w:val="56"/>
      <w:szCs w:val="56"/>
    </w:rPr>
  </w:style>
  <w:style w:type="paragraph" w:styleId="Subtitle">
    <w:name w:val="Subtitle"/>
    <w:basedOn w:val="Normal"/>
    <w:next w:val="Normal"/>
    <w:uiPriority w:val="11"/>
    <w:qFormat/>
    <w:pPr>
      <w:spacing w:after="360"/>
      <w:jc w:val="center"/>
    </w:pPr>
    <w:rPr>
      <w:rFonts w:ascii="Calibri Light" w:hAnsi="Calibri Light" w:cs="Calibri Light"/>
      <w:color w:val="2E5395"/>
      <w:sz w:val="32"/>
      <w:szCs w:val="32"/>
    </w:rPr>
  </w:style>
  <w:style w:type="paragraph" w:styleId="ListBullet">
    <w:name w:val="List Bullet"/>
    <w:basedOn w:val="Normal"/>
    <w:uiPriority w:val="99"/>
    <w:qFormat/>
    <w:pPr>
      <w:numPr>
        <w:numId w:val="1"/>
      </w:numPr>
      <w:spacing w:after="60"/>
      <w:contextualSpacing/>
    </w:pPr>
  </w:style>
  <w:style w:type="paragraph" w:styleId="ListNumber">
    <w:name w:val="List Number"/>
    <w:basedOn w:val="Normal"/>
    <w:uiPriority w:val="99"/>
    <w:qFormat/>
    <w:pPr>
      <w:numPr>
        <w:numId w:val="2"/>
      </w:numPr>
      <w:spacing w:after="60"/>
      <w:contextualSpacing/>
    </w:pPr>
  </w:style>
  <w:style w:type="paragraph" w:styleId="Quote">
    <w:name w:val="Quote"/>
    <w:basedOn w:val="Normal"/>
    <w:next w:val="Normal"/>
    <w:uiPriority w:val="29"/>
    <w:qFormat/>
    <w:pPr>
      <w:pBdr>
        <w:left w:val="single" w:sz="18" w:space="8" w:color="BFBFBF"/>
      </w:pBdr>
      <w:spacing w:before="120" w:after="120"/>
      <w:ind w:left="454"/>
    </w:pPr>
    <w:rPr>
      <w:i/>
      <w:iCs/>
      <w:color w:val="595959"/>
    </w:rPr>
  </w:style>
  <w:style w:type="paragraph" w:styleId="Codeblock">
    <w:name w:val="Codeblock"/>
    <w:basedOn w:val="Normal"/>
    <w:next w:val="Normal"/>
    <w:uiPriority w:val="30"/>
    <w:qFormat/>
    <w:pPr>
      <w:pBdr>
        <w:top w:val="single" w:sz="4" w:space="4" w:color="BFBFBF"/>
        <w:left w:val="single" w:sz="4" w:space="4" w:color="BFBFBF"/>
        <w:bottom w:val="single" w:sz="4" w:space="4" w:color="BFBFBF"/>
        <w:right w:val="single" w:sz="4" w:space="4" w:color="BFBFBF"/>
      </w:pBdr>
      <w:shd w:val="clear" w:color="auto" w:fill="F2F2F2"/>
      <w:spacing w:before="120" w:after="180" w:line="240" w:lineRule="auto"/>
    </w:pPr>
    <w:rPr>
      <w:rFonts w:ascii="Consolas" w:hAnsi="Consolas" w:cs="Consolas"/>
      <w:noProof/>
      <w:sz w:val="18"/>
      <w:szCs w:val="18"/>
    </w:rPr>
  </w:style>
  <w:style w:type="paragraph" w:styleId="Diagrammhinweis">
    <w:name w:val="Diagrammhinweis"/>
    <w:basedOn w:val="Normal"/>
    <w:next w:val="Normal"/>
    <w:uiPriority w:val="30"/>
    <w:qFormat/>
    <w:pPr>
      <w:keepNext/>
      <w:spacing w:before="120" w:after="0"/>
    </w:pPr>
    <w:rPr>
      <w:i/>
      <w:iCs/>
      <w:color w:val="595959"/>
    </w:rPr>
  </w:style>
  <w:style w:type="paragraph" w:styleId="Diagrammbild">
    <w:name w:val="Diagrammbild"/>
    <w:basedOn w:val="Normal"/>
    <w:next w:val="Bildunterschrift"/>
    <w:uiPriority w:val="30"/>
    <w:qFormat/>
    <w:pPr>
      <w:keepNext/>
      <w:spacing w:before="120" w:after="60" w:line="240" w:lineRule="auto"/>
      <w:jc w:val="center"/>
    </w:pPr>
  </w:style>
  <w:style w:type="paragraph" w:styleId="Bildunterschrift">
    <w:name w:val="caption"/>
    <w:basedOn w:val="Normal"/>
    <w:next w:val="Normal"/>
    <w:uiPriority w:val="35"/>
    <w:qFormat/>
    <w:pPr>
      <w:spacing w:before="0" w:after="180"/>
      <w:jc w:val="center"/>
    </w:pPr>
    <w:rPr>
      <w:i/>
      <w:iCs/>
      <w:color w:val="595959"/>
      <w:sz w:val="18"/>
      <w:szCs w:val="18"/>
    </w:rPr>
  </w:style>
  <w:style w:type="paragraph" w:styleId="Trennlinie">
    <w:name w:val="Trennlinie"/>
    <w:basedOn w:val="Normal"/>
    <w:next w:val="Normal"/>
    <w:uiPriority w:val="30"/>
    <w:qFormat/>
    <w:pPr>
      <w:pBdr>
        <w:bottom w:val="single" w:sz="4" w:space="1" w:color="BFBFBF"/>
      </w:pBdr>
      <w:spacing w:before="120" w:after="180"/>
    </w:pPr>
  </w:style>
  <w:style w:type="character" w:styleId="Hyperlink">
    <w:name w:val="Hyperlink"/>
    <w:basedOn w:val="DefaultParagraphFont"/>
    <w:uiPriority w:val="99"/>
    <w:unhideWhenUsed/>
    <w:rPr>
      <w:color w:val="0563C1"/>
      <w:u w:val="single"/>
    </w:rPr>
  </w:style>
  <w:style w:type="table" w:styleId="TableGrid">
    <w:name w:val="Table Grid"/>
    <w:basedOn w:val="TableNormal"/>
    <w:uiPriority w:val="39"/>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&#65279;<?xml version="1.0" encoding="utf-8"?><Relationships xmlns="http://schemas.openxmlformats.org/package/2006/relationships"><Relationship Type="http://schemas.openxmlformats.org/officeDocument/2006/relationships/styles" Target="/word/styles.xml" Id="R08c5b3eb23274483" /><Relationship Type="http://schemas.openxmlformats.org/officeDocument/2006/relationships/settings" Target="/word/settings.xml" Id="R7d10698633dd4ade" /><Relationship Type="http://schemas.openxmlformats.org/officeDocument/2006/relationships/image" Target="/word/media/image.png" Id="Ra55d0e41a15d48a8" /><Relationship Type="http://schemas.openxmlformats.org/officeDocument/2006/relationships/image" Target="/word/media/image2.png" Id="Re8ad5ebd62b0475b" /><Relationship Type="http://schemas.openxmlformats.org/officeDocument/2006/relationships/image" Target="/word/media/image3.png" Id="R6e3a868d50cc44e7" /><Relationship Type="http://schemas.openxmlformats.org/officeDocument/2006/relationships/image" Target="/word/media/image4.png" Id="R21cb5790d3f94ef7" /><Relationship Type="http://schemas.openxmlformats.org/officeDocument/2006/relationships/image" Target="/word/media/image5.png" Id="R5fef474385b14de3" /><Relationship Type="http://schemas.openxmlformats.org/officeDocument/2006/relationships/image" Target="/word/media/image6.png" Id="R2af1cff7e6254371" /><Relationship Type="http://schemas.openxmlformats.org/officeDocument/2006/relationships/image" Target="/word/media/image7.png" Id="Rdf480085593340f9" /><Relationship Type="http://schemas.openxmlformats.org/officeDocument/2006/relationships/image" Target="/word/media/image8.png" Id="Rc60a743ef319400f" /><Relationship Type="http://schemas.openxmlformats.org/officeDocument/2006/relationships/image" Target="/word/media/image9.png" Id="R51ee8a8ba18c451e" /><Relationship Type="http://schemas.openxmlformats.org/officeDocument/2006/relationships/image" Target="/word/media/image10.png" Id="Redb7f1c6a0c44482" /><Relationship Type="http://schemas.openxmlformats.org/officeDocument/2006/relationships/image" Target="/word/media/image11.png" Id="Recbd944d0a534f60" /><Relationship Type="http://schemas.openxmlformats.org/officeDocument/2006/relationships/image" Target="/word/media/image12.png" Id="R50565ecdd1554a5e" /><Relationship Type="http://schemas.openxmlformats.org/officeDocument/2006/relationships/image" Target="/word/media/image13.png" Id="R9b2c55bb2f9240ab" /><Relationship Type="http://schemas.openxmlformats.org/officeDocument/2006/relationships/image" Target="/word/media/image14.png" Id="Re0f434f001a84193" /><Relationship Type="http://schemas.openxmlformats.org/officeDocument/2006/relationships/numbering" Target="/word/numbering.xml" Id="R440a63fca7634079" /></Relationships>
</file>