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Pufferspeicher-Auslegung</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Kältespeicher</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r>
        <w:rPr>
          <w:noProof/>
        </w:rPr>
        <w:t xml:space="preserve">{{#wenn hat.tabelle.komponenten.kenndaten.kaeltemaschine}}</w:t>
      </w:r>
    </w:p>
    <w:p>
      <w:pPr>
        <w:pStyle w:val="Heading2"/>
      </w:pPr>
      <w:r>
        <w:t xml:space="preserve">Kältemaschine</w:t>
      </w:r>
    </w:p>
    <w:p>
      <w:pPr>
        <w:pStyle w:val="Normal"/>
      </w:pPr>
      <w:r>
        <w:rPr>
          <w:noProof/>
        </w:rPr>
        <w:t xml:space="preserve">{{tabelle.komponenten.kenndaten.kaeltemaschine}}</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Stromproduktion, Einspeisung, Reststrombedarf und Strombedarf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Kälteproduktion: gedeckte Kälte je Wärmepumpe, ungedeckte Kälte und Kältebedarf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Gebäude</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Gebäude je Projekt</w:t>
      </w:r>
    </w:p>
    <w:p>
      <w:pPr>
        <w:pStyle w:val="Hinweis"/>
      </w:pPr>
      <w:r>
        <w:t xml:space="preserve">Je Projekt die Gebäudetafel mit Lüftungs- und Aufheizwerten; die Abweichung zum Stamm zeigt die Kennzahlgruppe „Gebäude“.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27</vt:i4>
  </op:property>
  <op:property fmtid="{D5CDD505-2E9C-101B-9397-08002B2CF9AE}" pid="3" name="EPOS.Vorlage">
    <vt:lpwstr>ausfuehrlich</vt:lpwstr>
  </op:property>
  <op:property fmtid="{D5CDD505-2E9C-101B-9397-08002B2CF9AE}" pid="4" name="EPOS.Sprache">
    <vt:lpwstr>de</vt:lpwstr>
  </op:property>
</op:Properties>
</file>