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d10c9d7370af4e39" /></Relationships>
</file>

<file path=word/document.xml><?xml version="1.0" encoding="utf-8"?>
<w:document xmlns:w="http://schemas.openxmlformats.org/wordprocessingml/2006/main">
  <w:body>
    <w:p>
      <w:pPr>
        <w:pStyle w:val="Title"/>
      </w:pPr>
      <w:r>
        <w:t xml:space="preserve">Gebäudesimulation VDI 6007 in EPOS-Plan</w:t>
      </w:r>
    </w:p>
    <w:p>
      <w:pPr>
        <w:pStyle w:val="Subtitle"/>
      </w:pPr>
      <w:r>
        <w:t xml:space="preserve">Architektur, Design und Rechenweg — Kurzfassung der Konzeptpapiere</w:t>
      </w:r>
    </w:p>
    <w:p>
      <w:pPr>
        <w:jc w:val="center"/>
      </w:pPr>
      <w:r>
        <w:rPr>
          <w:color w:val="595959"/>
        </w:rPr>
        <w:t xml:space="preserve">16.09.2026</w:t>
      </w:r>
    </w:p>
    <w:p>
      <w:pPr>
        <w:jc w:val="center"/>
      </w:pPr>
      <w:r>
        <w:rPr>
          <w:color w:val="595959"/>
        </w:rPr>
        <w:t xml:space="preserve">EPOS-Plan — INEKON</w:t>
      </w:r>
    </w:p>
    <w:p>
      <w:r>
        <w:br w:type="page"/>
      </w:r>
    </w:p>
    <w:p>
      <w:pPr>
        <w:pStyle w:val="Heading1"/>
      </w:pPr>
      <w:r>
        <w:t xml:space="preserve">Inhaltsverzeichnis</w:t>
      </w:r>
    </w:p>
    <w:p>
      <w:r>
        <w:fldChar w:fldCharType="begin" w:dirty="true"/>
      </w:r>
      <w:r>
        <w:instrText xml:space="preserve"> TOC \o "1-3" \h \z \u </w:instrText>
      </w:r>
      <w:r>
        <w:fldChar w:fldCharType="separate"/>
      </w:r>
      <w:r>
        <w:rPr>
          <w:i/>
          <w:color w:val="595959"/>
        </w:rPr>
        <w:t xml:space="preserve">Das Inhaltsverzeichnis wird beim Öffnen in Word aufgebaut (sonst F9).</w:t>
      </w:r>
      <w:r>
        <w:fldChar w:fldCharType="end"/>
      </w:r>
    </w:p>
    <w:p>
      <w:r>
        <w:br w:type="page"/>
      </w:r>
    </w:p>
    <w:p>
      <w:pPr>
        <w:pStyle w:val="Heading1"/>
      </w:pPr>
      <w:r>
        <w:t xml:space="preserve">1 Worum es geht</w:t>
      </w:r>
    </w:p>
    <w:p>
      <w:pPr>
        <w:spacing w:after="180" w:line="276" w:lineRule="auto"/>
      </w:pPr>
      <w:r>
        <w:rPr>
          <w:b/>
        </w:rPr>
        <w:t xml:space="preserve">Gegenstand:</w:t>
      </w:r>
      <w:r>
        <w:t xml:space="preserve"> Gebäudesimulation in EPOS-Plan — ein dynamisches Gebäudemodell nach VDI 6007 Blatt 1 mit Stundenauflösung, sein Datenmodell, seine Dialoge, die Kühlung als vierter Kanal, die Anlagenkopplung als benannte Erweiterung, der Datenaustausch über gbXML und IFC und der Rechenweg in Schritten.</w:t>
      </w:r>
      <w:r>
        <w:br/>
      </w:r>
      <w:r>
        <w:rPr>
          <w:b/>
        </w:rPr>
        <w:t xml:space="preserve">Stand:</w:t>
      </w:r>
      <w:r>
        <w:t xml:space="preserve"> 16.09.2026 (Vormittag).</w:t>
      </w:r>
      <w:r>
        <w:br/>
      </w:r>
      <w:r>
        <w:rPr>
          <w:b/>
        </w:rPr>
        <w:t xml:space="preserve">Leserkreis:</w:t>
      </w:r>
      <w:r>
        <w:t xml:space="preserve"> Projektverantwortung, Entwickler.</w:t>
      </w:r>
      <w:r>
        <w:br/>
      </w:r>
      <w:r>
        <w:rPr>
          <w:b/>
        </w:rPr>
        <w:t xml:space="preserve">Zweck dieses Papiers:</w:t>
      </w:r>
      <w:r>
        <w:t xml:space="preserve"> die wesentlichen Punkte aus elf Konzept- und Architekturpapieren in einer Kurzfassung — Architektur, Design, Rechenweg, Kühlung, Anlagenkopplung, Stufen, offene Entscheide. Die Einzelheiten stehen in den Papieren; jedes Kapitel nennt am Ende, wo.</w:t>
      </w:r>
    </w:p>
    <w:p>
      <w:pPr>
        <w:pStyle w:val="Heading2"/>
      </w:pPr>
      <w:r>
        <w:t xml:space="preserve">1.1 Der Auftrag</w:t>
      </w:r>
    </w:p>
    <w:p>
      <w:r>
        <w:t xml:space="preserve">Der Anwender hat am 15.09.2026 beauftragt: „Gebäudesimulation EPOS-Plan: Konzept und Umsetzung." — „Es soll geprüft werden, ob der Datenimport für das Gebäudemodell im IFC-Format verwendet werden kann und wie das in EPOS-Plan umgesetzt werden kann." — „Erstelle zuerst ein Konzept."</w:t>
      </w:r>
    </w:p>
    <w:p>
      <w:r>
        <w:t xml:space="preserve">Die Leitplanken desselben Tages: </w:t>
      </w:r>
      <w:r>
        <w:rPr>
          <w:b/>
        </w:rPr>
        <w:t xml:space="preserve">Stundenwerte als Basis. Neuschreiben nach Spezifikation, Datenmodell und Lösungsschema übernehmen. Prüfen der Simulationsdaten aus dem bestehenden Gebäudemodell. IFC-Import prüfen.</w:t>
      </w:r>
    </w:p>
    <w:p>
      <w:pPr>
        <w:pStyle w:val="Heading2"/>
      </w:pPr>
      <w:r>
        <w:t xml:space="preserve">1.2 Die Ausgangslage in fünf Sätzen</w:t>
      </w:r>
    </w:p>
    <w:p>
      <w:r>
        <w:t xml:space="preserve">EPOS-Plan rechnet den Heizwärmebedarf eines Gebäudes heute mit einem </w:t>
      </w:r>
      <w:r>
        <w:rPr>
          <w:b/>
        </w:rPr>
        <w:t xml:space="preserve">Tageslast-Modell</w:t>
      </w:r>
      <w:r>
        <w:t xml:space="preserve"> aus der BHKWPLAN-Bibliothek: ein Ein-Knoten-Modell mit einer Kapazität auf Tagesmittel-Klima, dessen Tageswert nachgelagert über Tagesprofile auf Stunden verteilt wird. Die Datenbank trägt dazu die Bilanzgrößen — Flächen, U-Werte, Gesamtkapazität, Nutzung, Sollwerte —, während neun weitere Größen des Rechenwegs Vorgaben und keine Daten sind. Das Material auf dem Netzlaufwerk, das als Vorlage gedacht war, taugt als Vorlage und nicht als Rechenkern: sein Löser setzt die Systemmatrix diagonal an, dem Massenknoten der Außenbauteile fehlt die Rückkopplung, und der erste Normtestfall wird um rund 20 K verfehlt bei einer Toleranz von 0,1 K. Ein außerhalb des Repositoriums gebauter Prototyp des neu geschriebenen Lösers liegt dagegen in elf der zwölf Normtestfälle im Prüfband der Richtlinie; der zwölfte ist benannt offen (siehe 1.4). Die Klimadaten liegen stündlich, lückenlos und mit Global-, Direkt- und Diffusstrahlung vor.</w:t>
      </w:r>
    </w:p>
    <w:p>
      <w:pPr>
        <w:pStyle w:val="Heading2"/>
      </w:pPr>
      <w:r>
        <w:t xml:space="preserve">1.3 Die fünfundzwanzig Entscheide des Anwenders</w:t>
      </w:r>
    </w:p>
    <w:p>
      <w:r>
        <w:t xml:space="preserve">Die ersten elf Entscheide sind am </w:t>
      </w:r>
      <w:r>
        <w:rPr>
          <w:b/>
        </w:rPr>
        <w:t xml:space="preserve">15.09.2026</w:t>
      </w:r>
      <w:r>
        <w:t xml:space="preserve"> gefallen, die vierzehn weiteren am </w:t>
      </w:r>
      <w:r>
        <w:rPr>
          <w:b/>
        </w:rPr>
        <w:t xml:space="preserve">16.09.2026</w:t>
      </w:r>
      <w:r>
        <w:t xml:space="preserve">; alle sind für Entwurf und Umsetzung verbindlich.</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Nr.</w:t>
            </w:r>
          </w:p>
        </w:tc>
        <w:tc>
          <w:tcPr>
            <w:tcW w:w="0" w:type="auto"/>
            <w:shd w:val="clear" w:color="auto" w:fill="D9D9D9"/>
          </w:tcPr>
          <w:p>
            <w:pPr>
              <w:spacing w:after="0" w:line="240" w:lineRule="auto"/>
              <w:rPr>
                <w:b/>
              </w:rPr>
            </w:pPr>
            <w:r>
              <w:rPr>
                <w:b/>
              </w:rPr>
              <w:t xml:space="preserve">Entscheid in einem Satz</w:t>
            </w:r>
          </w:p>
        </w:tc>
        <w:tc>
          <w:tcPr>
            <w:tcW w:w="0" w:type="auto"/>
            <w:shd w:val="clear" w:color="auto" w:fill="D9D9D9"/>
          </w:tcPr>
          <w:p>
            <w:pPr>
              <w:spacing w:after="0" w:line="240" w:lineRule="auto"/>
              <w:rPr>
                <w:b/>
              </w:rPr>
            </w:pPr>
            <w:r>
              <w:rPr>
                <w:b/>
              </w:rPr>
              <w:t xml:space="preserve">Datum</w:t>
            </w:r>
          </w:p>
        </w:tc>
      </w:tr>
      <w:tr>
        <w:tc>
          <w:tcPr>
            <w:tcW w:w="0" w:type="auto"/>
          </w:tcPr>
          <w:p>
            <w:pPr>
              <w:spacing w:after="0" w:line="240" w:lineRule="auto"/>
            </w:pPr>
            <w:r>
              <w:rPr>
                <w:b/>
              </w:rPr>
              <w:t xml:space="preserve">E1</w:t>
            </w:r>
          </w:p>
        </w:tc>
        <w:tc>
          <w:tcPr>
            <w:tcW w:w="0" w:type="auto"/>
          </w:tcPr>
          <w:p>
            <w:pPr>
              <w:spacing w:after="0" w:line="240" w:lineRule="auto"/>
            </w:pPr>
            <w:r>
              <w:t xml:space="preserve">Das Stundenmodell nach VDI 6007 ist das Rechenmodell </w:t>
            </w:r>
            <w:r>
              <w:rPr>
                <w:b/>
              </w:rPr>
              <w:t xml:space="preserve">jedes</w:t>
            </w:r>
            <w:r>
              <w:t xml:space="preserve"> Gebäudes, auch eines bestehenden; die Tagesbilanz bleibt nur als ausdrücklich wählbare Ausnahme, </w:t>
            </w:r>
            <w:r>
              <w:rPr>
                <w:rFonts w:ascii="Consolas" w:hAnsi="Consolas" w:cs="Consolas"/>
                <w:noProof/>
                <w:sz w:val="20"/>
                <w:szCs w:val="20"/>
                <w:shd w:val="clear" w:color="auto" w:fill="EFEFEF"/>
              </w:rPr>
              <w:t xml:space="preserve">Gebaeude_Modell = NULL</w:t>
            </w:r>
            <w:r>
              <w:t xml:space="preserve"> bedeutet VDI 6007, und die Referenzbasis wird mit G1 vollständig neu eingefroren. </w:t>
            </w:r>
            <w:r>
              <w:rPr>
                <w:b/>
              </w:rPr>
              <w:t xml:space="preserve">E20 schärft:</w:t>
            </w:r>
            <w:r>
              <w:t xml:space="preserve"> die Tagesbilanz lebt in einem eigenen Modul; </w:t>
            </w:r>
            <w:r>
              <w:rPr>
                <w:b/>
              </w:rPr>
              <w:t xml:space="preserve">E23 stellt fest:</w:t>
            </w:r>
            <w:r>
              <w:t xml:space="preserve"> sie bleibt dauerhaft als Bestandsweg.</w:t>
            </w:r>
          </w:p>
        </w:tc>
        <w:tc>
          <w:tcPr>
            <w:tcW w:w="0" w:type="auto"/>
          </w:tcPr>
          <w:p>
            <w:pPr>
              <w:spacing w:after="0" w:line="240" w:lineRule="auto"/>
            </w:pPr>
            <w:r>
              <w:t xml:space="preserve">15.09.2026</w:t>
            </w:r>
          </w:p>
        </w:tc>
      </w:tr>
      <w:tr>
        <w:tc>
          <w:tcPr>
            <w:tcW w:w="0" w:type="auto"/>
          </w:tcPr>
          <w:p>
            <w:pPr>
              <w:spacing w:after="0" w:line="240" w:lineRule="auto"/>
            </w:pPr>
            <w:r>
              <w:rPr>
                <w:b/>
              </w:rPr>
              <w:t xml:space="preserve">E2</w:t>
            </w:r>
          </w:p>
        </w:tc>
        <w:tc>
          <w:tcPr>
            <w:tcW w:w="0" w:type="auto"/>
          </w:tcPr>
          <w:p>
            <w:pPr>
              <w:spacing w:after="0" w:line="240" w:lineRule="auto"/>
            </w:pPr>
            <w:r>
              <w:t xml:space="preserve">Die Bestandsgewichte 0,83 / 0,95 / 0,45 / 0,83 sind im Stundenmodell gestrichen; der Gebäudedialog zeigt je Bauteilgruppe </w:t>
            </w:r>
            <m:oMath xmlns:m="http://schemas.openxmlformats.org/officeDocument/2006/math">
              <m:r>
                <w:rPr>
                  <w:rFonts w:ascii="Cambria Math" w:hAnsi="Cambria Math"/>
                </w:rPr>
                <m:t>U</m:t>
              </m:r>
            </m:oMath>
            <w:r>
              <w:t xml:space="preserve">, </w:t>
            </w:r>
            <m:oMath xmlns:m="http://schemas.openxmlformats.org/officeDocument/2006/math">
              <m:r>
                <w:rPr>
                  <w:rFonts w:ascii="Cambria Math" w:hAnsi="Cambria Math"/>
                </w:rPr>
                <m:t>A</m:t>
              </m:r>
            </m:oMath>
            <w:r>
              <w:t xml:space="preserve"> und </w:t>
            </w:r>
            <w:r>
              <w:rPr>
                <w:b/>
              </w:rPr>
              <w:t xml:space="preserve">U·A</w:t>
            </w:r>
            <w:r>
              <w:t xml:space="preserve"> ohne verdeckte Faktoren, darunter </w:t>
            </w:r>
            <m:oMath xmlns:m="http://schemas.openxmlformats.org/officeDocument/2006/math">
              <m:sSub>
                <m:e>
                  <m:r>
                    <w:rPr>
                      <w:rFonts w:ascii="Cambria Math" w:hAnsi="Cambria Math"/>
                    </w:rPr>
                    <m:t>H</m:t>
                  </m:r>
                </m:e>
                <m:sub>
                  <m:r>
                    <m:rPr>
                      <m:sty m:val="p"/>
                    </m:rPr>
                    <w:rPr>
                      <w:rFonts w:ascii="Cambria Math" w:hAnsi="Cambria Math"/>
                    </w:rPr>
                    <m:t>T</m:t>
                  </m:r>
                </m:sub>
              </m:sSub>
            </m:oMath>
            <w:r>
              <w:t xml:space="preserve">, </w:t>
            </w:r>
            <m:oMath xmlns:m="http://schemas.openxmlformats.org/officeDocument/2006/math">
              <m:sSub>
                <m:e>
                  <m:r>
                    <w:rPr>
                      <w:rFonts w:ascii="Cambria Math" w:hAnsi="Cambria Math"/>
                    </w:rPr>
                    <m:t>H</m:t>
                  </m:r>
                </m:e>
                <m:sub>
                  <m:r>
                    <m:rPr>
                      <m:sty m:val="p"/>
                    </m:rPr>
                    <w:rPr>
                      <w:rFonts w:ascii="Cambria Math" w:hAnsi="Cambria Math"/>
                    </w:rPr>
                    <m:t>ve</m:t>
                  </m:r>
                </m:sub>
              </m:sSub>
            </m:oMath>
            <w:r>
              <w:t xml:space="preserve"> und </w:t>
            </w:r>
            <m:oMath xmlns:m="http://schemas.openxmlformats.org/officeDocument/2006/math">
              <m:sSub>
                <m:e>
                  <m:r>
                    <w:rPr>
                      <w:rFonts w:ascii="Cambria Math" w:hAnsi="Cambria Math"/>
                    </w:rPr>
                    <m:t>H</m:t>
                  </m:r>
                </m:e>
                <m:sub>
                  <m:r>
                    <m:rPr>
                      <m:sty m:val="p"/>
                    </m:rPr>
                    <w:rPr>
                      <w:rFonts w:ascii="Cambria Math" w:hAnsi="Cambria Math"/>
                    </w:rPr>
                    <m:t>ges</m:t>
                  </m:r>
                </m:sub>
              </m:sSub>
            </m:oMath>
            <w:r>
              <w:t xml:space="preserve">.</w:t>
            </w:r>
          </w:p>
        </w:tc>
        <w:tc>
          <w:tcPr>
            <w:tcW w:w="0" w:type="auto"/>
          </w:tcPr>
          <w:p>
            <w:pPr>
              <w:spacing w:after="0" w:line="240" w:lineRule="auto"/>
            </w:pPr>
            <w:r>
              <w:t xml:space="preserve">15.09.2026</w:t>
            </w:r>
          </w:p>
        </w:tc>
      </w:tr>
      <w:tr>
        <w:tc>
          <w:tcPr>
            <w:tcW w:w="0" w:type="auto"/>
          </w:tcPr>
          <w:p>
            <w:pPr>
              <w:spacing w:after="0" w:line="240" w:lineRule="auto"/>
            </w:pPr>
            <w:r>
              <w:rPr>
                <w:b/>
              </w:rPr>
              <w:t xml:space="preserve">E3</w:t>
            </w:r>
          </w:p>
        </w:tc>
        <w:tc>
          <w:tcPr>
            <w:tcW w:w="0" w:type="auto"/>
          </w:tcPr>
          <w:p>
            <w:pPr>
              <w:spacing w:after="0" w:line="240" w:lineRule="auto"/>
            </w:pPr>
            <w:r>
              <w:t xml:space="preserve">Der IFC-Weg benutzt </w:t>
            </w:r>
            <w:r>
              <w:rPr>
                <w:b/>
              </w:rPr>
              <w:t xml:space="preserve">xBIM als unverändertes NuGet-Paket</w:t>
            </w:r>
            <w:r>
              <w:t xml:space="preserve"> unter CDDL-1.0, allein </w:t>
            </w:r>
            <w:r>
              <w:rPr>
                <w:rFonts w:ascii="Consolas" w:hAnsi="Consolas" w:cs="Consolas"/>
                <w:noProof/>
                <w:sz w:val="20"/>
                <w:szCs w:val="20"/>
                <w:shd w:val="clear" w:color="auto" w:fill="EFEFEF"/>
              </w:rPr>
              <w:t xml:space="preserve">Xbim.IO.MemoryModel</w:t>
            </w:r>
            <w:r>
              <w:t xml:space="preserve">; Lizenztext und Quellenverweis kommen ins Installationspaket, </w:t>
            </w:r>
            <w:r>
              <w:rPr>
                <w:rFonts w:ascii="Consolas" w:hAnsi="Consolas" w:cs="Consolas"/>
                <w:noProof/>
                <w:sz w:val="20"/>
                <w:szCs w:val="20"/>
                <w:shd w:val="clear" w:color="auto" w:fill="EFEFEF"/>
              </w:rPr>
              <w:t xml:space="preserve">Xbim.Geometry</w:t>
            </w:r>
            <w:r>
              <w:t xml:space="preserve"> bleibt draußen.</w:t>
            </w:r>
          </w:p>
        </w:tc>
        <w:tc>
          <w:tcPr>
            <w:tcW w:w="0" w:type="auto"/>
          </w:tcPr>
          <w:p>
            <w:pPr>
              <w:spacing w:after="0" w:line="240" w:lineRule="auto"/>
            </w:pPr>
            <w:r>
              <w:t xml:space="preserve">15.09.2026</w:t>
            </w:r>
          </w:p>
        </w:tc>
      </w:tr>
      <w:tr>
        <w:tc>
          <w:tcPr>
            <w:tcW w:w="0" w:type="auto"/>
          </w:tcPr>
          <w:p>
            <w:pPr>
              <w:spacing w:after="0" w:line="240" w:lineRule="auto"/>
            </w:pPr>
            <w:r>
              <w:rPr>
                <w:b/>
              </w:rPr>
              <w:t xml:space="preserve">E4</w:t>
            </w:r>
          </w:p>
        </w:tc>
        <w:tc>
          <w:tcPr>
            <w:tcW w:w="0" w:type="auto"/>
          </w:tcPr>
          <w:p>
            <w:pPr>
              <w:spacing w:after="0" w:line="240" w:lineRule="auto"/>
            </w:pPr>
            <w:r>
              <w:t xml:space="preserve">Die Bestandsbefunde — Instanzzustand statt statischem Feld, Warnungen statt stiller Fehlgriffe, Korrektur der Bauweise eines Testgebäudes — laufen als </w:t>
            </w:r>
            <w:r>
              <w:rPr>
                <w:b/>
              </w:rPr>
              <w:t xml:space="preserve">eigener Einfrierschritt GB vor G1</w:t>
            </w:r>
            <w:r>
              <w:t xml:space="preserve">, dazu die Einfrierregel „gesäte Gebäudedaten".</w:t>
            </w:r>
          </w:p>
        </w:tc>
        <w:tc>
          <w:tcPr>
            <w:tcW w:w="0" w:type="auto"/>
          </w:tcPr>
          <w:p>
            <w:pPr>
              <w:spacing w:after="0" w:line="240" w:lineRule="auto"/>
            </w:pPr>
            <w:r>
              <w:t xml:space="preserve">15.09.2026</w:t>
            </w:r>
          </w:p>
        </w:tc>
      </w:tr>
      <w:tr>
        <w:tc>
          <w:tcPr>
            <w:tcW w:w="0" w:type="auto"/>
          </w:tcPr>
          <w:p>
            <w:pPr>
              <w:spacing w:after="0" w:line="240" w:lineRule="auto"/>
            </w:pPr>
            <w:r>
              <w:rPr>
                <w:b/>
              </w:rPr>
              <w:t xml:space="preserve">E5</w:t>
            </w:r>
          </w:p>
        </w:tc>
        <w:tc>
          <w:tcPr>
            <w:tcW w:w="0" w:type="auto"/>
          </w:tcPr>
          <w:p>
            <w:pPr>
              <w:spacing w:after="0" w:line="240" w:lineRule="auto"/>
            </w:pPr>
            <w:r>
              <w:t xml:space="preserve">Klimabasis sind die vorhandenen </w:t>
            </w:r>
            <w:r>
              <w:rPr>
                <w:b/>
              </w:rPr>
              <w:t xml:space="preserve">PVGIS-TMY-Daten</w:t>
            </w:r>
            <w:r>
              <w:t xml:space="preserve">; keine Datenträger, keine DWD-TRY.</w:t>
            </w:r>
          </w:p>
        </w:tc>
        <w:tc>
          <w:tcPr>
            <w:tcW w:w="0" w:type="auto"/>
          </w:tcPr>
          <w:p>
            <w:pPr>
              <w:spacing w:after="0" w:line="240" w:lineRule="auto"/>
            </w:pPr>
            <w:r>
              <w:t xml:space="preserve">15.09.2026</w:t>
            </w:r>
          </w:p>
        </w:tc>
      </w:tr>
      <w:tr>
        <w:tc>
          <w:tcPr>
            <w:tcW w:w="0" w:type="auto"/>
          </w:tcPr>
          <w:p>
            <w:pPr>
              <w:spacing w:after="0" w:line="240" w:lineRule="auto"/>
            </w:pPr>
            <w:r>
              <w:rPr>
                <w:b/>
              </w:rPr>
              <w:t xml:space="preserve">E6</w:t>
            </w:r>
          </w:p>
        </w:tc>
        <w:tc>
          <w:tcPr>
            <w:tcW w:w="0" w:type="auto"/>
          </w:tcPr>
          <w:p>
            <w:pPr>
              <w:spacing w:after="0" w:line="240" w:lineRule="auto"/>
            </w:pPr>
            <w:r>
              <w:t xml:space="preserve">VDI 6020:2022 wird </w:t>
            </w:r>
            <w:r>
              <w:rPr>
                <w:b/>
              </w:rPr>
              <w:t xml:space="preserve">nur zu Forschungszwecken</w:t>
            </w:r>
            <w:r>
              <w:t xml:space="preserve"> genutzt — nichts daraus in Quelltext, Tests, Wiki, Bericht oder Auslieferung.</w:t>
            </w:r>
          </w:p>
        </w:tc>
        <w:tc>
          <w:tcPr>
            <w:tcW w:w="0" w:type="auto"/>
          </w:tcPr>
          <w:p>
            <w:pPr>
              <w:spacing w:after="0" w:line="240" w:lineRule="auto"/>
            </w:pPr>
            <w:r>
              <w:t xml:space="preserve">15.09.2026</w:t>
            </w:r>
          </w:p>
        </w:tc>
      </w:tr>
      <w:tr>
        <w:tc>
          <w:tcPr>
            <w:tcW w:w="0" w:type="auto"/>
          </w:tcPr>
          <w:p>
            <w:pPr>
              <w:spacing w:after="0" w:line="240" w:lineRule="auto"/>
            </w:pPr>
            <w:r>
              <w:rPr>
                <w:b/>
              </w:rPr>
              <w:t xml:space="preserve">E7</w:t>
            </w:r>
          </w:p>
        </w:tc>
        <w:tc>
          <w:tcPr>
            <w:tcW w:w="0" w:type="auto"/>
          </w:tcPr>
          <w:p>
            <w:pPr>
              <w:spacing w:after="0" w:line="240" w:lineRule="auto"/>
            </w:pPr>
            <w:r>
              <w:rPr>
                <w:b/>
              </w:rPr>
              <w:t xml:space="preserve">Einzonenmodell zuerst</w:t>
            </w:r>
            <w:r>
              <w:t xml:space="preserve"> (G0 bis G2, analog zum Bestand); das Mehrzonenmodell ist die spätere Stufe G6 über den Import und hat ein eigenes Konzept.</w:t>
            </w:r>
          </w:p>
        </w:tc>
        <w:tc>
          <w:tcPr>
            <w:tcW w:w="0" w:type="auto"/>
          </w:tcPr>
          <w:p>
            <w:pPr>
              <w:spacing w:after="0" w:line="240" w:lineRule="auto"/>
            </w:pPr>
            <w:r>
              <w:t xml:space="preserve">15.09.2026</w:t>
            </w:r>
          </w:p>
        </w:tc>
      </w:tr>
      <w:tr>
        <w:tc>
          <w:tcPr>
            <w:tcW w:w="0" w:type="auto"/>
          </w:tcPr>
          <w:p>
            <w:pPr>
              <w:spacing w:after="0" w:line="240" w:lineRule="auto"/>
            </w:pPr>
            <w:r>
              <w:rPr>
                <w:b/>
              </w:rPr>
              <w:t xml:space="preserve">E8</w:t>
            </w:r>
          </w:p>
        </w:tc>
        <w:tc>
          <w:tcPr>
            <w:tcW w:w="0" w:type="auto"/>
          </w:tcPr>
          <w:p>
            <w:pPr>
              <w:spacing w:after="0" w:line="240" w:lineRule="auto"/>
            </w:pPr>
            <w:r>
              <w:t xml:space="preserve">Die </w:t>
            </w:r>
            <w:r>
              <w:rPr>
                <w:b/>
              </w:rPr>
              <w:t xml:space="preserve">Skalierung bleibt</w:t>
            </w:r>
            <w:r>
              <w:t xml:space="preserve">: Hochrechnung des Bedarfs auf eine andere Fläche oder ein anderes Volumen und die Verbrauchs-Rückrechnung; sie entfällt erst für Gebäude mit echter Hülle aus G3 oder G4.</w:t>
            </w:r>
          </w:p>
        </w:tc>
        <w:tc>
          <w:tcPr>
            <w:tcW w:w="0" w:type="auto"/>
          </w:tcPr>
          <w:p>
            <w:pPr>
              <w:spacing w:after="0" w:line="240" w:lineRule="auto"/>
            </w:pPr>
            <w:r>
              <w:t xml:space="preserve">15.09.2026</w:t>
            </w:r>
          </w:p>
        </w:tc>
      </w:tr>
      <w:tr>
        <w:tc>
          <w:tcPr>
            <w:tcW w:w="0" w:type="auto"/>
          </w:tcPr>
          <w:p>
            <w:pPr>
              <w:spacing w:after="0" w:line="240" w:lineRule="auto"/>
            </w:pPr>
            <w:r>
              <w:rPr>
                <w:b/>
              </w:rPr>
              <w:t xml:space="preserve">E9</w:t>
            </w:r>
          </w:p>
        </w:tc>
        <w:tc>
          <w:tcPr>
            <w:tcW w:w="0" w:type="auto"/>
          </w:tcPr>
          <w:p>
            <w:pPr>
              <w:spacing w:after="0" w:line="240" w:lineRule="auto"/>
            </w:pPr>
            <w:r>
              <w:rPr>
                <w:b/>
              </w:rPr>
              <w:t xml:space="preserve">Import und Export</w:t>
            </w:r>
            <w:r>
              <w:t xml:space="preserve"> von gbXML und IFC; der gbXML-Import wird Pflicht in G4, die beiden Exporte sind Stufe G7.</w:t>
            </w:r>
          </w:p>
        </w:tc>
        <w:tc>
          <w:tcPr>
            <w:tcW w:w="0" w:type="auto"/>
          </w:tcPr>
          <w:p>
            <w:pPr>
              <w:spacing w:after="0" w:line="240" w:lineRule="auto"/>
            </w:pPr>
            <w:r>
              <w:t xml:space="preserve">15.09.2026</w:t>
            </w:r>
          </w:p>
        </w:tc>
      </w:tr>
      <w:tr>
        <w:tc>
          <w:tcPr>
            <w:tcW w:w="0" w:type="auto"/>
          </w:tcPr>
          <w:p>
            <w:pPr>
              <w:spacing w:after="0" w:line="240" w:lineRule="auto"/>
            </w:pPr>
            <w:r>
              <w:rPr>
                <w:b/>
              </w:rPr>
              <w:t xml:space="preserve">E10</w:t>
            </w:r>
          </w:p>
        </w:tc>
        <w:tc>
          <w:tcPr>
            <w:tcW w:w="0" w:type="auto"/>
          </w:tcPr>
          <w:p>
            <w:pPr>
              <w:spacing w:after="0" w:line="240" w:lineRule="auto"/>
            </w:pPr>
            <w:r>
              <w:t xml:space="preserve">Die </w:t>
            </w:r>
            <w:r>
              <w:rPr>
                <w:b/>
              </w:rPr>
              <w:t xml:space="preserve">Druckrundung der Normtabellen ist Teil der Prüftoleranz</w:t>
            </w:r>
            <w:r>
              <w:t xml:space="preserve"> — Band ± 0,15 K bzw. ± 1,5 W um die beiden Referenzprogramme; damit bestehen elf der zwölf Testbeispiele.</w:t>
            </w:r>
          </w:p>
        </w:tc>
        <w:tc>
          <w:tcPr>
            <w:tcW w:w="0" w:type="auto"/>
          </w:tcPr>
          <w:p>
            <w:pPr>
              <w:spacing w:after="0" w:line="240" w:lineRule="auto"/>
            </w:pPr>
            <w:r>
              <w:t xml:space="preserve">15.09.2026</w:t>
            </w:r>
          </w:p>
        </w:tc>
      </w:tr>
      <w:tr>
        <w:tc>
          <w:tcPr>
            <w:tcW w:w="0" w:type="auto"/>
          </w:tcPr>
          <w:p>
            <w:pPr>
              <w:spacing w:after="0" w:line="240" w:lineRule="auto"/>
            </w:pPr>
            <w:r>
              <w:rPr>
                <w:b/>
              </w:rPr>
              <w:t xml:space="preserve">E11</w:t>
            </w:r>
          </w:p>
        </w:tc>
        <w:tc>
          <w:tcPr>
            <w:tcW w:w="0" w:type="auto"/>
          </w:tcPr>
          <w:p>
            <w:pPr>
              <w:spacing w:after="0" w:line="240" w:lineRule="auto"/>
            </w:pPr>
            <w:r>
              <w:t xml:space="preserve">Ein </w:t>
            </w:r>
            <w:r>
              <w:rPr>
                <w:b/>
              </w:rPr>
              <w:t xml:space="preserve">Gebäudebetrachter, zwei Ansichten, ein Datenmodell</w:t>
            </w:r>
            <w:r>
              <w:t xml:space="preserve">: 2D-Grundriss je Geschoss aus den Raumgrenzen (SVG in einer Razor-Komponente, mit G6c) und schematische Körper aus EPOS-Daten (Quader je Zone, Platte je Bauteil, three.js lokal, mit G7b), zusammen gebaut auf einem Zonengeometrie-Modell im Kern; 10–17 PT. Ein vollwertiger 3D-IFC-Betrachter und die xBIM Geometry Engine sind benannt abgelehnt.</w:t>
            </w:r>
          </w:p>
        </w:tc>
        <w:tc>
          <w:tcPr>
            <w:tcW w:w="0" w:type="auto"/>
          </w:tcPr>
          <w:p>
            <w:pPr>
              <w:spacing w:after="0" w:line="240" w:lineRule="auto"/>
            </w:pPr>
            <w:r>
              <w:t xml:space="preserve">15.09.2026</w:t>
            </w:r>
          </w:p>
        </w:tc>
      </w:tr>
      <w:tr>
        <w:tc>
          <w:tcPr>
            <w:tcW w:w="0" w:type="auto"/>
          </w:tcPr>
          <w:p>
            <w:pPr>
              <w:spacing w:after="0" w:line="240" w:lineRule="auto"/>
            </w:pPr>
            <w:r>
              <w:rPr>
                <w:b/>
              </w:rPr>
              <w:t xml:space="preserve">E12</w:t>
            </w:r>
          </w:p>
        </w:tc>
        <w:tc>
          <w:tcPr>
            <w:tcW w:w="0" w:type="auto"/>
          </w:tcPr>
          <w:p>
            <w:pPr>
              <w:spacing w:after="0" w:line="240" w:lineRule="auto"/>
            </w:pPr>
            <w:r>
              <w:rPr>
                <w:b/>
              </w:rPr>
              <w:t xml:space="preserve">Kühlung wird als vierter Kanal aufgenommen:</w:t>
            </w:r>
            <w:r>
              <w:t xml:space="preserve"> neben </w:t>
            </w:r>
            <w:r>
              <w:rPr>
                <w:rFonts w:ascii="Consolas" w:hAnsi="Consolas" w:cs="Consolas"/>
                <w:noProof/>
                <w:sz w:val="20"/>
                <w:szCs w:val="20"/>
                <w:shd w:val="clear" w:color="auto" w:fill="EFEFEF"/>
              </w:rPr>
              <w:t xml:space="preserve">HEIZUNG</w:t>
            </w:r>
            <w:r>
              <w:t xml:space="preserve">, </w:t>
            </w:r>
            <w:r>
              <w:rPr>
                <w:rFonts w:ascii="Consolas" w:hAnsi="Consolas" w:cs="Consolas"/>
                <w:noProof/>
                <w:sz w:val="20"/>
                <w:szCs w:val="20"/>
                <w:shd w:val="clear" w:color="auto" w:fill="EFEFEF"/>
              </w:rPr>
              <w:t xml:space="preserve">BRAUCHWASSER</w:t>
            </w:r>
            <w:r>
              <w:t xml:space="preserve"> und </w:t>
            </w:r>
            <w:r>
              <w:rPr>
                <w:rFonts w:ascii="Consolas" w:hAnsi="Consolas" w:cs="Consolas"/>
                <w:noProof/>
                <w:sz w:val="20"/>
                <w:szCs w:val="20"/>
                <w:shd w:val="clear" w:color="auto" w:fill="EFEFEF"/>
              </w:rPr>
              <w:t xml:space="preserve">PROZESS</w:t>
            </w:r>
            <w:r>
              <w:t xml:space="preserve"> tritt </w:t>
            </w:r>
            <w:r>
              <w:rPr>
                <w:rFonts w:ascii="Consolas" w:hAnsi="Consolas" w:cs="Consolas"/>
                <w:noProof/>
                <w:sz w:val="20"/>
                <w:szCs w:val="20"/>
                <w:shd w:val="clear" w:color="auto" w:fill="EFEFEF"/>
              </w:rPr>
              <w:t xml:space="preserve">KUEHLUNG</w:t>
            </w:r>
            <w:r>
              <w:t xml:space="preserve">, und sein Bedarf wird </w:t>
            </w:r>
            <w:r>
              <w:rPr>
                <w:b/>
              </w:rPr>
              <w:t xml:space="preserve">durch Kälteerzeuger gedeckt</w:t>
            </w:r>
            <w:r>
              <w:t xml:space="preserve"> — die informative Reihe ist damit aufgehoben; das Konzept dazu ist ein eigenes Papier (Kapitel 8a).</w:t>
            </w:r>
          </w:p>
        </w:tc>
        <w:tc>
          <w:tcPr>
            <w:tcW w:w="0" w:type="auto"/>
          </w:tcPr>
          <w:p>
            <w:pPr>
              <w:spacing w:after="0" w:line="240" w:lineRule="auto"/>
            </w:pPr>
            <w:r>
              <w:t xml:space="preserve">16.09.2026</w:t>
            </w:r>
          </w:p>
        </w:tc>
      </w:tr>
      <w:tr>
        <w:tc>
          <w:tcPr>
            <w:tcW w:w="0" w:type="auto"/>
          </w:tcPr>
          <w:p>
            <w:pPr>
              <w:spacing w:after="0" w:line="240" w:lineRule="auto"/>
            </w:pPr>
            <w:r>
              <w:rPr>
                <w:b/>
              </w:rPr>
              <w:t xml:space="preserve">E13</w:t>
            </w:r>
          </w:p>
        </w:tc>
        <w:tc>
          <w:tcPr>
            <w:tcW w:w="0" w:type="auto"/>
          </w:tcPr>
          <w:p>
            <w:pPr>
              <w:spacing w:after="0" w:line="240" w:lineRule="auto"/>
            </w:pPr>
            <w:r>
              <w:rPr>
                <w:b/>
              </w:rPr>
              <w:t xml:space="preserve">Nutzfläche statt Wohnfläche:</w:t>
            </w:r>
            <w:r>
              <w:t xml:space="preserve"> Pflichtfelder des Imports sind </w:t>
            </w:r>
            <w:r>
              <w:rPr>
                <w:b/>
              </w:rPr>
              <w:t xml:space="preserve">Nutzfläche</w:t>
            </w:r>
            <w:r>
              <w:t xml:space="preserve"> (beheizte Netto-Grundfläche) und </w:t>
            </w:r>
            <w:r>
              <w:rPr>
                <w:b/>
              </w:rPr>
              <w:t xml:space="preserve">Raumhöhe</w:t>
            </w:r>
            <w:r>
              <w:t xml:space="preserve">, alles Übrige Vorgabe mit Herkunftsmarke; Bezugsfläche des Stundenmodells ist die Nutzfläche (</w:t>
            </w:r>
            <m:oMath xmlns:m="http://schemas.openxmlformats.org/officeDocument/2006/math">
              <m:sSub>
                <m:e>
                  <m:r>
                    <w:rPr>
                      <w:rFonts w:ascii="Cambria Math" w:hAnsi="Cambria Math"/>
                    </w:rPr>
                    <m:t>A</m:t>
                  </m:r>
                </m:e>
                <m:sub>
                  <m:r>
                    <m:rPr>
                      <m:sty m:val="p"/>
                    </m:rPr>
                    <w:rPr>
                      <w:rFonts w:ascii="Cambria Math" w:hAnsi="Cambria Math"/>
                    </w:rPr>
                    <m:t>IW</m:t>
                  </m:r>
                </m:sub>
              </m:sSub>
              <m:r>
                <w:rPr>
                  <w:rFonts w:ascii="Cambria Math" w:hAnsi="Cambria Math"/>
                </w:rPr>
                <m:t>=</m:t>
              </m:r>
              <m:r>
                <w:rPr>
                  <w:rFonts w:ascii="Cambria Math" w:hAnsi="Cambria Math"/>
                </w:rPr>
                <m:t>2</m:t>
              </m:r>
              <m:r>
                <w:rPr>
                  <w:rFonts w:ascii="Cambria Math" w:hAnsi="Cambria Math"/>
                </w:rPr>
                <m:t>,</m:t>
              </m:r>
              <m:r>
                <w:rPr>
                  <w:rFonts w:ascii="Cambria Math" w:hAnsi="Cambria Math"/>
                </w:rPr>
                <m:t>5</m:t>
              </m:r>
              <m:r>
                <w:rPr>
                  <w:rFonts w:ascii="Cambria Math" w:hAnsi="Cambria Math"/>
                </w:rPr>
                <m:t>⋅</m:t>
              </m:r>
            </m:oMath>
            <w:r>
              <w:t xml:space="preserve"> Nutzfläche, Skalierung nach E8). Die Annahme „eine Spalte unter neuem Namen" ist mit E19 aufgehoben.</w:t>
            </w:r>
          </w:p>
        </w:tc>
        <w:tc>
          <w:tcPr>
            <w:tcW w:w="0" w:type="auto"/>
          </w:tcPr>
          <w:p>
            <w:pPr>
              <w:spacing w:after="0" w:line="240" w:lineRule="auto"/>
            </w:pPr>
            <w:r>
              <w:t xml:space="preserve">16.09.2026</w:t>
            </w:r>
          </w:p>
        </w:tc>
      </w:tr>
      <w:tr>
        <w:tc>
          <w:tcPr>
            <w:tcW w:w="0" w:type="auto"/>
          </w:tcPr>
          <w:p>
            <w:pPr>
              <w:spacing w:after="0" w:line="240" w:lineRule="auto"/>
            </w:pPr>
            <w:r>
              <w:rPr>
                <w:b/>
              </w:rPr>
              <w:t xml:space="preserve">E14</w:t>
            </w:r>
          </w:p>
        </w:tc>
        <w:tc>
          <w:tcPr>
            <w:tcW w:w="0" w:type="auto"/>
          </w:tcPr>
          <w:p>
            <w:pPr>
              <w:spacing w:after="0" w:line="240" w:lineRule="auto"/>
            </w:pPr>
            <w:r>
              <w:rPr>
                <w:b/>
              </w:rPr>
              <w:t xml:space="preserve">Der Fensterpfad folgt dem Normweg (25)–(28) schon in G1:</w:t>
            </w:r>
            <w:r>
              <w:t xml:space="preserve"> das Fenster liegt im Außenwandzweig, </w:t>
            </w:r>
            <m:oMath xmlns:m="http://schemas.openxmlformats.org/officeDocument/2006/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AF</m:t>
                  </m:r>
                </m:sub>
              </m:sSub>
              <m:r>
                <w:rPr>
                  <w:rFonts w:ascii="Cambria Math" w:hAnsi="Cambria Math"/>
                </w:rPr>
                <m:t>=</m:t>
              </m:r>
              <m:sSub>
                <m:e>
                  <m:r>
                    <w:rPr>
                      <w:rFonts w:ascii="Cambria Math" w:hAnsi="Cambria Math"/>
                    </w:rPr>
                    <m:t>R</m:t>
                  </m:r>
                </m:e>
                <m:sub>
                  <m:r>
                    <m:rPr>
                      <m:sty m:val="p"/>
                    </m:rPr>
                    <w:rPr>
                      <w:rFonts w:ascii="Cambria Math" w:hAnsi="Cambria Math"/>
                    </w:rPr>
                    <m:t>AF</m:t>
                  </m:r>
                </m:sub>
              </m:sSub>
              <m:r>
                <w:rPr>
                  <w:rFonts w:ascii="Cambria Math" w:hAnsi="Cambria Math"/>
                </w:rPr>
                <m:t>/</m:t>
              </m:r>
              <m:r>
                <w:rPr>
                  <w:rFonts w:ascii="Cambria Math" w:hAnsi="Cambria Math"/>
                </w:rPr>
                <m:t>6</m:t>
              </m:r>
            </m:oMath>
            <w:r>
              <w:t xml:space="preserve"> parallel </w:t>
            </w:r>
            <w:r>
              <w:rPr>
                <w:b/>
              </w:rPr>
              <w:t xml:space="preserve">nach</w:t>
            </w:r>
            <w:r>
              <w:t xml:space="preserve"> den Wänden am gemeinsamen Oberflächenknoten, die Fensterfläche zählt in Strahlungsverteilung und Gewichtung. Ein eigener Fensterknoten bleibt benannte EPOS-Erweiterung </w:t>
            </w:r>
            <w:r>
              <w:rPr>
                <w:b/>
              </w:rPr>
              <w:t xml:space="preserve">frühestens mit G3</w:t>
            </w:r>
            <w:r>
              <w:t xml:space="preserve">; der Prototypweg entfällt für das Produkt, und die für G3 geplante Umstellung entfällt damit.</w:t>
            </w:r>
          </w:p>
        </w:tc>
        <w:tc>
          <w:tcPr>
            <w:tcW w:w="0" w:type="auto"/>
          </w:tcPr>
          <w:p>
            <w:pPr>
              <w:spacing w:after="0" w:line="240" w:lineRule="auto"/>
            </w:pPr>
            <w:r>
              <w:t xml:space="preserve">16.09.2026</w:t>
            </w:r>
          </w:p>
        </w:tc>
      </w:tr>
      <w:tr>
        <w:tc>
          <w:tcPr>
            <w:tcW w:w="0" w:type="auto"/>
          </w:tcPr>
          <w:p>
            <w:pPr>
              <w:spacing w:after="0" w:line="240" w:lineRule="auto"/>
            </w:pPr>
            <w:r>
              <w:rPr>
                <w:b/>
              </w:rPr>
              <w:t xml:space="preserve">E15</w:t>
            </w:r>
          </w:p>
        </w:tc>
        <w:tc>
          <w:tcPr>
            <w:tcW w:w="0" w:type="auto"/>
          </w:tcPr>
          <w:p>
            <w:pPr>
              <w:spacing w:after="0" w:line="240" w:lineRule="auto"/>
            </w:pPr>
            <w:r>
              <w:rPr>
                <w:b/>
              </w:rPr>
              <w:t xml:space="preserve">Wärmepumpen mit Kühlfunktion — Auswahl und Konfiguration:</w:t>
            </w:r>
            <w:r>
              <w:t xml:space="preserve"> die Katalogliste bekommt die Auswahl „nur mit Kühlfunktion", die Übernahme bringt die Kühlkennlinie bereits mit, und die Projektanlage bekommt Kühlbetrieb, Kühl-Vorlauf, Umschaltregel und Hilfsstromanteil; die vollständige Kühlrechnung gilt </w:t>
            </w:r>
            <w:r>
              <w:rPr>
                <w:b/>
              </w:rPr>
              <w:t xml:space="preserve">frühestens nach G1 + G2 + KU1 + KU2</w:t>
            </w:r>
            <w:r>
              <w:t xml:space="preserve">.</w:t>
            </w:r>
          </w:p>
        </w:tc>
        <w:tc>
          <w:tcPr>
            <w:tcW w:w="0" w:type="auto"/>
          </w:tcPr>
          <w:p>
            <w:pPr>
              <w:spacing w:after="0" w:line="240" w:lineRule="auto"/>
            </w:pPr>
            <w:r>
              <w:t xml:space="preserve">16.09.2026</w:t>
            </w:r>
          </w:p>
        </w:tc>
      </w:tr>
      <w:tr>
        <w:tc>
          <w:tcPr>
            <w:tcW w:w="0" w:type="auto"/>
          </w:tcPr>
          <w:p>
            <w:pPr>
              <w:spacing w:after="0" w:line="240" w:lineRule="auto"/>
            </w:pPr>
            <w:r>
              <w:rPr>
                <w:b/>
              </w:rPr>
              <w:t xml:space="preserve">E16</w:t>
            </w:r>
          </w:p>
        </w:tc>
        <w:tc>
          <w:tcPr>
            <w:tcW w:w="0" w:type="auto"/>
          </w:tcPr>
          <w:p>
            <w:pPr>
              <w:spacing w:after="0" w:line="240" w:lineRule="auto"/>
            </w:pPr>
            <w:r>
              <w:rPr>
                <w:b/>
              </w:rPr>
              <w:t xml:space="preserve">ADR-004 angenommen — gbXML-Leseweg:</w:t>
            </w:r>
            <w:r>
              <w:t xml:space="preserve"> LINQ to XML gegen ein handgeschriebenes Modell der rund 25 benötigten Elemente, keine Code-Erzeugung, keine Reflexion, kein Paket; Import tolerant, Export zweistufig mit Version 6.01, Schemaprüfung nur im Test gegen eine nicht ausgelieferte Kopie. Architekturfrage A7 ist damit beantwortet, der Sperrpunkt vor G4c aufgehoben; D1, D2 und D16 bleiben offen.</w:t>
            </w:r>
          </w:p>
        </w:tc>
        <w:tc>
          <w:tcPr>
            <w:tcW w:w="0" w:type="auto"/>
          </w:tcPr>
          <w:p>
            <w:pPr>
              <w:spacing w:after="0" w:line="240" w:lineRule="auto"/>
            </w:pPr>
            <w:r>
              <w:t xml:space="preserve">16.09.2026</w:t>
            </w:r>
          </w:p>
        </w:tc>
      </w:tr>
      <w:tr>
        <w:tc>
          <w:tcPr>
            <w:tcW w:w="0" w:type="auto"/>
          </w:tcPr>
          <w:p>
            <w:pPr>
              <w:spacing w:after="0" w:line="240" w:lineRule="auto"/>
            </w:pPr>
            <w:r>
              <w:rPr>
                <w:b/>
              </w:rPr>
              <w:t xml:space="preserve">E17</w:t>
            </w:r>
          </w:p>
        </w:tc>
        <w:tc>
          <w:tcPr>
            <w:tcW w:w="0" w:type="auto"/>
          </w:tcPr>
          <w:p>
            <w:pPr>
              <w:spacing w:after="0" w:line="240" w:lineRule="auto"/>
            </w:pPr>
            <w:r>
              <w:rPr>
                <w:b/>
              </w:rPr>
              <w:t xml:space="preserve">ADR-005 angenommen — Zonenkopplung im Mehrzonenmodell:</w:t>
            </w:r>
            <w:r>
              <w:t xml:space="preserve"> Nachbarraum-Randbedingung der Richtlinie, Gauß-Seidel je Stunde in fester Reihenfolge (Abbruch 0,01 K und 0,1 W, höchstens 50 Durchläufe mit benanntem Fehler), Zonen-Luftaustausch als Paare in G6b — damit sind M1 und M4 entschieden. Messpflicht: Vorstunde als Vergleichsrechnung, Gesamtsystem für zwei Zonen als Prüforakel, Probe „eine Zone bitgleich" als Gate. A8 beantwortet, Sperrpunkt vor G6b aufgehoben.</w:t>
            </w:r>
          </w:p>
        </w:tc>
        <w:tc>
          <w:tcPr>
            <w:tcW w:w="0" w:type="auto"/>
          </w:tcPr>
          <w:p>
            <w:pPr>
              <w:spacing w:after="0" w:line="240" w:lineRule="auto"/>
            </w:pPr>
            <w:r>
              <w:t xml:space="preserve">16.09.2026</w:t>
            </w:r>
          </w:p>
        </w:tc>
      </w:tr>
      <w:tr>
        <w:tc>
          <w:tcPr>
            <w:tcW w:w="0" w:type="auto"/>
          </w:tcPr>
          <w:p>
            <w:pPr>
              <w:spacing w:after="0" w:line="240" w:lineRule="auto"/>
            </w:pPr>
            <w:r>
              <w:rPr>
                <w:b/>
              </w:rPr>
              <w:t xml:space="preserve">E18</w:t>
            </w:r>
          </w:p>
        </w:tc>
        <w:tc>
          <w:tcPr>
            <w:tcW w:w="0" w:type="auto"/>
          </w:tcPr>
          <w:p>
            <w:pPr>
              <w:spacing w:after="0" w:line="240" w:lineRule="auto"/>
            </w:pPr>
            <w:r>
              <w:rPr>
                <w:b/>
              </w:rPr>
              <w:t xml:space="preserve">IFC-Import auch auf iOS (Q10):</w:t>
            </w:r>
            <w:r>
              <w:t xml:space="preserve"> ja, nach Empfehlung — der Leser wird auf beiden Schalen registriert; Trimming-Nachweis in einem iOS-Lauf nach Rückfrage, iOS-Größenlimit in G4 messen statt schätzen (U11), Gerätebau einmalig von Hand statt dauerhaft in der CI (U16).</w:t>
            </w:r>
          </w:p>
        </w:tc>
        <w:tc>
          <w:tcPr>
            <w:tcW w:w="0" w:type="auto"/>
          </w:tcPr>
          <w:p>
            <w:pPr>
              <w:spacing w:after="0" w:line="240" w:lineRule="auto"/>
            </w:pPr>
            <w:r>
              <w:t xml:space="preserve">16.09.2026</w:t>
            </w:r>
          </w:p>
        </w:tc>
      </w:tr>
      <w:tr>
        <w:tc>
          <w:tcPr>
            <w:tcW w:w="0" w:type="auto"/>
          </w:tcPr>
          <w:p>
            <w:pPr>
              <w:spacing w:after="0" w:line="240" w:lineRule="auto"/>
            </w:pPr>
            <w:r>
              <w:rPr>
                <w:b/>
              </w:rPr>
              <w:t xml:space="preserve">E19</w:t>
            </w:r>
          </w:p>
        </w:tc>
        <w:tc>
          <w:tcPr>
            <w:tcW w:w="0" w:type="auto"/>
          </w:tcPr>
          <w:p>
            <w:pPr>
              <w:spacing w:after="0" w:line="240" w:lineRule="auto"/>
            </w:pPr>
            <w:r>
              <w:rPr>
                <w:b/>
              </w:rPr>
              <w:t xml:space="preserve">Eigene Spalte </w:t>
            </w:r>
            <w:r>
              <w:rPr>
                <w:rFonts w:ascii="Consolas" w:hAnsi="Consolas" w:cs="Consolas"/>
                <w:b/>
                <w:noProof/>
                <w:sz w:val="20"/>
                <w:szCs w:val="20"/>
                <w:shd w:val="clear" w:color="auto" w:fill="EFEFEF"/>
              </w:rPr>
              <w:t xml:space="preserve">Nutzflaeche</w:t>
            </w:r>
            <w:r>
              <w:rPr>
                <w:b/>
              </w:rPr>
              <w:t xml:space="preserve"> (Q11a, Option b):</w:t>
            </w:r>
            <w:r>
              <w:t xml:space="preserve"> </w:t>
            </w:r>
            <w:r>
              <w:rPr>
                <w:rFonts w:ascii="Consolas" w:hAnsi="Consolas" w:cs="Consolas"/>
                <w:noProof/>
                <w:sz w:val="20"/>
                <w:szCs w:val="20"/>
                <w:shd w:val="clear" w:color="auto" w:fill="EFEFEF"/>
              </w:rPr>
              <w:t xml:space="preserve">Wohnflaeche</w:t>
            </w:r>
            <w:r>
              <w:t xml:space="preserve"> wird in beiden Gebäudetabellen im Gebäudespalten-Schemaschritt (M3, mit dem Sichtneubau) zu </w:t>
            </w:r>
            <w:r>
              <w:rPr>
                <w:rFonts w:ascii="Consolas" w:hAnsi="Consolas" w:cs="Consolas"/>
                <w:noProof/>
                <w:sz w:val="20"/>
                <w:szCs w:val="20"/>
                <w:shd w:val="clear" w:color="auto" w:fill="EFEFEF"/>
              </w:rPr>
              <w:t xml:space="preserve">Nutzflaeche</w:t>
            </w:r>
            <w:r>
              <w:t xml:space="preserve"> umbenannt, Werte 1:1, alle Leser und Schreiber auf den neuen Namen; </w:t>
            </w:r>
            <w:r>
              <w:rPr>
                <w:rFonts w:ascii="Consolas" w:hAnsi="Consolas" w:cs="Consolas"/>
                <w:noProof/>
                <w:sz w:val="20"/>
                <w:szCs w:val="20"/>
                <w:shd w:val="clear" w:color="auto" w:fill="EFEFEF"/>
              </w:rPr>
              <w:t xml:space="preserve">Wohnflaeche_gesamt</w:t>
            </w:r>
            <w:r>
              <w:t xml:space="preserve"> und die Skalierungsspalten der Projektzuordnung bleiben (E8). Ergebnisneutral: Referenzlauf byte-gleich, kein Einfrieranlass; rund 2–3 PT in M3.</w:t>
            </w:r>
          </w:p>
        </w:tc>
        <w:tc>
          <w:tcPr>
            <w:tcW w:w="0" w:type="auto"/>
          </w:tcPr>
          <w:p>
            <w:pPr>
              <w:spacing w:after="0" w:line="240" w:lineRule="auto"/>
            </w:pPr>
            <w:r>
              <w:t xml:space="preserve">16.09.2026</w:t>
            </w:r>
          </w:p>
        </w:tc>
      </w:tr>
      <w:tr>
        <w:tc>
          <w:tcPr>
            <w:tcW w:w="0" w:type="auto"/>
          </w:tcPr>
          <w:p>
            <w:pPr>
              <w:spacing w:after="0" w:line="240" w:lineRule="auto"/>
            </w:pPr>
            <w:r>
              <w:rPr>
                <w:b/>
              </w:rPr>
              <w:t xml:space="preserve">E20</w:t>
            </w:r>
          </w:p>
        </w:tc>
        <w:tc>
          <w:tcPr>
            <w:tcW w:w="0" w:type="auto"/>
          </w:tcPr>
          <w:p>
            <w:pPr>
              <w:spacing w:after="0" w:line="240" w:lineRule="auto"/>
            </w:pPr>
            <w:r>
              <w:rPr>
                <w:b/>
              </w:rPr>
              <w:t xml:space="preserve">Trennung der Rechenwege — VDI 6007 löst die Tagesbilanz ab, der Altweg bleibt als eigener Bestandsweg:</w:t>
            </w:r>
            <w:r>
              <w:t xml:space="preserve"> Der Tagesbilanz-Weg wandert </w:t>
            </w:r>
            <w:r>
              <w:rPr>
                <w:b/>
              </w:rPr>
              <w:t xml:space="preserve">Zeichen für Zeichen</w:t>
            </w:r>
            <w:r>
              <w:t xml:space="preserve"> in ein eigenes, abgeschlossenes Modul </w:t>
            </w:r>
            <w:r>
              <w:rPr>
                <w:rFonts w:ascii="Consolas" w:hAnsi="Consolas" w:cs="Consolas"/>
                <w:noProof/>
                <w:sz w:val="20"/>
                <w:szCs w:val="20"/>
                <w:shd w:val="clear" w:color="auto" w:fill="EFEFEF"/>
              </w:rPr>
              <w:t xml:space="preserve">EPOS.Kern/Allgemein/Simulation/Altweg/</w:t>
            </w:r>
            <w:r>
              <w:t xml:space="preserve"> (byte-gleicher Referenzlauf), der VDI-Weg lebt in </w:t>
            </w:r>
            <w:r>
              <w:rPr>
                <w:rFonts w:ascii="Consolas" w:hAnsi="Consolas" w:cs="Consolas"/>
                <w:noProof/>
                <w:sz w:val="20"/>
                <w:szCs w:val="20"/>
                <w:shd w:val="clear" w:color="auto" w:fill="EFEFEF"/>
              </w:rPr>
              <w:t xml:space="preserve">Gebaeude/</w:t>
            </w:r>
            <w:r>
              <w:t xml:space="preserve"> und ruft nichts daraus; </w:t>
            </w:r>
            <w:r>
              <w:rPr>
                <w:b/>
              </w:rPr>
              <w:t xml:space="preserve">eine Weiche am Eingang</w:t>
            </w:r>
            <w:r>
              <w:t xml:space="preserve"> der Gebäudebedarfsrechnung statt zweier Verzweigungspunkte, davor ein </w:t>
            </w:r>
            <w:r>
              <w:rPr>
                <w:b/>
              </w:rPr>
              <w:t xml:space="preserve">modellfreier Vorbereitungsschritt</w:t>
            </w:r>
            <w:r>
              <w:t xml:space="preserve"> (Bewohner aus der Nutzfläche, Skalierungsfaktor nach E8, Klimareihen) — </w:t>
            </w:r>
            <w:r>
              <w:rPr>
                <w:b/>
              </w:rPr>
              <w:t xml:space="preserve">A16</w:t>
            </w:r>
            <w:r>
              <w:t xml:space="preserve"> ist damit gegenstandslos. </w:t>
            </w:r>
            <w:r>
              <w:rPr>
                <w:b/>
              </w:rPr>
              <w:t xml:space="preserve">Alle Dialoge und Eingaben folgen der VDI-6007-Struktur</w:t>
            </w:r>
            <w:r>
              <w:t xml:space="preserve">, Altweg-Felder erscheinen nur im eingeklappten Abschnitt „Tagesbilanz (Bestandsweg)" eines Altweg-Gebäudes (</w:t>
            </w:r>
            <w:r>
              <w:rPr>
                <w:b/>
              </w:rPr>
              <w:t xml:space="preserve">U2</w:t>
            </w:r>
            <w:r>
              <w:t xml:space="preserve"> überholt), der Schalter heißt „Rechenweg" mit Vorgabe „VDI 6007" und Wert „Tagesbilanz"; kein zweites Datenmodell. Die zunächst vorgesehene Stufe </w:t>
            </w:r>
            <w:r>
              <w:rPr>
                <w:b/>
              </w:rPr>
              <w:t xml:space="preserve">GA — Altweg entfernen</w:t>
            </w:r>
            <w:r>
              <w:t xml:space="preserve"> ist mit </w:t>
            </w:r>
            <w:r>
              <w:rPr>
                <w:b/>
              </w:rPr>
              <w:t xml:space="preserve">E23</w:t>
            </w:r>
            <w:r>
              <w:t xml:space="preserve"> entfallen; Aufwand +3–5 PT in G1. </w:t>
            </w:r>
            <w:r>
              <w:rPr>
                <w:rFonts w:ascii="Consolas" w:hAnsi="Consolas" w:cs="Consolas"/>
                <w:noProof/>
                <w:sz w:val="20"/>
                <w:szCs w:val="20"/>
                <w:shd w:val="clear" w:color="auto" w:fill="EFEFEF"/>
              </w:rPr>
              <w:t xml:space="preserve">ADR-006</w:t>
            </w:r>
            <w:r>
              <w:t xml:space="preserve"> angenommen, </w:t>
            </w:r>
            <w:r>
              <w:rPr>
                <w:rFonts w:ascii="Consolas" w:hAnsi="Consolas" w:cs="Consolas"/>
                <w:noProof/>
                <w:sz w:val="20"/>
                <w:szCs w:val="20"/>
                <w:shd w:val="clear" w:color="auto" w:fill="EFEFEF"/>
              </w:rPr>
              <w:t xml:space="preserve">ADR-002</w:t>
            </w:r>
            <w:r>
              <w:t xml:space="preserve"> mit Ergänzungsvermerk.</w:t>
            </w:r>
          </w:p>
        </w:tc>
        <w:tc>
          <w:tcPr>
            <w:tcW w:w="0" w:type="auto"/>
          </w:tcPr>
          <w:p>
            <w:pPr>
              <w:spacing w:after="0" w:line="240" w:lineRule="auto"/>
            </w:pPr>
            <w:r>
              <w:t xml:space="preserve">16.09.2026</w:t>
            </w:r>
          </w:p>
        </w:tc>
      </w:tr>
      <w:tr>
        <w:tc>
          <w:tcPr>
            <w:tcW w:w="0" w:type="auto"/>
          </w:tcPr>
          <w:p>
            <w:pPr>
              <w:spacing w:after="0" w:line="240" w:lineRule="auto"/>
            </w:pPr>
            <w:r>
              <w:rPr>
                <w:b/>
              </w:rPr>
              <w:t xml:space="preserve">E21</w:t>
            </w:r>
          </w:p>
        </w:tc>
        <w:tc>
          <w:tcPr>
            <w:tcW w:w="0" w:type="auto"/>
          </w:tcPr>
          <w:p>
            <w:pPr>
              <w:spacing w:after="0" w:line="240" w:lineRule="auto"/>
            </w:pPr>
            <w:r>
              <w:rPr>
                <w:b/>
              </w:rPr>
              <w:t xml:space="preserve">Simulation Kältebedarf analog zu Simulation Wärmebedarf:</w:t>
            </w:r>
            <w:r>
              <w:t xml:space="preserve"> Fassade </w:t>
            </w:r>
            <w:r>
              <w:rPr>
                <w:rFonts w:ascii="Consolas" w:hAnsi="Consolas" w:cs="Consolas"/>
                <w:noProof/>
                <w:sz w:val="20"/>
                <w:szCs w:val="20"/>
                <w:shd w:val="clear" w:color="auto" w:fill="EFEFEF"/>
              </w:rPr>
              <w:t xml:space="preserve">SimulationKaeltebedarf</w:t>
            </w:r>
            <w:r>
              <w:t xml:space="preserve"> neben </w:t>
            </w:r>
            <w:r>
              <w:rPr>
                <w:rFonts w:ascii="Consolas" w:hAnsi="Consolas" w:cs="Consolas"/>
                <w:noProof/>
                <w:sz w:val="20"/>
                <w:szCs w:val="20"/>
                <w:shd w:val="clear" w:color="auto" w:fill="EFEFEF"/>
              </w:rPr>
              <w:t xml:space="preserve">SimulationWaermebedarf</w:t>
            </w:r>
            <w:r>
              <w:t xml:space="preserve">, beide aus demselben Vorbereitungsschritt und einem Lauf des VDI-Moduls (Heiz- und Kühllast je Stunde, keine Doppelrechnung), kein Altweg auf der Kälteseite (Altweg-Gebäude: Kältebedarf 0 mit Hinweis); Kanal </w:t>
            </w:r>
            <w:r>
              <w:rPr>
                <w:rFonts w:ascii="Consolas" w:hAnsi="Consolas" w:cs="Consolas"/>
                <w:noProof/>
                <w:sz w:val="20"/>
                <w:szCs w:val="20"/>
                <w:shd w:val="clear" w:color="auto" w:fill="EFEFEF"/>
              </w:rPr>
              <w:t xml:space="preserve">KUEHLUNG</w:t>
            </w:r>
            <w:r>
              <w:t xml:space="preserve"> mit Kennzahlen analog (</w:t>
            </w:r>
            <w:r>
              <w:rPr>
                <w:rFonts w:ascii="Consolas" w:hAnsi="Consolas" w:cs="Consolas"/>
                <w:noProof/>
                <w:sz w:val="20"/>
                <w:szCs w:val="20"/>
                <w:shd w:val="clear" w:color="auto" w:fill="EFEFEF"/>
              </w:rPr>
              <w:t xml:space="preserve">Kaeltebedarf_Max</w:t>
            </w:r>
            <w:r>
              <w:t xml:space="preserve">, Jahreskälte, Kühlstunden), Bedarfsdialog-Abschnitt „Kältebedarf", </w:t>
            </w:r>
            <w:r>
              <w:rPr>
                <w:rFonts w:ascii="Consolas" w:hAnsi="Consolas" w:cs="Consolas"/>
                <w:noProof/>
                <w:sz w:val="20"/>
                <w:szCs w:val="20"/>
                <w:shd w:val="clear" w:color="auto" w:fill="EFEFEF"/>
              </w:rPr>
              <w:t xml:space="preserve">DeckungKanalKaelte</w:t>
            </w:r>
            <w:r>
              <w:t xml:space="preserve">, Bericht und Wirtschaftlichkeit analog; Symmetrie als Bauvorschrift für KU1–KU3; K1 damit entschieden (vierter Kanal, getrennte Deckungsseite).</w:t>
            </w:r>
          </w:p>
        </w:tc>
        <w:tc>
          <w:tcPr>
            <w:tcW w:w="0" w:type="auto"/>
          </w:tcPr>
          <w:p>
            <w:pPr>
              <w:spacing w:after="0" w:line="240" w:lineRule="auto"/>
            </w:pPr>
            <w:r>
              <w:t xml:space="preserve">16.09.2026</w:t>
            </w:r>
          </w:p>
        </w:tc>
      </w:tr>
      <w:tr>
        <w:tc>
          <w:tcPr>
            <w:tcW w:w="0" w:type="auto"/>
          </w:tcPr>
          <w:p>
            <w:pPr>
              <w:spacing w:after="0" w:line="240" w:lineRule="auto"/>
            </w:pPr>
            <w:r>
              <w:rPr>
                <w:b/>
              </w:rPr>
              <w:t xml:space="preserve">E22</w:t>
            </w:r>
          </w:p>
        </w:tc>
        <w:tc>
          <w:tcPr>
            <w:tcW w:w="0" w:type="auto"/>
          </w:tcPr>
          <w:p>
            <w:pPr>
              <w:spacing w:after="0" w:line="240" w:lineRule="auto"/>
            </w:pPr>
            <w:r>
              <w:rPr>
                <w:b/>
              </w:rPr>
              <w:t xml:space="preserve">Anlagenkopplung als benannte Erweiterung:</w:t>
            </w:r>
            <w:r>
              <w:t xml:space="preserve"> die Kopplung von Vorlauftemperatur und Erzeugerfahrplan an die Raumtemperatur wird Gegenstand eines eigenen Konzeptpapiers; drei Stufen — AK1 Heizkreis als Randbedingung (nach G2, im Modul </w:t>
            </w:r>
            <w:r>
              <w:rPr>
                <w:rFonts w:ascii="Consolas" w:hAnsi="Consolas" w:cs="Consolas"/>
                <w:noProof/>
                <w:sz w:val="20"/>
                <w:szCs w:val="20"/>
                <w:shd w:val="clear" w:color="auto" w:fill="EFEFEF"/>
              </w:rPr>
              <w:t xml:space="preserve">Gebaeude/</w:t>
            </w:r>
            <w:r>
              <w:t xml:space="preserve">), AK2 Erzeugerfahrplan als Verfügbarkeit mit Komfortstunden (nach abgenommenem AK1 und einer Feldphase), AK3 geschlossener Kreis (Iteration je Stunde); je Gebäude oder Projekt wählbar mit Vorgabe aus und eigenem Einfrierschritt; das Raummodell bleibt das der Richtlinie, Grenzfall unbegrenzte Übergabe bitgleich zur idealen Regelung; Stufenplan = neue Frage Q26.</w:t>
            </w:r>
          </w:p>
        </w:tc>
        <w:tc>
          <w:tcPr>
            <w:tcW w:w="0" w:type="auto"/>
          </w:tcPr>
          <w:p>
            <w:pPr>
              <w:spacing w:after="0" w:line="240" w:lineRule="auto"/>
            </w:pPr>
            <w:r>
              <w:t xml:space="preserve">16.09.2026</w:t>
            </w:r>
          </w:p>
        </w:tc>
      </w:tr>
      <w:tr>
        <w:tc>
          <w:tcPr>
            <w:tcW w:w="0" w:type="auto"/>
          </w:tcPr>
          <w:p>
            <w:pPr>
              <w:spacing w:after="0" w:line="240" w:lineRule="auto"/>
            </w:pPr>
            <w:r>
              <w:rPr>
                <w:b/>
              </w:rPr>
              <w:t xml:space="preserve">E23</w:t>
            </w:r>
          </w:p>
        </w:tc>
        <w:tc>
          <w:tcPr>
            <w:tcW w:w="0" w:type="auto"/>
          </w:tcPr>
          <w:p>
            <w:pPr>
              <w:spacing w:after="0" w:line="240" w:lineRule="auto"/>
            </w:pPr>
            <w:r>
              <w:rPr>
                <w:b/>
              </w:rPr>
              <w:t xml:space="preserve">Der Altweg bleibt (GA entfällt):</w:t>
            </w:r>
            <w:r>
              <w:t xml:space="preserve"> Der Tagesbilanz-Weg bleibt </w:t>
            </w:r>
            <w:r>
              <w:rPr>
                <w:b/>
              </w:rPr>
              <w:t xml:space="preserve">dauerhaft</w:t>
            </w:r>
            <w:r>
              <w:t xml:space="preserve"> als eingefrorener Bestandsweg neben dem VDI-Weg — eigenes Modul, keine neue Funktion, keine Kühllast, keine Anlagenkopplung, keine Zonen; die mit E20 vorgesehene Stufe </w:t>
            </w:r>
            <w:r>
              <w:rPr>
                <w:b/>
              </w:rPr>
              <w:t xml:space="preserve">GA — Altweg entfernen — entfällt</w:t>
            </w:r>
            <w:r>
              <w:t xml:space="preserve">. Damit ist </w:t>
            </w:r>
            <w:r>
              <w:rPr>
                <w:b/>
              </w:rPr>
              <w:t xml:space="preserve">Q24</w:t>
            </w:r>
            <w:r>
              <w:t xml:space="preserve"> beantwortet (nie) und </w:t>
            </w:r>
            <w:r>
              <w:rPr>
                <w:b/>
              </w:rPr>
              <w:t xml:space="preserve">Q25</w:t>
            </w:r>
            <w:r>
              <w:t xml:space="preserve"> gegenstandslos: kein GA-Schemaschritt, </w:t>
            </w:r>
            <w:r>
              <w:rPr>
                <w:rFonts w:ascii="Consolas" w:hAnsi="Consolas" w:cs="Consolas"/>
                <w:noProof/>
                <w:sz w:val="20"/>
                <w:szCs w:val="20"/>
                <w:shd w:val="clear" w:color="auto" w:fill="EFEFEF"/>
              </w:rPr>
              <w:t xml:space="preserve">Typ</w:t>
            </w:r>
            <w:r>
              <w:t xml:space="preserve">, Tagesverteilung und Altweg-Spalten bleiben, die leserlosen Spalten </w:t>
            </w:r>
            <w:r>
              <w:rPr>
                <w:rFonts w:ascii="Consolas" w:hAnsi="Consolas" w:cs="Consolas"/>
                <w:noProof/>
                <w:sz w:val="20"/>
                <w:szCs w:val="20"/>
                <w:shd w:val="clear" w:color="auto" w:fill="EFEFEF"/>
              </w:rPr>
              <w:t xml:space="preserve">WW_Bedarf</w:t>
            </w:r>
            <w:r>
              <w:t xml:space="preserve">/</w:t>
            </w:r>
            <w:r>
              <w:rPr>
                <w:rFonts w:ascii="Consolas" w:hAnsi="Consolas" w:cs="Consolas"/>
                <w:noProof/>
                <w:sz w:val="20"/>
                <w:szCs w:val="20"/>
                <w:shd w:val="clear" w:color="auto" w:fill="EFEFEF"/>
              </w:rPr>
              <w:t xml:space="preserve">Waermebedarf</w:t>
            </w:r>
            <w:r>
              <w:t xml:space="preserve"> sind ein Aufräumpunkt ohne Stufe. Der Dialogabschnitt heißt </w:t>
            </w:r>
            <w:r>
              <w:rPr>
                <w:b/>
              </w:rPr>
              <w:t xml:space="preserve">„Tagesbilanz (Bestandsweg)"</w:t>
            </w:r>
            <w:r>
              <w:t xml:space="preserve">, der Schalter „Rechenweg" bleibt mit den Werten „VDI 6007" und „Tagesbilanz", der Ausweis lautet </w:t>
            </w:r>
            <w:r>
              <w:rPr>
                <w:b/>
              </w:rPr>
              <w:t xml:space="preserve">„Tagesbilanz (Bestandsweg)"</w:t>
            </w:r>
            <w:r>
              <w:t xml:space="preserve">; Referenzprojekt auf dem Altweg und Rückweg-Test bleiben </w:t>
            </w:r>
            <w:r>
              <w:rPr>
                <w:b/>
              </w:rPr>
              <w:t xml:space="preserve">dauerhaft</w:t>
            </w:r>
            <w:r>
              <w:t xml:space="preserve"> (A15). </w:t>
            </w:r>
            <w:r>
              <w:rPr>
                <w:b/>
              </w:rPr>
              <w:t xml:space="preserve">AK2 und AK3</w:t>
            </w:r>
            <w:r>
              <w:t xml:space="preserve"> der Anlagenkopplung sind nicht mehr an GA gebunden: Sie wirken auf Gebäude des VDI-Wegs, Altweg-Gebäude gehen als </w:t>
            </w:r>
            <w:r>
              <w:rPr>
                <w:b/>
              </w:rPr>
              <w:t xml:space="preserve">feste Last</w:t>
            </w:r>
            <w:r>
              <w:t xml:space="preserve"> ein; AK2 setzt ein abgenommenes AK1 und eine Feldphase voraus. Ergänzungsvermerke in </w:t>
            </w:r>
            <w:r>
              <w:rPr>
                <w:rFonts w:ascii="Consolas" w:hAnsi="Consolas" w:cs="Consolas"/>
                <w:noProof/>
                <w:sz w:val="20"/>
                <w:szCs w:val="20"/>
                <w:shd w:val="clear" w:color="auto" w:fill="EFEFEF"/>
              </w:rPr>
              <w:t xml:space="preserve">ADR-006</w:t>
            </w:r>
            <w:r>
              <w:t xml:space="preserve"> (Entscheidung 4 aufgehoben) und </w:t>
            </w:r>
            <w:r>
              <w:rPr>
                <w:rFonts w:ascii="Consolas" w:hAnsi="Consolas" w:cs="Consolas"/>
                <w:noProof/>
                <w:sz w:val="20"/>
                <w:szCs w:val="20"/>
                <w:shd w:val="clear" w:color="auto" w:fill="EFEFEF"/>
              </w:rPr>
              <w:t xml:space="preserve">ADR-002</w:t>
            </w:r>
            <w:r>
              <w:t xml:space="preserve">.</w:t>
            </w:r>
          </w:p>
        </w:tc>
        <w:tc>
          <w:tcPr>
            <w:tcW w:w="0" w:type="auto"/>
          </w:tcPr>
          <w:p>
            <w:pPr>
              <w:spacing w:after="0" w:line="240" w:lineRule="auto"/>
            </w:pPr>
            <w:r>
              <w:t xml:space="preserve">16.09.2026</w:t>
            </w:r>
          </w:p>
        </w:tc>
      </w:tr>
      <w:tr>
        <w:tc>
          <w:tcPr>
            <w:tcW w:w="0" w:type="auto"/>
          </w:tcPr>
          <w:p>
            <w:pPr>
              <w:spacing w:after="0" w:line="240" w:lineRule="auto"/>
            </w:pPr>
            <w:r>
              <w:rPr>
                <w:b/>
              </w:rPr>
              <w:t xml:space="preserve">E24</w:t>
            </w:r>
          </w:p>
        </w:tc>
        <w:tc>
          <w:tcPr>
            <w:tcW w:w="0" w:type="auto"/>
          </w:tcPr>
          <w:p>
            <w:pPr>
              <w:spacing w:after="0" w:line="240" w:lineRule="auto"/>
            </w:pPr>
            <w:r>
              <w:rPr>
                <w:b/>
              </w:rPr>
              <w:t xml:space="preserve">Die zwölf Fragen der Anlagenkopplung sind entschieden:</w:t>
            </w:r>
            <w:r>
              <w:t xml:space="preserve"> sämtlich nach Empfehlung des Papiers — P-Regler mit 1 K, Heizkurve außentemperaturgeführt (raumgeführte Korrektur erst in AK3), Übergabe je Zone ab G6 und je Gebäude davor, Profilweg in AK2 mit dem Speicher als Vorrat über die Sperrdauer, Komfortschwelle 1,0 K mit drei Zahlen (Stunden, Kelvinstunden, längste Strecke), AK3 erst nach einer Feldphase entscheiden, die Kopplung wirkt in beiden Läufen der Skalierung, Wochenprofil als Spalte mit 168 Werten, Kälteseite mit KU2, Auslegungs-Außentemperatur hergeleitet mit überschreibendem Feld, Dialoggruppe </w:t>
            </w:r>
            <w:r>
              <w:rPr>
                <w:b/>
              </w:rPr>
              <w:t xml:space="preserve">„Wärmeübergabe"</w:t>
            </w:r>
            <w:r>
              <w:t xml:space="preserve"> neben der Wärmesenke „Heizkreis", leerer Strahlungsanteil = Vorgabe der Übergabeart. Die zwölf Festlegungen </w:t>
            </w:r>
            <w:r>
              <w:rPr>
                <w:b/>
              </w:rPr>
              <w:t xml:space="preserve">H-F1 bis H-F12</w:t>
            </w:r>
            <w:r>
              <w:t xml:space="preserve"> sind zur Kenntnis genommen; offen bleibt allein </w:t>
            </w:r>
            <w:r>
              <w:rPr>
                <w:b/>
              </w:rPr>
              <w:t xml:space="preserve">Q26</w:t>
            </w:r>
            <w:r>
              <w:t xml:space="preserve">.</w:t>
            </w:r>
          </w:p>
        </w:tc>
        <w:tc>
          <w:tcPr>
            <w:tcW w:w="0" w:type="auto"/>
          </w:tcPr>
          <w:p>
            <w:pPr>
              <w:spacing w:after="0" w:line="240" w:lineRule="auto"/>
            </w:pPr>
            <w:r>
              <w:t xml:space="preserve">16.09.2026</w:t>
            </w:r>
          </w:p>
        </w:tc>
      </w:tr>
      <w:tr>
        <w:tc>
          <w:tcPr>
            <w:tcW w:w="0" w:type="auto"/>
          </w:tcPr>
          <w:p>
            <w:pPr>
              <w:spacing w:after="0" w:line="240" w:lineRule="auto"/>
            </w:pPr>
            <w:r>
              <w:rPr>
                <w:b/>
              </w:rPr>
              <w:t xml:space="preserve">E25</w:t>
            </w:r>
          </w:p>
        </w:tc>
        <w:tc>
          <w:tcPr>
            <w:tcW w:w="0" w:type="auto"/>
          </w:tcPr>
          <w:p>
            <w:pPr>
              <w:spacing w:after="0" w:line="240" w:lineRule="auto"/>
            </w:pPr>
            <w:r>
              <w:rPr>
                <w:b/>
              </w:rPr>
              <w:t xml:space="preserve">Proportionalband des Raumreglers wählbar:</w:t>
            </w:r>
            <w:r>
              <w:t xml:space="preserve"> Der P-Regler aus H1 bekommt im Dialog eine Schnellwahl </w:t>
            </w:r>
            <w:r>
              <w:rPr>
                <w:b/>
              </w:rPr>
              <w:t xml:space="preserve">0,5 K, 1 K oder 2 K</w:t>
            </w:r>
            <w:r>
              <w:t xml:space="preserve"> oder einen </w:t>
            </w:r>
            <w:r>
              <w:rPr>
                <w:b/>
              </w:rPr>
              <w:t xml:space="preserve">freien Wert</w:t>
            </w:r>
            <w:r>
              <w:t xml:space="preserve"> (0 bis 5 K; 0 = ideale Regelung mit Grenze); die Vorgabe bleibt 1 K. Gespeichert wird allein der Wert in </w:t>
            </w:r>
            <w:r>
              <w:rPr>
                <w:rFonts w:ascii="Consolas" w:hAnsi="Consolas" w:cs="Consolas"/>
                <w:noProof/>
                <w:sz w:val="20"/>
                <w:szCs w:val="20"/>
                <w:shd w:val="clear" w:color="auto" w:fill="EFEFEF"/>
              </w:rPr>
              <w:t xml:space="preserve">Regler_Proportionalband</w:t>
            </w:r>
            <w:r>
              <w:t xml:space="preserve"> — keine Schemaänderung, AK-S1 behält 13 Spalten.</w:t>
            </w:r>
          </w:p>
        </w:tc>
        <w:tc>
          <w:tcPr>
            <w:tcW w:w="0" w:type="auto"/>
          </w:tcPr>
          <w:p>
            <w:pPr>
              <w:spacing w:after="0" w:line="240" w:lineRule="auto"/>
            </w:pPr>
            <w:r>
              <w:t xml:space="preserve">16.09.2026</w:t>
            </w:r>
          </w:p>
        </w:tc>
      </w:tr>
    </w:tbl>
    <w:p>
      <w:pPr>
        <w:spacing w:after="120"/>
      </w:pPr>
    </w:p>
    <w:p>
      <w:r>
        <w:rPr>
          <w:b/>
        </w:rPr>
        <w:t xml:space="preserve">Alle 23 Fragen des Konzepts sind damit beantwortet; die mit E20 hinzugekommenen Fragen Q24 und Q25 hat E23 erledigt.</w:t>
      </w:r>
      <w:r>
        <w:t xml:space="preserve"> Am 16.09.2026 hat der Anwender die Empfehlungen zu </w:t>
      </w:r>
      <w:r>
        <w:rPr>
          <w:b/>
        </w:rPr>
        <w:t xml:space="preserve">Q3–Q5, Q7, Q11–Q13, Q15 und Q17–Q21</w:t>
      </w:r>
      <w:r>
        <w:t xml:space="preserve"> im Wortlaut angenommen: Klassenweg der thermischen Masse in G1, Erdreich über die harmonische Amplitude ohne den Bestandsfaktor, opake Strahlung in G1 aus mit vorhandenem Schalter, Heizleistungsgrenze als Option bei unveränderter maximaler Wärmelast, Nutzfläche und Raumhöhe als Pflichtfelder (E13), Importproben für </w:t>
      </w:r>
      <w:r>
        <w:rPr>
          <w:b/>
        </w:rPr>
        <w:t xml:space="preserve">alle</w:t>
      </w:r>
      <w:r>
        <w:t xml:space="preserve"> Importwege, Reihenfolge G0 zuerst, Verschattungs- und Rahmenfaktoren als Felder mit Vorgabe, harte Prüfungen nur im Stundenmodell, Sommerlüftung in G2, Hay-Davies-Fassadenstrahlung und eine Zeitbasis. </w:t>
      </w:r>
      <w:r>
        <w:rPr>
          <w:b/>
        </w:rPr>
        <w:t xml:space="preserve">Q8</w:t>
      </w:r>
      <w:r>
        <w:t xml:space="preserve"> ist mit </w:t>
      </w:r>
      <w:r>
        <w:rPr>
          <w:b/>
        </w:rPr>
        <w:t xml:space="preserve">E12</w:t>
      </w:r>
      <w:r>
        <w:t xml:space="preserve"> entschieden, </w:t>
      </w:r>
      <w:r>
        <w:rPr>
          <w:b/>
        </w:rPr>
        <w:t xml:space="preserve">Q6</w:t>
      </w:r>
      <w:r>
        <w:t xml:space="preserve"> mit </w:t>
      </w:r>
      <w:r>
        <w:rPr>
          <w:b/>
        </w:rPr>
        <w:t xml:space="preserve">E14</w:t>
      </w:r>
      <w:r>
        <w:t xml:space="preserve">, </w:t>
      </w:r>
      <w:r>
        <w:rPr>
          <w:b/>
        </w:rPr>
        <w:t xml:space="preserve">Q10</w:t>
      </w:r>
      <w:r>
        <w:t xml:space="preserve"> mit </w:t>
      </w:r>
      <w:r>
        <w:rPr>
          <w:b/>
        </w:rPr>
        <w:t xml:space="preserve">E18</w:t>
      </w:r>
      <w:r>
        <w:t xml:space="preserve">, </w:t>
      </w:r>
      <w:r>
        <w:rPr>
          <w:b/>
        </w:rPr>
        <w:t xml:space="preserve">Q11a</w:t>
      </w:r>
      <w:r>
        <w:t xml:space="preserve"> mit </w:t>
      </w:r>
      <w:r>
        <w:rPr>
          <w:b/>
        </w:rPr>
        <w:t xml:space="preserve">E19</w:t>
      </w:r>
      <w:r>
        <w:t xml:space="preserve">, </w:t>
      </w:r>
      <w:r>
        <w:rPr>
          <w:b/>
        </w:rPr>
        <w:t xml:space="preserve">Q13</w:t>
      </w:r>
      <w:r>
        <w:t xml:space="preserve"> durch E9 überholt. </w:t>
      </w:r>
      <w:r>
        <w:rPr>
          <w:b/>
        </w:rPr>
        <w:t xml:space="preserve">Offen ist die neue Frage Q26</w:t>
      </w:r>
      <w:r>
        <w:t xml:space="preserve"> — der Stufenplan der Anlagenkopplung (E22); Q24 und Q25 sind mit E23 erledigt, H1 bis H12 mit E24 — dazu die Fragen der übrigen Papiere (U, M, D, A und K), die Kapitel 12 führt.</w:t>
      </w:r>
    </w:p>
    <w:p>
      <w:pPr>
        <w:pStyle w:val="Heading2"/>
      </w:pPr>
      <w:r>
        <w:t xml:space="preserve">1.4 Der Produktausweis nach E10</w:t>
      </w:r>
    </w:p>
    <w:p>
      <w:r>
        <w:t xml:space="preserve">Der Ausweis steht im Berichtskopf, auf der Wiki-Seite und in jeder Exportdatei — </w:t>
      </w:r>
      <w:r>
        <w:rPr>
          <w:b/>
        </w:rPr>
        <w:t xml:space="preserve">im Wortlaut, unverändert und ohne Umschreibung</w:t>
      </w:r>
      <w:r>
        <w:t xml:space="preserve">:</w:t>
      </w:r>
    </w:p>
    <w:p>
      <w:pPr>
        <w:pStyle w:val="Quote"/>
      </w:pPr>
      <w:r>
        <w:t xml:space="preserve">„Rechenkern nach VDI 6007 Blatt 1; elf der zwölf Testbeispiele im Normband einschließlich Druckrundung, Testbeispiel 11 in zwei Umschaltstunden um 3,4 W daneben (3,9 W gegen das Band ohne Druckrundung)"</w:t>
      </w:r>
    </w:p>
    <w:p>
      <w:r>
        <w:t xml:space="preserve">Er wechselt erst, wenn Stufe G0 den offenen Testfall geschlossen hat; die Kühldecke als eigener Oberflächenknoten ist dafür die </w:t>
      </w:r>
      <w:r>
        <w:rPr>
          <w:b/>
        </w:rPr>
        <w:t xml:space="preserve">wahrscheinlichste, nicht bewiesene</w:t>
      </w:r>
      <w:r>
        <w:t xml:space="preserve"> Ursache. Im Mehrzonenfall gilt der Ausweis </w:t>
      </w:r>
      <w:r>
        <w:rPr>
          <w:b/>
        </w:rPr>
        <w:t xml:space="preserve">je Zone</w:t>
      </w:r>
      <w:r>
        <w:t xml:space="preserve">: das Mehrzonenmodell selbst ist eine EPOS-Erweiterung und keine Norm, und keine Datei darf das Gegenteil nahelegen. Die Normzahlen selbst werden </w:t>
      </w:r>
      <w:r>
        <w:rPr>
          <w:b/>
        </w:rPr>
        <w:t xml:space="preserve">nicht ausgeliefert</w:t>
      </w:r>
      <w:r>
        <w:t xml:space="preserve">; der Normfallnachweis ist ein lokaler Nachweis, und die daraus folgende Lücke im CI-Gate gehört ins Protokoll.</w:t>
      </w:r>
    </w:p>
    <w:p>
      <w:pPr>
        <w:pStyle w:val="Heading2"/>
      </w:pPr>
      <w:r>
        <w:t xml:space="preserve">1.5 Was ausgeschlossen bleibt</w:t>
      </w:r>
    </w:p>
    <w:p>
      <w:r>
        <w:t xml:space="preserve">Nicht Gegenstand des Vorhabens sind: Feuchtebilanz und Entfeuchtung, Bauteilaktivierung, die Kopplung von Vorlauftemperatur und Erzeugerfahrplan an die Raumtemperatur, sommerlicher Wärmeschutz nach DIN 4108-2, Nachweise nach GEG oder DIN V 18599, Verschattung durch Nachbarbebauung, Wärmerückgewinnung, Nutzungsprofile für Nichtwohngebäude, Scan-to-BIM und die Validierung an gemessenen Verbräuchen.</w:t>
      </w:r>
    </w:p>
    <w:p>
      <w:r>
        <w:rPr>
          <w:b/>
        </w:rPr>
        <w:t xml:space="preserve">Eine Zeile dieser Liste ist aufgehoben:</w:t>
      </w:r>
      <w:r>
        <w:t xml:space="preserve"> „Kühlung als vierter Kanal" ist mit </w:t>
      </w:r>
      <w:r>
        <w:rPr>
          <w:b/>
        </w:rPr>
        <w:t xml:space="preserve">E12</w:t>
      </w:r>
      <w:r>
        <w:t xml:space="preserve"> Gegenstand des Vorhabens geworden (Kapitel 8a). Die übrigen Ausschlüsse gelten unverändert — auch die, die der Kühlung nahestehen: das Modell rechnet </w:t>
      </w:r>
      <w:r>
        <w:rPr>
          <w:b/>
        </w:rPr>
        <w:t xml:space="preserve">sensible</w:t>
      </w:r>
      <w:r>
        <w:t xml:space="preserve"> Kälte ohne Entfeuchtung, und Testbeispiel 11 mit der Kühldecke bleibt ein Prüffall, kein Produktmerkmal.</w:t>
      </w:r>
    </w:p>
    <w:p>
      <w:r>
        <w:rPr>
          <w:b/>
        </w:rPr>
        <w:t xml:space="preserve">Mit E22 ist eine zweite Zeile aufgehoben:</w:t>
      </w:r>
      <w:r>
        <w:t xml:space="preserve"> die Kopplung von Vorlauftemperatur und Erzeugerfahrplan an die Raumtemperatur — sie ist Gegenstand eines eigenen Konzeptpapiers und einer eigenen Stufung </w:t>
      </w:r>
      <w:r>
        <w:rPr>
          <w:b/>
        </w:rPr>
        <w:t xml:space="preserve">AK1 bis AK3</w:t>
      </w:r>
      <w:r>
        <w:t xml:space="preserve"> geworden, und zwar als </w:t>
      </w:r>
      <w:r>
        <w:rPr>
          <w:b/>
        </w:rPr>
        <w:t xml:space="preserve">benannte EPOS-Erweiterung</w:t>
      </w:r>
      <w:r>
        <w:t xml:space="preserve">: nicht Bestandteil der Richtlinie und nicht Bestandteil der Stufen G0 bis G7 (Kapitel 8b). Bauteilaktivierung, Feuchtebilanz, Hydraulik als Gewerk und Regelungstechnik als Gegenstand bleiben auch dort ausgeschlossen.</w:t>
      </w:r>
    </w:p>
    <w:p>
      <w:r>
        <w:rPr>
          <w:b/>
        </w:rPr>
        <w:t xml:space="preserve">Einzelheiten:</w:t>
      </w:r>
      <w:r>
        <w:t xml:space="preserve"> </w:t>
      </w:r>
      <w:r>
        <w:rPr>
          <w:rFonts w:ascii="Consolas" w:hAnsi="Consolas" w:cs="Consolas"/>
          <w:noProof/>
          <w:sz w:val="20"/>
          <w:szCs w:val="20"/>
          <w:shd w:val="clear" w:color="auto" w:fill="EFEFEF"/>
        </w:rPr>
        <w:t xml:space="preserve">Dokumentation/aktuell/Konzept_Gebaeudesimulation_VDI6007_EPOS-Plan.md</w:t>
      </w:r>
      <w:r>
        <w:t xml:space="preserve"> (Kapitel 0, 1, 15 und Nachtrag 1 mit N1.1 bis N1.30 — E20 in N1.25, E21 in N1.26, E22 in N1.27, E23 in N1.28, E24 in N1.29, E25 in N1.30), </w:t>
      </w:r>
      <w:r>
        <w:rPr>
          <w:rFonts w:ascii="Consolas" w:hAnsi="Consolas" w:cs="Consolas"/>
          <w:noProof/>
          <w:sz w:val="20"/>
          <w:szCs w:val="20"/>
          <w:shd w:val="clear" w:color="auto" w:fill="EFEFEF"/>
        </w:rPr>
        <w:t xml:space="preserve">Dokumentation/aktuell/ADR-006_Trennung_Altweg_VDI6007.md</w:t>
      </w:r>
      <w:r>
        <w:t xml:space="preserve"> sowie </w:t>
      </w:r>
      <w:r>
        <w:rPr>
          <w:rFonts w:ascii="Consolas" w:hAnsi="Consolas" w:cs="Consolas"/>
          <w:noProof/>
          <w:sz w:val="20"/>
          <w:szCs w:val="20"/>
          <w:shd w:val="clear" w:color="auto" w:fill="EFEFEF"/>
        </w:rPr>
        <w:t xml:space="preserve">Dokumentation/aktuell/Status_Gebaeudesimulation_VDI6007.md</w:t>
      </w:r>
      <w:r>
        <w:t xml:space="preserve">.</w:t>
      </w:r>
    </w:p>
    <w:p>
      <w:pPr>
        <w:pStyle w:val="Trennlinie"/>
      </w:pPr>
    </w:p>
    <w:p>
      <w:pPr>
        <w:pStyle w:val="Heading1"/>
      </w:pPr>
      <w:r>
        <w:t xml:space="preserve">2 Systementwurf</w:t>
      </w:r>
    </w:p>
    <w:p>
      <w:pPr>
        <w:pStyle w:val="Quote"/>
      </w:pPr>
      <w:r>
        <w:t xml:space="preserve">Die beiden Architekturpapiere — Systementwurf und Softwarearchitektur — liegen in </w:t>
      </w:r>
      <w:r>
        <w:rPr>
          <w:b/>
        </w:rPr>
        <w:t xml:space="preserve">Rev. 2</w:t>
      </w:r>
      <w:r>
        <w:t xml:space="preserve">; das Gegenlesen ist eingearbeitet, seine Protokolle stehen in Kapitel 13.4. Alle Zahlen, Namen und Bilder dieses Kapitels sind gegen Rev. 2 geprüft.</w:t>
      </w:r>
    </w:p>
    <w:p>
      <w:r>
        <w:t xml:space="preserve">Der Systementwurf sagt, </w:t>
      </w:r>
      <w:r>
        <w:rPr>
          <w:b/>
        </w:rPr>
        <w:t xml:space="preserve">in welchem Gerüst</w:t>
      </w:r>
      <w:r>
        <w:t xml:space="preserve"> gerechnet, gespeichert, gemeldet und nachgewiesen wird — nicht, </w:t>
      </w:r>
      <w:r>
        <w:rPr>
          <w:b/>
        </w:rPr>
        <w:t xml:space="preserve">wie</w:t>
      </w:r>
      <w:r>
        <w:t xml:space="preserve"> gerechnet wird. Sein Ergebnis in sieben Punkten: eine Naht im Lauf, das unveränderte Gerüst Kern → Hülle → Razor-Komponente mit neun Umgebungsdiensten, ein Datenmodell mit elf neuen Tabellen bei genau einem Sichtneubau, die benannte Ablehnung statt stiller Übergehung, Determinismus aus Instanzzustand und Einfädigkeit, drei Schritte, die die Referenzbasis neu einfrieren — und siebtens: </w:t>
      </w:r>
      <w:r>
        <w:rPr>
          <w:b/>
        </w:rPr>
        <w:t xml:space="preserve">Import, Export und Ansicht laufen über ein Gerüst und eine Geometriequelle.</w:t>
      </w:r>
      <w:r>
        <w:t xml:space="preserve"> Ein Zuordnungsgerüst mit zwei Formatprofilen trägt IFC und gbXML; bis zur ausdrücklichen Übernahme wird nichts geschrieben. Die Geometrie, die die Exporte schreiben und die der Gebäudebetrachter zeigt (E11), entsteht </w:t>
      </w:r>
      <w:r>
        <w:rPr>
          <w:b/>
        </w:rPr>
        <w:t xml:space="preserve">einmal</w:t>
      </w:r>
      <w:r>
        <w:t xml:space="preserve"> im Kern als Zonengeometrie-Modell und wird gelesen, nicht im Exporteur gerechnet. Die Lizenzhinweisseite im Installationspaket — xBIM und three.js — ist Vorbedingung der Auslieferung des IFC-Wegs und des Betrachters.</w:t>
      </w:r>
    </w:p>
    <w:p>
      <w:pPr>
        <w:pStyle w:val="Heading2"/>
      </w:pPr>
      <w:r>
        <w:t xml:space="preserve">2.1 Funktionale Anforderungen</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w:t>
            </w:r>
          </w:p>
        </w:tc>
        <w:tc>
          <w:tcPr>
            <w:tcW w:w="0" w:type="auto"/>
            <w:shd w:val="clear" w:color="auto" w:fill="D9D9D9"/>
          </w:tcPr>
          <w:p>
            <w:pPr>
              <w:spacing w:after="0" w:line="240" w:lineRule="auto"/>
              <w:rPr>
                <w:b/>
              </w:rPr>
            </w:pPr>
            <w:r>
              <w:rPr>
                <w:b/>
              </w:rPr>
              <w:t xml:space="preserve">Anforderung</w:t>
            </w:r>
          </w:p>
        </w:tc>
        <w:tc>
          <w:tcPr>
            <w:tcW w:w="0" w:type="auto"/>
            <w:shd w:val="clear" w:color="auto" w:fill="D9D9D9"/>
          </w:tcPr>
          <w:p>
            <w:pPr>
              <w:spacing w:after="0" w:line="240" w:lineRule="auto"/>
              <w:rPr>
                <w:b/>
              </w:rPr>
            </w:pPr>
            <w:r>
              <w:rPr>
                <w:b/>
              </w:rPr>
              <w:t xml:space="preserve">Quelle</w:t>
            </w:r>
          </w:p>
        </w:tc>
        <w:tc>
          <w:tcPr>
            <w:tcW w:w="0" w:type="auto"/>
            <w:shd w:val="clear" w:color="auto" w:fill="D9D9D9"/>
          </w:tcPr>
          <w:p>
            <w:pPr>
              <w:spacing w:after="0" w:line="240" w:lineRule="auto"/>
              <w:rPr>
                <w:b/>
              </w:rPr>
            </w:pPr>
            <w:r>
              <w:rPr>
                <w:b/>
              </w:rPr>
              <w:t xml:space="preserve">Nachweis</w:t>
            </w:r>
          </w:p>
        </w:tc>
      </w:tr>
      <w:tr>
        <w:tc>
          <w:tcPr>
            <w:tcW w:w="0" w:type="auto"/>
          </w:tcPr>
          <w:p>
            <w:pPr>
              <w:spacing w:after="0" w:line="240" w:lineRule="auto"/>
            </w:pPr>
            <w:r>
              <w:rPr>
                <w:b/>
              </w:rPr>
              <w:t xml:space="preserve">F1</w:t>
            </w:r>
          </w:p>
        </w:tc>
        <w:tc>
          <w:tcPr>
            <w:tcW w:w="0" w:type="auto"/>
          </w:tcPr>
          <w:p>
            <w:pPr>
              <w:spacing w:after="0" w:line="240" w:lineRule="auto"/>
            </w:pPr>
            <w:r>
              <w:t xml:space="preserve">Das 2-K-Modell nach VDI 6007 Blatt 1 rechnet </w:t>
            </w:r>
            <w:r>
              <w:rPr>
                <w:b/>
              </w:rPr>
              <w:t xml:space="preserve">stündlich</w:t>
            </w:r>
            <w:r>
              <w:t xml:space="preserve"> und ist das Vorgabemodell </w:t>
            </w:r>
            <w:r>
              <w:rPr>
                <w:b/>
              </w:rPr>
              <w:t xml:space="preserve">jedes</w:t>
            </w:r>
            <w:r>
              <w:t xml:space="preserve"> Gebäudes</w:t>
            </w:r>
          </w:p>
        </w:tc>
        <w:tc>
          <w:tcPr>
            <w:tcW w:w="0" w:type="auto"/>
          </w:tcPr>
          <w:p>
            <w:pPr>
              <w:spacing w:after="0" w:line="240" w:lineRule="auto"/>
            </w:pPr>
            <w:r>
              <w:t xml:space="preserve">E1, ADR-002</w:t>
            </w:r>
          </w:p>
        </w:tc>
        <w:tc>
          <w:tcPr>
            <w:tcW w:w="0" w:type="auto"/>
          </w:tcPr>
          <w:p>
            <w:pPr>
              <w:spacing w:after="0" w:line="240" w:lineRule="auto"/>
            </w:pPr>
            <w:r>
              <w:t xml:space="preserve">Normtestfälle lokal (G0); Referenzlauf G1 + G2</w:t>
            </w:r>
          </w:p>
        </w:tc>
      </w:tr>
      <w:tr>
        <w:tc>
          <w:tcPr>
            <w:tcW w:w="0" w:type="auto"/>
          </w:tcPr>
          <w:p>
            <w:pPr>
              <w:spacing w:after="0" w:line="240" w:lineRule="auto"/>
            </w:pPr>
            <w:r>
              <w:rPr>
                <w:b/>
              </w:rPr>
              <w:t xml:space="preserve">F2</w:t>
            </w:r>
          </w:p>
        </w:tc>
        <w:tc>
          <w:tcPr>
            <w:tcW w:w="0" w:type="auto"/>
          </w:tcPr>
          <w:p>
            <w:pPr>
              <w:spacing w:after="0" w:line="240" w:lineRule="auto"/>
            </w:pPr>
            <w:r>
              <w:t xml:space="preserve">Die Tagesbilanz ist </w:t>
            </w:r>
            <w:r>
              <w:rPr>
                <w:b/>
              </w:rPr>
              <w:t xml:space="preserve">Bestandsweg</w:t>
            </w:r>
            <w:r>
              <w:t xml:space="preserve"> in einem eigenen, abgeschlossenen Modul </w:t>
            </w:r>
            <w:r>
              <w:rPr>
                <w:rFonts w:ascii="Consolas" w:hAnsi="Consolas" w:cs="Consolas"/>
                <w:noProof/>
                <w:sz w:val="20"/>
                <w:szCs w:val="20"/>
                <w:shd w:val="clear" w:color="auto" w:fill="EFEFEF"/>
              </w:rPr>
              <w:t xml:space="preserve">Altweg/</w:t>
            </w:r>
            <w:r>
              <w:t xml:space="preserve">: je Gebäude ausdrücklich wählbar, ohne neue Funktion, </w:t>
            </w:r>
            <w:r>
              <w:rPr>
                <w:b/>
              </w:rPr>
              <w:t xml:space="preserve">dauerhaft</w:t>
            </w:r>
            <w:r>
              <w:t xml:space="preserve"> (E23)</w:t>
            </w:r>
          </w:p>
        </w:tc>
        <w:tc>
          <w:tcPr>
            <w:tcW w:w="0" w:type="auto"/>
          </w:tcPr>
          <w:p>
            <w:pPr>
              <w:spacing w:after="0" w:line="240" w:lineRule="auto"/>
            </w:pPr>
            <w:r>
              <w:t xml:space="preserve">E1, E20, E23, ADR-002, ADR-006</w:t>
            </w:r>
          </w:p>
        </w:tc>
        <w:tc>
          <w:tcPr>
            <w:tcW w:w="0" w:type="auto"/>
          </w:tcPr>
          <w:p>
            <w:pPr>
              <w:spacing w:after="0" w:line="240" w:lineRule="auto"/>
            </w:pPr>
            <w:r>
              <w:t xml:space="preserve">byte-gleicher Referenzlauf der Verschiebung; Rückweg-Nachweis dauerhaft</w:t>
            </w:r>
          </w:p>
        </w:tc>
      </w:tr>
      <w:tr>
        <w:tc>
          <w:tcPr>
            <w:tcW w:w="0" w:type="auto"/>
          </w:tcPr>
          <w:p>
            <w:pPr>
              <w:spacing w:after="0" w:line="240" w:lineRule="auto"/>
            </w:pPr>
            <w:r>
              <w:rPr>
                <w:b/>
              </w:rPr>
              <w:t xml:space="preserve">F2a</w:t>
            </w:r>
          </w:p>
        </w:tc>
        <w:tc>
          <w:tcPr>
            <w:tcW w:w="0" w:type="auto"/>
          </w:tcPr>
          <w:p>
            <w:pPr>
              <w:spacing w:after="0" w:line="240" w:lineRule="auto"/>
            </w:pPr>
            <w:r>
              <w:t xml:space="preserve">Der </w:t>
            </w:r>
            <w:r>
              <w:rPr>
                <w:b/>
              </w:rPr>
              <w:t xml:space="preserve">Kältebedarf</w:t>
            </w:r>
            <w:r>
              <w:t xml:space="preserve"> wird analog zum Wärmebedarf simuliert: eigene Fassade, eigener Kanal, eigene Kennzahlen, eigene Deckungsseite — aus </w:t>
            </w:r>
            <w:r>
              <w:rPr>
                <w:b/>
              </w:rPr>
              <w:t xml:space="preserve">einem</w:t>
            </w:r>
            <w:r>
              <w:t xml:space="preserve"> Lauf des VDI-Moduls; ein Altweg-Gebäude führt Kältebedarf 0 mit Hinweis</w:t>
            </w:r>
          </w:p>
        </w:tc>
        <w:tc>
          <w:tcPr>
            <w:tcW w:w="0" w:type="auto"/>
          </w:tcPr>
          <w:p>
            <w:pPr>
              <w:spacing w:after="0" w:line="240" w:lineRule="auto"/>
            </w:pPr>
            <w:r>
              <w:t xml:space="preserve">E12, E21</w:t>
            </w:r>
          </w:p>
        </w:tc>
        <w:tc>
          <w:tcPr>
            <w:tcW w:w="0" w:type="auto"/>
          </w:tcPr>
          <w:p>
            <w:pPr>
              <w:spacing w:after="0" w:line="240" w:lineRule="auto"/>
            </w:pPr>
            <w:r>
              <w:t xml:space="preserve">Kälteprobe je Stunde; Kennzahlen- und Berichtsproben analog zur Wärmeseite</w:t>
            </w:r>
          </w:p>
        </w:tc>
      </w:tr>
      <w:tr>
        <w:tc>
          <w:tcPr>
            <w:tcW w:w="0" w:type="auto"/>
          </w:tcPr>
          <w:p>
            <w:pPr>
              <w:spacing w:after="0" w:line="240" w:lineRule="auto"/>
            </w:pPr>
            <w:r>
              <w:rPr>
                <w:b/>
              </w:rPr>
              <w:t xml:space="preserve">F3</w:t>
            </w:r>
          </w:p>
        </w:tc>
        <w:tc>
          <w:tcPr>
            <w:tcW w:w="0" w:type="auto"/>
          </w:tcPr>
          <w:p>
            <w:pPr>
              <w:spacing w:after="0" w:line="240" w:lineRule="auto"/>
            </w:pPr>
            <w:r>
              <w:t xml:space="preserve">Der Gebäudedialog zeigt je Bauteilgruppe </w:t>
            </w:r>
            <w:r>
              <w:rPr>
                <w:b/>
              </w:rPr>
              <w:t xml:space="preserve">U, A und U·A</w:t>
            </w:r>
            <w:r>
              <w:t xml:space="preserve"> ohne verdeckte Gewichte, darunter </w:t>
            </w:r>
            <m:oMath xmlns:m="http://schemas.openxmlformats.org/officeDocument/2006/math">
              <m:sSub>
                <m:e>
                  <m:r>
                    <w:rPr>
                      <w:rFonts w:ascii="Cambria Math" w:hAnsi="Cambria Math"/>
                    </w:rPr>
                    <m:t>H</m:t>
                  </m:r>
                </m:e>
                <m:sub>
                  <m:r>
                    <m:rPr>
                      <m:sty m:val="p"/>
                    </m:rPr>
                    <w:rPr>
                      <w:rFonts w:ascii="Cambria Math" w:hAnsi="Cambria Math"/>
                    </w:rPr>
                    <m:t>T</m:t>
                  </m:r>
                </m:sub>
              </m:sSub>
            </m:oMath>
            <w:r>
              <w:t xml:space="preserve">, </w:t>
            </w:r>
            <m:oMath xmlns:m="http://schemas.openxmlformats.org/officeDocument/2006/math">
              <m:sSub>
                <m:e>
                  <m:r>
                    <w:rPr>
                      <w:rFonts w:ascii="Cambria Math" w:hAnsi="Cambria Math"/>
                    </w:rPr>
                    <m:t>H</m:t>
                  </m:r>
                </m:e>
                <m:sub>
                  <m:r>
                    <m:rPr>
                      <m:sty m:val="p"/>
                    </m:rPr>
                    <w:rPr>
                      <w:rFonts w:ascii="Cambria Math" w:hAnsi="Cambria Math"/>
                    </w:rPr>
                    <m:t>ve</m:t>
                  </m:r>
                </m:sub>
              </m:sSub>
            </m:oMath>
            <w:r>
              <w:t xml:space="preserve">, </w:t>
            </w:r>
            <m:oMath xmlns:m="http://schemas.openxmlformats.org/officeDocument/2006/math">
              <m:sSub>
                <m:e>
                  <m:r>
                    <w:rPr>
                      <w:rFonts w:ascii="Cambria Math" w:hAnsi="Cambria Math"/>
                    </w:rPr>
                    <m:t>H</m:t>
                  </m:r>
                </m:e>
                <m:sub>
                  <m:r>
                    <m:rPr>
                      <m:sty m:val="p"/>
                    </m:rPr>
                    <w:rPr>
                      <w:rFonts w:ascii="Cambria Math" w:hAnsi="Cambria Math"/>
                    </w:rPr>
                    <m:t>ges</m:t>
                  </m:r>
                </m:sub>
              </m:sSub>
            </m:oMath>
          </w:p>
        </w:tc>
        <w:tc>
          <w:tcPr>
            <w:tcW w:w="0" w:type="auto"/>
          </w:tcPr>
          <w:p>
            <w:pPr>
              <w:spacing w:after="0" w:line="240" w:lineRule="auto"/>
            </w:pPr>
            <w:r>
              <w:t xml:space="preserve">E2</w:t>
            </w:r>
          </w:p>
        </w:tc>
        <w:tc>
          <w:tcPr>
            <w:tcW w:w="0" w:type="auto"/>
          </w:tcPr>
          <w:p>
            <w:pPr>
              <w:spacing w:after="0" w:line="240" w:lineRule="auto"/>
            </w:pPr>
            <w:r>
              <w:t xml:space="preserve">bunit-Fall über die U·A-Tabelle, Summenprobe gegen den Löser</w:t>
            </w:r>
          </w:p>
        </w:tc>
      </w:tr>
      <w:tr>
        <w:tc>
          <w:tcPr>
            <w:tcW w:w="0" w:type="auto"/>
          </w:tcPr>
          <w:p>
            <w:pPr>
              <w:spacing w:after="0" w:line="240" w:lineRule="auto"/>
            </w:pPr>
            <w:r>
              <w:rPr>
                <w:b/>
              </w:rPr>
              <w:t xml:space="preserve">F4</w:t>
            </w:r>
          </w:p>
        </w:tc>
        <w:tc>
          <w:tcPr>
            <w:tcW w:w="0" w:type="auto"/>
          </w:tcPr>
          <w:p>
            <w:pPr>
              <w:spacing w:after="0" w:line="240" w:lineRule="auto"/>
            </w:pPr>
            <w:r>
              <w:t xml:space="preserve">Eine </w:t>
            </w:r>
            <w:r>
              <w:rPr>
                <w:b/>
              </w:rPr>
              <w:t xml:space="preserve">Vorschau je Gebäude</w:t>
            </w:r>
            <w:r>
              <w:t xml:space="preserve"> rechnet auf demselben Rechenweg wie der Lauf — nie eine zweite Rechnung</w:t>
            </w:r>
          </w:p>
        </w:tc>
        <w:tc>
          <w:tcPr>
            <w:tcW w:w="0" w:type="auto"/>
          </w:tcPr>
          <w:p>
            <w:pPr>
              <w:spacing w:after="0" w:line="240" w:lineRule="auto"/>
            </w:pPr>
            <w:r>
              <w:t xml:space="preserve">Hausregel Kern</w:t>
            </w:r>
          </w:p>
        </w:tc>
        <w:tc>
          <w:tcPr>
            <w:tcW w:w="0" w:type="auto"/>
          </w:tcPr>
          <w:p>
            <w:pPr>
              <w:spacing w:after="0" w:line="240" w:lineRule="auto"/>
            </w:pPr>
            <w:r>
              <w:t xml:space="preserve">Datenbankfall: Auskunft und Lauf liefern denselben Vektor</w:t>
            </w:r>
          </w:p>
        </w:tc>
      </w:tr>
      <w:tr>
        <w:tc>
          <w:tcPr>
            <w:tcW w:w="0" w:type="auto"/>
          </w:tcPr>
          <w:p>
            <w:pPr>
              <w:spacing w:after="0" w:line="240" w:lineRule="auto"/>
            </w:pPr>
            <w:r>
              <w:rPr>
                <w:b/>
              </w:rPr>
              <w:t xml:space="preserve">F5</w:t>
            </w:r>
          </w:p>
        </w:tc>
        <w:tc>
          <w:tcPr>
            <w:tcW w:w="0" w:type="auto"/>
          </w:tcPr>
          <w:p>
            <w:pPr>
              <w:spacing w:after="0" w:line="240" w:lineRule="auto"/>
            </w:pPr>
            <w:r>
              <w:rPr>
                <w:b/>
              </w:rPr>
              <w:t xml:space="preserve">Skalierung</w:t>
            </w:r>
            <w:r>
              <w:t xml:space="preserve"> und </w:t>
            </w:r>
            <w:r>
              <w:rPr>
                <w:b/>
              </w:rPr>
              <w:t xml:space="preserve">Verbrauchs-Rückrechnung</w:t>
            </w:r>
            <w:r>
              <w:t xml:space="preserve"> bleiben erhalten</w:t>
            </w:r>
          </w:p>
        </w:tc>
        <w:tc>
          <w:tcPr>
            <w:tcW w:w="0" w:type="auto"/>
          </w:tcPr>
          <w:p>
            <w:pPr>
              <w:spacing w:after="0" w:line="240" w:lineRule="auto"/>
            </w:pPr>
            <w:r>
              <w:t xml:space="preserve">E8</w:t>
            </w:r>
          </w:p>
        </w:tc>
        <w:tc>
          <w:tcPr>
            <w:tcW w:w="0" w:type="auto"/>
          </w:tcPr>
          <w:p>
            <w:pPr>
              <w:spacing w:after="0" w:line="240" w:lineRule="auto"/>
            </w:pPr>
            <w:r>
              <w:t xml:space="preserve">zwei Läufe byte-gleich; Datenbankfall über beide Einheiten</w:t>
            </w:r>
          </w:p>
        </w:tc>
      </w:tr>
      <w:tr>
        <w:tc>
          <w:tcPr>
            <w:tcW w:w="0" w:type="auto"/>
          </w:tcPr>
          <w:p>
            <w:pPr>
              <w:spacing w:after="0" w:line="240" w:lineRule="auto"/>
            </w:pPr>
            <w:r>
              <w:rPr>
                <w:b/>
              </w:rPr>
              <w:t xml:space="preserve">F6</w:t>
            </w:r>
          </w:p>
        </w:tc>
        <w:tc>
          <w:tcPr>
            <w:tcW w:w="0" w:type="auto"/>
          </w:tcPr>
          <w:p>
            <w:pPr>
              <w:spacing w:after="0" w:line="240" w:lineRule="auto"/>
            </w:pPr>
            <w:r>
              <w:t xml:space="preserve">Je Gebäude entstehen die Reihen </w:t>
            </w:r>
            <w:r>
              <w:rPr>
                <w:b/>
              </w:rPr>
              <w:t xml:space="preserve">Raumtemperatur</w:t>
            </w:r>
            <w:r>
              <w:t xml:space="preserve">, </w:t>
            </w:r>
            <w:r>
              <w:rPr>
                <w:b/>
              </w:rPr>
              <w:t xml:space="preserve">operative Temperatur</w:t>
            </w:r>
            <w:r>
              <w:t xml:space="preserve"> und </w:t>
            </w:r>
            <w:r>
              <w:rPr>
                <w:b/>
              </w:rPr>
              <w:t xml:space="preserve">Kühlbedarf</w:t>
            </w:r>
            <w:r>
              <w:t xml:space="preserve"> über 8 760 Stunden</w:t>
            </w:r>
          </w:p>
        </w:tc>
        <w:tc>
          <w:tcPr>
            <w:tcW w:w="0" w:type="auto"/>
          </w:tcPr>
          <w:p>
            <w:pPr>
              <w:spacing w:after="0" w:line="240" w:lineRule="auto"/>
            </w:pPr>
            <w:r>
              <w:t xml:space="preserve">Konzept 4</w:t>
            </w:r>
          </w:p>
        </w:tc>
        <w:tc>
          <w:tcPr>
            <w:tcW w:w="0" w:type="auto"/>
          </w:tcPr>
          <w:p>
            <w:pPr>
              <w:spacing w:after="0" w:line="240" w:lineRule="auto"/>
            </w:pPr>
            <w:r>
              <w:t xml:space="preserve">drei neue Vektordateien im Referenzlauf-Export</w:t>
            </w:r>
          </w:p>
        </w:tc>
      </w:tr>
      <w:tr>
        <w:tc>
          <w:tcPr>
            <w:tcW w:w="0" w:type="auto"/>
          </w:tcPr>
          <w:p>
            <w:pPr>
              <w:spacing w:after="0" w:line="240" w:lineRule="auto"/>
            </w:pPr>
            <w:r>
              <w:rPr>
                <w:b/>
              </w:rPr>
              <w:t xml:space="preserve">F7</w:t>
            </w:r>
          </w:p>
        </w:tc>
        <w:tc>
          <w:tcPr>
            <w:tcW w:w="0" w:type="auto"/>
          </w:tcPr>
          <w:p>
            <w:pPr>
              <w:spacing w:after="0" w:line="240" w:lineRule="auto"/>
            </w:pPr>
            <w:r>
              <w:t xml:space="preserve">Je Gebäude entstehen </w:t>
            </w:r>
            <w:r>
              <w:rPr>
                <w:b/>
              </w:rPr>
              <w:t xml:space="preserve">acht Kennzahlen</w:t>
            </w:r>
            <w:r>
              <w:t xml:space="preserve">: Jahresheizwärme, Spitze, Tagesmittel der Spitze, 95-%-Wert, Kühlenergie, Stunden mit Kühlbedarf, mittlere Raumtemperatur der Heizzeit und Übertemperaturstunden. </w:t>
            </w:r>
            <w:r>
              <w:rPr>
                <w:b/>
              </w:rPr>
              <w:t xml:space="preserve">Im Bericht</w:t>
            </w:r>
            <w:r>
              <w:t xml:space="preserve"> stehen die fünf des Kennzahlenkatalogs, </w:t>
            </w:r>
            <w:r>
              <w:rPr>
                <w:b/>
              </w:rPr>
              <w:t xml:space="preserve">im Referenzlauf-Export</w:t>
            </w:r>
            <w:r>
              <w:t xml:space="preserve"> zusätzlich Stunden mit Kühlbedarf und die Gebäudespitze — sie steht im Bericht schon als maximale Wärmelast</w:t>
            </w:r>
          </w:p>
        </w:tc>
        <w:tc>
          <w:tcPr>
            <w:tcW w:w="0" w:type="auto"/>
          </w:tcPr>
          <w:p>
            <w:pPr>
              <w:spacing w:after="0" w:line="240" w:lineRule="auto"/>
            </w:pPr>
            <w:r>
              <w:t xml:space="preserve">Umsetzungskonzept 1.4</w:t>
            </w:r>
          </w:p>
        </w:tc>
        <w:tc>
          <w:tcPr>
            <w:tcW w:w="0" w:type="auto"/>
          </w:tcPr>
          <w:p>
            <w:pPr>
              <w:spacing w:after="0" w:line="240" w:lineRule="auto"/>
            </w:pPr>
            <w:r>
              <w:t xml:space="preserve">Skalare mit Gebäudepräfix; die fünf Kennzahlen im Bericht</w:t>
            </w:r>
          </w:p>
        </w:tc>
      </w:tr>
      <w:tr>
        <w:tc>
          <w:tcPr>
            <w:tcW w:w="0" w:type="auto"/>
          </w:tcPr>
          <w:p>
            <w:pPr>
              <w:spacing w:after="0" w:line="240" w:lineRule="auto"/>
            </w:pPr>
            <w:r>
              <w:rPr>
                <w:b/>
              </w:rPr>
              <w:t xml:space="preserve">F8</w:t>
            </w:r>
          </w:p>
        </w:tc>
        <w:tc>
          <w:tcPr>
            <w:tcW w:w="0" w:type="auto"/>
          </w:tcPr>
          <w:p>
            <w:pPr>
              <w:spacing w:after="0" w:line="240" w:lineRule="auto"/>
            </w:pPr>
            <w:r>
              <w:t xml:space="preserve">Ein </w:t>
            </w:r>
            <w:r>
              <w:rPr>
                <w:b/>
              </w:rPr>
              <w:t xml:space="preserve">Bauteilkatalog</w:t>
            </w:r>
            <w:r>
              <w:t xml:space="preserve"> trägt Baustoffe, Aufbauten und Schichten — als Auslieferungskatalog und als Projektkopie</w:t>
            </w:r>
          </w:p>
        </w:tc>
        <w:tc>
          <w:tcPr>
            <w:tcW w:w="0" w:type="auto"/>
          </w:tcPr>
          <w:p>
            <w:pPr>
              <w:spacing w:after="0" w:line="240" w:lineRule="auto"/>
            </w:pPr>
            <w:r>
              <w:t xml:space="preserve">Konzept 6.3</w:t>
            </w:r>
          </w:p>
        </w:tc>
        <w:tc>
          <w:tcPr>
            <w:tcW w:w="0" w:type="auto"/>
          </w:tcPr>
          <w:p>
            <w:pPr>
              <w:spacing w:after="0" w:line="240" w:lineRule="auto"/>
            </w:pPr>
            <w:r>
              <w:t xml:space="preserve">Katalogeditor-Fälle; Auslieferungsvorlage grün</w:t>
            </w:r>
          </w:p>
        </w:tc>
      </w:tr>
      <w:tr>
        <w:tc>
          <w:tcPr>
            <w:tcW w:w="0" w:type="auto"/>
          </w:tcPr>
          <w:p>
            <w:pPr>
              <w:spacing w:after="0" w:line="240" w:lineRule="auto"/>
            </w:pPr>
            <w:r>
              <w:rPr>
                <w:b/>
              </w:rPr>
              <w:t xml:space="preserve">F9</w:t>
            </w:r>
          </w:p>
        </w:tc>
        <w:tc>
          <w:tcPr>
            <w:tcW w:w="0" w:type="auto"/>
          </w:tcPr>
          <w:p>
            <w:pPr>
              <w:spacing w:after="0" w:line="240" w:lineRule="auto"/>
            </w:pPr>
            <w:r>
              <w:t xml:space="preserve">Der </w:t>
            </w:r>
            <w:r>
              <w:rPr>
                <w:b/>
              </w:rPr>
              <w:t xml:space="preserve">Bauteilweg</w:t>
            </w:r>
            <w:r>
              <w:t xml:space="preserve"> (Reduktion aus Schichten) tritt neben den Klassenweg</w:t>
            </w:r>
          </w:p>
        </w:tc>
        <w:tc>
          <w:tcPr>
            <w:tcW w:w="0" w:type="auto"/>
          </w:tcPr>
          <w:p>
            <w:pPr>
              <w:spacing w:after="0" w:line="240" w:lineRule="auto"/>
            </w:pPr>
            <w:r>
              <w:t xml:space="preserve">Konzept 4.3</w:t>
            </w:r>
          </w:p>
        </w:tc>
        <w:tc>
          <w:tcPr>
            <w:tcW w:w="0" w:type="auto"/>
          </w:tcPr>
          <w:p>
            <w:pPr>
              <w:spacing w:after="0" w:line="240" w:lineRule="auto"/>
            </w:pPr>
            <w:r>
              <w:t xml:space="preserve">ein Gebäude über beide Wege, Abweichung ausgewiesen</w:t>
            </w:r>
          </w:p>
        </w:tc>
      </w:tr>
      <w:tr>
        <w:tc>
          <w:tcPr>
            <w:tcW w:w="0" w:type="auto"/>
          </w:tcPr>
          <w:p>
            <w:pPr>
              <w:spacing w:after="0" w:line="240" w:lineRule="auto"/>
            </w:pPr>
            <w:r>
              <w:rPr>
                <w:b/>
              </w:rPr>
              <w:t xml:space="preserve">F10</w:t>
            </w:r>
          </w:p>
        </w:tc>
        <w:tc>
          <w:tcPr>
            <w:tcW w:w="0" w:type="auto"/>
          </w:tcPr>
          <w:p>
            <w:pPr>
              <w:spacing w:after="0" w:line="240" w:lineRule="auto"/>
            </w:pPr>
            <w:r>
              <w:t xml:space="preserve">Ein Gebäude kann </w:t>
            </w:r>
            <w:r>
              <w:rPr>
                <w:b/>
              </w:rPr>
              <w:t xml:space="preserve">mehrere Zonen</w:t>
            </w:r>
            <w:r>
              <w:t xml:space="preserve"> tragen, gekoppelt über Trennflächen und Luftaustausch</w:t>
            </w:r>
          </w:p>
        </w:tc>
        <w:tc>
          <w:tcPr>
            <w:tcW w:w="0" w:type="auto"/>
          </w:tcPr>
          <w:p>
            <w:pPr>
              <w:spacing w:after="0" w:line="240" w:lineRule="auto"/>
            </w:pPr>
            <w:r>
              <w:t xml:space="preserve">E7, ADR-005</w:t>
            </w:r>
          </w:p>
        </w:tc>
        <w:tc>
          <w:tcPr>
            <w:tcW w:w="0" w:type="auto"/>
          </w:tcPr>
          <w:p>
            <w:pPr>
              <w:spacing w:after="0" w:line="240" w:lineRule="auto"/>
            </w:pPr>
            <w:r>
              <w:t xml:space="preserve">eine Zone </w:t>
            </w:r>
            <w:r>
              <w:rPr>
                <w:b/>
              </w:rPr>
              <w:t xml:space="preserve">bitgleich</w:t>
            </w:r>
            <w:r>
              <w:t xml:space="preserve"> zum Einzonenmodell desselben Programmstands</w:t>
            </w:r>
          </w:p>
        </w:tc>
      </w:tr>
      <w:tr>
        <w:tc>
          <w:tcPr>
            <w:tcW w:w="0" w:type="auto"/>
          </w:tcPr>
          <w:p>
            <w:pPr>
              <w:spacing w:after="0" w:line="240" w:lineRule="auto"/>
            </w:pPr>
            <w:r>
              <w:rPr>
                <w:b/>
              </w:rPr>
              <w:t xml:space="preserve">F11</w:t>
            </w:r>
          </w:p>
        </w:tc>
        <w:tc>
          <w:tcPr>
            <w:tcW w:w="0" w:type="auto"/>
          </w:tcPr>
          <w:p>
            <w:pPr>
              <w:spacing w:after="0" w:line="240" w:lineRule="auto"/>
            </w:pPr>
            <w:r>
              <w:rPr>
                <w:b/>
              </w:rPr>
              <w:t xml:space="preserve">IFC-Import</w:t>
            </w:r>
            <w:r>
              <w:t xml:space="preserve"> mit Herkunft je Feld und Beleg je Zahl</w:t>
            </w:r>
          </w:p>
        </w:tc>
        <w:tc>
          <w:tcPr>
            <w:tcW w:w="0" w:type="auto"/>
          </w:tcPr>
          <w:p>
            <w:pPr>
              <w:spacing w:after="0" w:line="240" w:lineRule="auto"/>
            </w:pPr>
            <w:r>
              <w:t xml:space="preserve">E3, E9, ADR-003</w:t>
            </w:r>
          </w:p>
        </w:tc>
        <w:tc>
          <w:tcPr>
            <w:tcW w:w="0" w:type="auto"/>
          </w:tcPr>
          <w:p>
            <w:pPr>
              <w:spacing w:after="0" w:line="240" w:lineRule="auto"/>
            </w:pPr>
            <w:r>
              <w:t xml:space="preserve">Importprobe gegen die Prüfdatei</w:t>
            </w:r>
          </w:p>
        </w:tc>
      </w:tr>
      <w:tr>
        <w:tc>
          <w:tcPr>
            <w:tcW w:w="0" w:type="auto"/>
          </w:tcPr>
          <w:p>
            <w:pPr>
              <w:spacing w:after="0" w:line="240" w:lineRule="auto"/>
            </w:pPr>
            <w:r>
              <w:rPr>
                <w:b/>
              </w:rPr>
              <w:t xml:space="preserve">F12</w:t>
            </w:r>
          </w:p>
        </w:tc>
        <w:tc>
          <w:tcPr>
            <w:tcW w:w="0" w:type="auto"/>
          </w:tcPr>
          <w:p>
            <w:pPr>
              <w:spacing w:after="0" w:line="240" w:lineRule="auto"/>
            </w:pPr>
            <w:r>
              <w:rPr>
                <w:b/>
              </w:rPr>
              <w:t xml:space="preserve">gbXML-Import</w:t>
            </w:r>
            <w:r>
              <w:t xml:space="preserve"> — Pflichtbestandteil der Stufe </w:t>
            </w:r>
            <w:r>
              <w:rPr>
                <w:b/>
              </w:rPr>
              <w:t xml:space="preserve">G4c</w:t>
            </w:r>
          </w:p>
        </w:tc>
        <w:tc>
          <w:tcPr>
            <w:tcW w:w="0" w:type="auto"/>
          </w:tcPr>
          <w:p>
            <w:pPr>
              <w:spacing w:after="0" w:line="240" w:lineRule="auto"/>
            </w:pPr>
            <w:r>
              <w:t xml:space="preserve">E9, ADR-004</w:t>
            </w:r>
          </w:p>
        </w:tc>
        <w:tc>
          <w:tcPr>
            <w:tcW w:w="0" w:type="auto"/>
          </w:tcPr>
          <w:p>
            <w:pPr>
              <w:spacing w:after="0" w:line="240" w:lineRule="auto"/>
            </w:pPr>
            <w:r>
              <w:t xml:space="preserve">Rundlauf: eigener Export gelesen, Werte auf 1e-6 gleich</w:t>
            </w:r>
          </w:p>
        </w:tc>
      </w:tr>
      <w:tr>
        <w:tc>
          <w:tcPr>
            <w:tcW w:w="0" w:type="auto"/>
          </w:tcPr>
          <w:p>
            <w:pPr>
              <w:spacing w:after="0" w:line="240" w:lineRule="auto"/>
            </w:pPr>
            <w:r>
              <w:rPr>
                <w:b/>
              </w:rPr>
              <w:t xml:space="preserve">F13</w:t>
            </w:r>
          </w:p>
        </w:tc>
        <w:tc>
          <w:tcPr>
            <w:tcW w:w="0" w:type="auto"/>
          </w:tcPr>
          <w:p>
            <w:pPr>
              <w:spacing w:after="0" w:line="240" w:lineRule="auto"/>
            </w:pPr>
            <w:r>
              <w:rPr>
                <w:b/>
              </w:rPr>
              <w:t xml:space="preserve">gbXML- und IFC-Export</w:t>
            </w:r>
            <w:r>
              <w:t xml:space="preserve"> samt Round-Trip-Anreicherung</w:t>
            </w:r>
          </w:p>
        </w:tc>
        <w:tc>
          <w:tcPr>
            <w:tcW w:w="0" w:type="auto"/>
          </w:tcPr>
          <w:p>
            <w:pPr>
              <w:spacing w:after="0" w:line="240" w:lineRule="auto"/>
            </w:pPr>
            <w:r>
              <w:t xml:space="preserve">E9</w:t>
            </w:r>
          </w:p>
        </w:tc>
        <w:tc>
          <w:tcPr>
            <w:tcW w:w="0" w:type="auto"/>
          </w:tcPr>
          <w:p>
            <w:pPr>
              <w:spacing w:after="0" w:line="240" w:lineRule="auto"/>
            </w:pPr>
            <w:r>
              <w:t xml:space="preserve">Rundlaufprobe; Schemaprüfung gegen die lokale Kopie</w:t>
            </w:r>
          </w:p>
        </w:tc>
      </w:tr>
      <w:tr>
        <w:tc>
          <w:tcPr>
            <w:tcW w:w="0" w:type="auto"/>
          </w:tcPr>
          <w:p>
            <w:pPr>
              <w:spacing w:after="0" w:line="240" w:lineRule="auto"/>
            </w:pPr>
            <w:r>
              <w:rPr>
                <w:b/>
              </w:rPr>
              <w:t xml:space="preserve">F14</w:t>
            </w:r>
          </w:p>
        </w:tc>
        <w:tc>
          <w:tcPr>
            <w:tcW w:w="0" w:type="auto"/>
          </w:tcPr>
          <w:p>
            <w:pPr>
              <w:spacing w:after="0" w:line="240" w:lineRule="auto"/>
            </w:pPr>
            <w:r>
              <w:rPr>
                <w:b/>
              </w:rPr>
              <w:t xml:space="preserve">Herkunft und Quelle</w:t>
            </w:r>
            <w:r>
              <w:t xml:space="preserve"> jeder importierten Zeile bleiben nach dem Lauf sichtbar und wiederauffindbar</w:t>
            </w:r>
          </w:p>
        </w:tc>
        <w:tc>
          <w:tcPr>
            <w:tcW w:w="0" w:type="auto"/>
          </w:tcPr>
          <w:p>
            <w:pPr>
              <w:spacing w:after="0" w:line="240" w:lineRule="auto"/>
            </w:pPr>
            <w:r>
              <w:t xml:space="preserve">Datenaustausch 2.2, 2.3</w:t>
            </w:r>
          </w:p>
        </w:tc>
        <w:tc>
          <w:tcPr>
            <w:tcW w:w="0" w:type="auto"/>
          </w:tcPr>
          <w:p>
            <w:pPr>
              <w:spacing w:after="0" w:line="240" w:lineRule="auto"/>
            </w:pPr>
            <w:r>
              <w:t xml:space="preserve">Datenbankfall: Zeile, Quelle, Paarung vorhanden</w:t>
            </w:r>
          </w:p>
        </w:tc>
      </w:tr>
      <w:tr>
        <w:tc>
          <w:tcPr>
            <w:tcW w:w="0" w:type="auto"/>
          </w:tcPr>
          <w:p>
            <w:pPr>
              <w:spacing w:after="0" w:line="240" w:lineRule="auto"/>
            </w:pPr>
            <w:r>
              <w:rPr>
                <w:b/>
              </w:rPr>
              <w:t xml:space="preserve">F15</w:t>
            </w:r>
          </w:p>
        </w:tc>
        <w:tc>
          <w:tcPr>
            <w:tcW w:w="0" w:type="auto"/>
          </w:tcPr>
          <w:p>
            <w:pPr>
              <w:spacing w:after="0" w:line="240" w:lineRule="auto"/>
            </w:pPr>
            <w:r>
              <w:rPr>
                <w:b/>
              </w:rPr>
              <w:t xml:space="preserve">Bericht und Kennzahlen</w:t>
            </w:r>
            <w:r>
              <w:t xml:space="preserve"> führen die neuen Größen je Gebäude, im Mehrzonenfall je Zone</w:t>
            </w:r>
          </w:p>
        </w:tc>
        <w:tc>
          <w:tcPr>
            <w:tcW w:w="0" w:type="auto"/>
          </w:tcPr>
          <w:p>
            <w:pPr>
              <w:spacing w:after="0" w:line="240" w:lineRule="auto"/>
            </w:pPr>
            <w:r>
              <w:t xml:space="preserve">Konzept 9</w:t>
            </w:r>
          </w:p>
        </w:tc>
        <w:tc>
          <w:tcPr>
            <w:tcW w:w="0" w:type="auto"/>
          </w:tcPr>
          <w:p>
            <w:pPr>
              <w:spacing w:after="0" w:line="240" w:lineRule="auto"/>
            </w:pPr>
            <w:r>
              <w:t xml:space="preserve">Berichtsprobe; </w:t>
            </w:r>
            <w:r>
              <w:rPr>
                <w:rFonts w:ascii="Consolas" w:hAnsi="Consolas" w:cs="Consolas"/>
                <w:noProof/>
                <w:sz w:val="20"/>
                <w:szCs w:val="20"/>
                <w:shd w:val="clear" w:color="auto" w:fill="EFEFEF"/>
              </w:rPr>
              <w:t xml:space="preserve">Proben/ChartProben</w:t>
            </w:r>
            <w:r>
              <w:t xml:space="preserve"> je Bild</w:t>
            </w:r>
          </w:p>
        </w:tc>
      </w:tr>
      <w:tr>
        <w:tc>
          <w:tcPr>
            <w:tcW w:w="0" w:type="auto"/>
          </w:tcPr>
          <w:p>
            <w:pPr>
              <w:spacing w:after="0" w:line="240" w:lineRule="auto"/>
            </w:pPr>
            <w:r>
              <w:rPr>
                <w:b/>
              </w:rPr>
              <w:t xml:space="preserve">F16</w:t>
            </w:r>
          </w:p>
        </w:tc>
        <w:tc>
          <w:tcPr>
            <w:tcW w:w="0" w:type="auto"/>
          </w:tcPr>
          <w:p>
            <w:pPr>
              <w:spacing w:after="0" w:line="240" w:lineRule="auto"/>
            </w:pPr>
            <w:r>
              <w:t xml:space="preserve">Der </w:t>
            </w:r>
            <w:r>
              <w:rPr>
                <w:b/>
              </w:rPr>
              <w:t xml:space="preserve">Referenzlauf-Export</w:t>
            </w:r>
            <w:r>
              <w:t xml:space="preserve"> trägt die neuen Reihen </w:t>
            </w:r>
            <w:r>
              <w:rPr>
                <w:b/>
              </w:rPr>
              <w:t xml:space="preserve">nur</w:t>
            </w:r>
            <w:r>
              <w:t xml:space="preserve"> für Gebäude im neuen Modell</w:t>
            </w:r>
          </w:p>
        </w:tc>
        <w:tc>
          <w:tcPr>
            <w:tcW w:w="0" w:type="auto"/>
          </w:tcPr>
          <w:p>
            <w:pPr>
              <w:spacing w:after="0" w:line="240" w:lineRule="auto"/>
            </w:pPr>
            <w:r>
              <w:t xml:space="preserve">Umsetzungskonzept 1.8</w:t>
            </w:r>
          </w:p>
        </w:tc>
        <w:tc>
          <w:tcPr>
            <w:tcW w:w="0" w:type="auto"/>
          </w:tcPr>
          <w:p>
            <w:pPr>
              <w:spacing w:after="0" w:line="240" w:lineRule="auto"/>
            </w:pPr>
            <w:r>
              <w:rPr>
                <w:rFonts w:ascii="Consolas" w:hAnsi="Consolas" w:cs="Consolas"/>
                <w:noProof/>
                <w:sz w:val="20"/>
                <w:szCs w:val="20"/>
                <w:shd w:val="clear" w:color="auto" w:fill="EFEFEF"/>
              </w:rPr>
              <w:t xml:space="preserve">GESAMT: PASS</w:t>
            </w:r>
            <w:r>
              <w:t xml:space="preserve">, keine unbedingte neue Datei</w:t>
            </w:r>
          </w:p>
        </w:tc>
      </w:tr>
      <w:tr>
        <w:tc>
          <w:tcPr>
            <w:tcW w:w="0" w:type="auto"/>
          </w:tcPr>
          <w:p>
            <w:pPr>
              <w:spacing w:after="0" w:line="240" w:lineRule="auto"/>
            </w:pPr>
            <w:r>
              <w:rPr>
                <w:b/>
              </w:rPr>
              <w:t xml:space="preserve">F17</w:t>
            </w:r>
          </w:p>
        </w:tc>
        <w:tc>
          <w:tcPr>
            <w:tcW w:w="0" w:type="auto"/>
          </w:tcPr>
          <w:p>
            <w:pPr>
              <w:spacing w:after="0" w:line="240" w:lineRule="auto"/>
            </w:pPr>
            <w:r>
              <w:t xml:space="preserve">Ein </w:t>
            </w:r>
            <w:r>
              <w:rPr>
                <w:b/>
              </w:rPr>
              <w:t xml:space="preserve">Gebäudebetrachter</w:t>
            </w:r>
            <w:r>
              <w:t xml:space="preserve"> zeigt Grundriss je Geschoss und schematische Körper aus </w:t>
            </w:r>
            <w:r>
              <w:rPr>
                <w:b/>
              </w:rPr>
              <w:t xml:space="preserve">einem</w:t>
            </w:r>
            <w:r>
              <w:t xml:space="preserve"> Zonengeometrie-Modell des Kerns — eine Komponente, ein Umschalter; die Kennzeichnung </w:t>
            </w:r>
            <w:r>
              <w:rPr>
                <w:b/>
              </w:rPr>
              <w:t xml:space="preserve">„schematisch" steht sichtbar am Bild</w:t>
            </w:r>
            <w:r>
              <w:t xml:space="preserve">, und jede Zone weist aus, ob ihr Polygon aus Raumgrenzen oder aus der Rechteckherleitung stammt</w:t>
            </w:r>
          </w:p>
        </w:tc>
        <w:tc>
          <w:tcPr>
            <w:tcW w:w="0" w:type="auto"/>
          </w:tcPr>
          <w:p>
            <w:pPr>
              <w:spacing w:after="0" w:line="240" w:lineRule="auto"/>
            </w:pPr>
            <w:r>
              <w:t xml:space="preserve">E11, Datenaustausch Kapitel 14</w:t>
            </w:r>
          </w:p>
        </w:tc>
        <w:tc>
          <w:tcPr>
            <w:tcW w:w="0" w:type="auto"/>
          </w:tcPr>
          <w:p>
            <w:pPr>
              <w:spacing w:after="0" w:line="240" w:lineRule="auto"/>
            </w:pPr>
            <w:r>
              <w:t xml:space="preserve">bunit-Fall über die Ansicht; Probe „Determinismus der Geometrie"</w:t>
            </w:r>
          </w:p>
        </w:tc>
      </w:tr>
    </w:tbl>
    <w:p>
      <w:pPr>
        <w:spacing w:after="120"/>
      </w:pPr>
    </w:p>
    <w:p>
      <w:pPr>
        <w:pStyle w:val="Heading2"/>
      </w:pPr>
      <w:r>
        <w:t xml:space="preserve">2.2 Nichtfunktionale Anforderungen</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w:t>
            </w:r>
          </w:p>
        </w:tc>
        <w:tc>
          <w:tcPr>
            <w:tcW w:w="0" w:type="auto"/>
            <w:shd w:val="clear" w:color="auto" w:fill="D9D9D9"/>
          </w:tcPr>
          <w:p>
            <w:pPr>
              <w:spacing w:after="0" w:line="240" w:lineRule="auto"/>
              <w:rPr>
                <w:b/>
              </w:rPr>
            </w:pPr>
            <w:r>
              <w:rPr>
                <w:b/>
              </w:rPr>
              <w:t xml:space="preserve">Anforderung</w:t>
            </w:r>
          </w:p>
        </w:tc>
        <w:tc>
          <w:tcPr>
            <w:tcW w:w="0" w:type="auto"/>
            <w:shd w:val="clear" w:color="auto" w:fill="D9D9D9"/>
          </w:tcPr>
          <w:p>
            <w:pPr>
              <w:spacing w:after="0" w:line="240" w:lineRule="auto"/>
              <w:rPr>
                <w:b/>
              </w:rPr>
            </w:pPr>
            <w:r>
              <w:rPr>
                <w:b/>
              </w:rPr>
              <w:t xml:space="preserve">Maß</w:t>
            </w:r>
          </w:p>
        </w:tc>
      </w:tr>
      <w:tr>
        <w:tc>
          <w:tcPr>
            <w:tcW w:w="0" w:type="auto"/>
          </w:tcPr>
          <w:p>
            <w:pPr>
              <w:spacing w:after="0" w:line="240" w:lineRule="auto"/>
            </w:pPr>
            <w:r>
              <w:rPr>
                <w:b/>
              </w:rPr>
              <w:t xml:space="preserve">N1</w:t>
            </w:r>
          </w:p>
        </w:tc>
        <w:tc>
          <w:tcPr>
            <w:tcW w:w="0" w:type="auto"/>
          </w:tcPr>
          <w:p>
            <w:pPr>
              <w:spacing w:after="0" w:line="240" w:lineRule="auto"/>
            </w:pPr>
            <w:r>
              <w:rPr>
                <w:b/>
              </w:rPr>
              <w:t xml:space="preserve">Determinismus</w:t>
            </w:r>
          </w:p>
        </w:tc>
        <w:tc>
          <w:tcPr>
            <w:tcW w:w="0" w:type="auto"/>
          </w:tcPr>
          <w:p>
            <w:pPr>
              <w:spacing w:after="0" w:line="240" w:lineRule="auto"/>
            </w:pPr>
            <w:r>
              <w:t xml:space="preserve">zwei Läufe desselben Standes byte-gleich</w:t>
            </w:r>
          </w:p>
        </w:tc>
      </w:tr>
      <w:tr>
        <w:tc>
          <w:tcPr>
            <w:tcW w:w="0" w:type="auto"/>
          </w:tcPr>
          <w:p>
            <w:pPr>
              <w:spacing w:after="0" w:line="240" w:lineRule="auto"/>
            </w:pPr>
            <w:r>
              <w:rPr>
                <w:b/>
              </w:rPr>
              <w:t xml:space="preserve">N2</w:t>
            </w:r>
          </w:p>
        </w:tc>
        <w:tc>
          <w:tcPr>
            <w:tcW w:w="0" w:type="auto"/>
          </w:tcPr>
          <w:p>
            <w:pPr>
              <w:spacing w:after="0" w:line="240" w:lineRule="auto"/>
            </w:pPr>
            <w:r>
              <w:rPr>
                <w:b/>
              </w:rPr>
              <w:t xml:space="preserve">Reproduzierbarkeit</w:t>
            </w:r>
            <w:r>
              <w:t xml:space="preserve"> unabhängig von Zeilenreihenfolge und Vorgeschichte</w:t>
            </w:r>
          </w:p>
        </w:tc>
        <w:tc>
          <w:tcPr>
            <w:tcW w:w="0" w:type="auto"/>
          </w:tcPr>
          <w:p>
            <w:pPr>
              <w:spacing w:after="0" w:line="240" w:lineRule="auto"/>
            </w:pPr>
            <w:r>
              <w:t xml:space="preserve">das Ergebnis eines Gebäudes hängt an seinen Daten, an nichts sonst</w:t>
            </w:r>
          </w:p>
        </w:tc>
      </w:tr>
      <w:tr>
        <w:tc>
          <w:tcPr>
            <w:tcW w:w="0" w:type="auto"/>
          </w:tcPr>
          <w:p>
            <w:pPr>
              <w:spacing w:after="0" w:line="240" w:lineRule="auto"/>
            </w:pPr>
            <w:r>
              <w:rPr>
                <w:b/>
              </w:rPr>
              <w:t xml:space="preserve">N3</w:t>
            </w:r>
          </w:p>
        </w:tc>
        <w:tc>
          <w:tcPr>
            <w:tcW w:w="0" w:type="auto"/>
          </w:tcPr>
          <w:p>
            <w:pPr>
              <w:spacing w:after="0" w:line="240" w:lineRule="auto"/>
            </w:pPr>
            <w:r>
              <w:rPr>
                <w:b/>
              </w:rPr>
              <w:t xml:space="preserve">Rechenzeitbudget</w:t>
            </w:r>
          </w:p>
        </w:tc>
        <w:tc>
          <w:tcPr>
            <w:tcW w:w="0" w:type="auto"/>
          </w:tcPr>
          <w:p>
            <w:pPr>
              <w:spacing w:after="0" w:line="240" w:lineRule="auto"/>
            </w:pPr>
            <w:r>
              <w:rPr>
                <w:b/>
              </w:rPr>
              <w:t xml:space="preserve">Einzonengebäude ≤ 10 ms je Gebäudejahr</w:t>
            </w:r>
            <w:r>
              <w:t xml:space="preserve"> (Planungsgröße); Basislauf wächst um ≤ 0,15 s, CI-Lauf um ≤ 0,04 s. </w:t>
            </w:r>
            <w:r>
              <w:rPr>
                <w:b/>
              </w:rPr>
              <w:t xml:space="preserve">Mehrzonengebäude sind benannt ausgenommen:</w:t>
            </w:r>
            <w:r>
              <w:t xml:space="preserve"> rund </w:t>
            </w:r>
            <w:r>
              <w:rPr>
                <w:b/>
              </w:rPr>
              <w:t xml:space="preserve">1,1–2,0 s</w:t>
            </w:r>
            <w:r>
              <w:t xml:space="preserve"> bei 50 Zonen einschließlich des zweiten Vorlaufs und des ungekoppelten adiabaten Vorlaufs — das liegt weit über der Planungsgröße und ist vertretbar, weil es </w:t>
            </w:r>
            <w:r>
              <w:rPr>
                <w:b/>
              </w:rPr>
              <w:t xml:space="preserve">nur bei Mehrzonengebäuden</w:t>
            </w:r>
            <w:r>
              <w:t xml:space="preserve"> anfällt</w:t>
            </w:r>
          </w:p>
        </w:tc>
      </w:tr>
      <w:tr>
        <w:tc>
          <w:tcPr>
            <w:tcW w:w="0" w:type="auto"/>
          </w:tcPr>
          <w:p>
            <w:pPr>
              <w:spacing w:after="0" w:line="240" w:lineRule="auto"/>
            </w:pPr>
            <w:r>
              <w:rPr>
                <w:b/>
              </w:rPr>
              <w:t xml:space="preserve">N4</w:t>
            </w:r>
          </w:p>
        </w:tc>
        <w:tc>
          <w:tcPr>
            <w:tcW w:w="0" w:type="auto"/>
          </w:tcPr>
          <w:p>
            <w:pPr>
              <w:spacing w:after="0" w:line="240" w:lineRule="auto"/>
            </w:pPr>
            <w:r>
              <w:rPr>
                <w:b/>
              </w:rPr>
              <w:t xml:space="preserve">Antwortzeit der Vorschau</w:t>
            </w:r>
          </w:p>
        </w:tc>
        <w:tc>
          <w:tcPr>
            <w:tcW w:w="0" w:type="auto"/>
          </w:tcPr>
          <w:p>
            <w:pPr>
              <w:spacing w:after="0" w:line="240" w:lineRule="auto"/>
            </w:pPr>
            <w:r>
              <w:t xml:space="preserve">Prüfung entprellt (Vorgabe 400 ms, </w:t>
            </w:r>
            <w:r>
              <w:rPr>
                <w:rFonts w:ascii="Consolas" w:hAnsi="Consolas" w:cs="Consolas"/>
                <w:noProof/>
                <w:sz w:val="20"/>
                <w:szCs w:val="20"/>
                <w:shd w:val="clear" w:color="auto" w:fill="EFEFEF"/>
              </w:rPr>
              <w:t xml:space="preserve">0</w:t>
            </w:r>
            <w:r>
              <w:t xml:space="preserve"> im Test), keine Datenbankfrage je Tastendruck</w:t>
            </w:r>
          </w:p>
        </w:tc>
      </w:tr>
      <w:tr>
        <w:tc>
          <w:tcPr>
            <w:tcW w:w="0" w:type="auto"/>
          </w:tcPr>
          <w:p>
            <w:pPr>
              <w:spacing w:after="0" w:line="240" w:lineRule="auto"/>
            </w:pPr>
            <w:r>
              <w:rPr>
                <w:b/>
              </w:rPr>
              <w:t xml:space="preserve">N5</w:t>
            </w:r>
          </w:p>
        </w:tc>
        <w:tc>
          <w:tcPr>
            <w:tcW w:w="0" w:type="auto"/>
          </w:tcPr>
          <w:p>
            <w:pPr>
              <w:spacing w:after="0" w:line="240" w:lineRule="auto"/>
            </w:pPr>
            <w:r>
              <w:rPr>
                <w:b/>
              </w:rPr>
              <w:t xml:space="preserve">Plattformgleichheit</w:t>
            </w:r>
            <w:r>
              <w:t xml:space="preserve"> Windows und iOS</w:t>
            </w:r>
          </w:p>
        </w:tc>
        <w:tc>
          <w:tcPr>
            <w:tcW w:w="0" w:type="auto"/>
          </w:tcPr>
          <w:p>
            <w:pPr>
              <w:spacing w:after="0" w:line="240" w:lineRule="auto"/>
            </w:pPr>
            <w:r>
              <w:t xml:space="preserve">jede Maske erreichbar oder </w:t>
            </w:r>
            <w:r>
              <w:rPr>
                <w:b/>
              </w:rPr>
              <w:t xml:space="preserve">benannt</w:t>
            </w:r>
            <w:r>
              <w:t xml:space="preserve"> abgelehnt; kein stummes </w:t>
            </w:r>
            <w:r>
              <w:rPr>
                <w:rFonts w:ascii="Consolas" w:hAnsi="Consolas" w:cs="Consolas"/>
                <w:noProof/>
                <w:sz w:val="20"/>
                <w:szCs w:val="20"/>
                <w:shd w:val="clear" w:color="auto" w:fill="EFEFEF"/>
              </w:rPr>
              <w:t xml:space="preserve">false</w:t>
            </w:r>
          </w:p>
        </w:tc>
      </w:tr>
      <w:tr>
        <w:tc>
          <w:tcPr>
            <w:tcW w:w="0" w:type="auto"/>
          </w:tcPr>
          <w:p>
            <w:pPr>
              <w:spacing w:after="0" w:line="240" w:lineRule="auto"/>
            </w:pPr>
            <w:r>
              <w:rPr>
                <w:b/>
              </w:rPr>
              <w:t xml:space="preserve">N6</w:t>
            </w:r>
          </w:p>
        </w:tc>
        <w:tc>
          <w:tcPr>
            <w:tcW w:w="0" w:type="auto"/>
          </w:tcPr>
          <w:p>
            <w:pPr>
              <w:spacing w:after="0" w:line="240" w:lineRule="auto"/>
            </w:pPr>
            <w:r>
              <w:rPr>
                <w:b/>
              </w:rPr>
              <w:t xml:space="preserve">Zweisprachigkeit</w:t>
            </w:r>
          </w:p>
        </w:tc>
        <w:tc>
          <w:tcPr>
            <w:tcW w:w="0" w:type="auto"/>
          </w:tcPr>
          <w:p>
            <w:pPr>
              <w:spacing w:after="0" w:line="240" w:lineRule="auto"/>
            </w:pPr>
            <w:r>
              <w:t xml:space="preserve">jeder Anzeigetext in beiden </w:t>
            </w:r>
            <w:r>
              <w:rPr>
                <w:rFonts w:ascii="Consolas" w:hAnsi="Consolas" w:cs="Consolas"/>
                <w:noProof/>
                <w:sz w:val="20"/>
                <w:szCs w:val="20"/>
                <w:shd w:val="clear" w:color="auto" w:fill="EFEFEF"/>
              </w:rPr>
              <w:t xml:space="preserve">.resx</w:t>
            </w:r>
            <w:r>
              <w:t xml:space="preserve">, deutscher Rückfall</w:t>
            </w:r>
          </w:p>
        </w:tc>
      </w:tr>
      <w:tr>
        <w:tc>
          <w:tcPr>
            <w:tcW w:w="0" w:type="auto"/>
          </w:tcPr>
          <w:p>
            <w:pPr>
              <w:spacing w:after="0" w:line="240" w:lineRule="auto"/>
            </w:pPr>
            <w:r>
              <w:rPr>
                <w:b/>
              </w:rPr>
              <w:t xml:space="preserve">N7</w:t>
            </w:r>
          </w:p>
        </w:tc>
        <w:tc>
          <w:tcPr>
            <w:tcW w:w="0" w:type="auto"/>
          </w:tcPr>
          <w:p>
            <w:pPr>
              <w:spacing w:after="0" w:line="240" w:lineRule="auto"/>
            </w:pPr>
            <w:r>
              <w:rPr>
                <w:b/>
              </w:rPr>
              <w:t xml:space="preserve">Berührbarkeit und Breite</w:t>
            </w:r>
          </w:p>
        </w:tc>
        <w:tc>
          <w:tcPr>
            <w:tcW w:w="0" w:type="auto"/>
          </w:tcPr>
          <w:p>
            <w:pPr>
              <w:spacing w:after="0" w:line="240" w:lineRule="auto"/>
            </w:pPr>
            <w:r>
              <w:t xml:space="preserve">Berührziel 44 px; vierstufiger Dialogstapel bricht bei 900 CSS-Pixeln um, er scrollt nicht</w:t>
            </w:r>
          </w:p>
        </w:tc>
      </w:tr>
      <w:tr>
        <w:tc>
          <w:tcPr>
            <w:tcW w:w="0" w:type="auto"/>
          </w:tcPr>
          <w:p>
            <w:pPr>
              <w:spacing w:after="0" w:line="240" w:lineRule="auto"/>
            </w:pPr>
            <w:r>
              <w:rPr>
                <w:b/>
              </w:rPr>
              <w:t xml:space="preserve">N8</w:t>
            </w:r>
          </w:p>
        </w:tc>
        <w:tc>
          <w:tcPr>
            <w:tcW w:w="0" w:type="auto"/>
          </w:tcPr>
          <w:p>
            <w:pPr>
              <w:spacing w:after="0" w:line="240" w:lineRule="auto"/>
            </w:pPr>
            <w:r>
              <w:rPr>
                <w:b/>
              </w:rPr>
              <w:t xml:space="preserve">Auslieferbarkeit</w:t>
            </w:r>
          </w:p>
        </w:tc>
        <w:tc>
          <w:tcPr>
            <w:tcW w:w="0" w:type="auto"/>
          </w:tcPr>
          <w:p>
            <w:pPr>
              <w:spacing w:after="0" w:line="240" w:lineRule="auto"/>
            </w:pPr>
            <w:r>
              <w:t xml:space="preserve">Lizenzhinweisseite für Fremdbestandteile im Installationspaket</w:t>
            </w:r>
          </w:p>
        </w:tc>
      </w:tr>
      <w:tr>
        <w:tc>
          <w:tcPr>
            <w:tcW w:w="0" w:type="auto"/>
          </w:tcPr>
          <w:p>
            <w:pPr>
              <w:spacing w:after="0" w:line="240" w:lineRule="auto"/>
            </w:pPr>
            <w:r>
              <w:rPr>
                <w:b/>
              </w:rPr>
              <w:t xml:space="preserve">N9</w:t>
            </w:r>
          </w:p>
        </w:tc>
        <w:tc>
          <w:tcPr>
            <w:tcW w:w="0" w:type="auto"/>
          </w:tcPr>
          <w:p>
            <w:pPr>
              <w:spacing w:after="0" w:line="240" w:lineRule="auto"/>
            </w:pPr>
            <w:r>
              <w:rPr>
                <w:b/>
              </w:rPr>
              <w:t xml:space="preserve">Sicherungs- und Transportfähigkeit</w:t>
            </w:r>
          </w:p>
        </w:tc>
        <w:tc>
          <w:tcPr>
            <w:tcW w:w="0" w:type="auto"/>
          </w:tcPr>
          <w:p>
            <w:pPr>
              <w:spacing w:after="0" w:line="240" w:lineRule="auto"/>
            </w:pPr>
            <w:r>
              <w:rPr>
                <w:rFonts w:ascii="Consolas" w:hAnsi="Consolas" w:cs="Consolas"/>
                <w:noProof/>
                <w:sz w:val="20"/>
                <w:szCs w:val="20"/>
                <w:shd w:val="clear" w:color="auto" w:fill="EFEFEF"/>
              </w:rPr>
              <w:t xml:space="preserve">VACUUM INTO</w:t>
            </w:r>
            <w:r>
              <w:t xml:space="preserve"> im laufenden Betrieb bleibt brauchbar</w:t>
            </w:r>
          </w:p>
        </w:tc>
      </w:tr>
      <w:tr>
        <w:tc>
          <w:tcPr>
            <w:tcW w:w="0" w:type="auto"/>
          </w:tcPr>
          <w:p>
            <w:pPr>
              <w:spacing w:after="0" w:line="240" w:lineRule="auto"/>
            </w:pPr>
            <w:r>
              <w:rPr>
                <w:b/>
              </w:rPr>
              <w:t xml:space="preserve">N10</w:t>
            </w:r>
          </w:p>
        </w:tc>
        <w:tc>
          <w:tcPr>
            <w:tcW w:w="0" w:type="auto"/>
          </w:tcPr>
          <w:p>
            <w:pPr>
              <w:spacing w:after="0" w:line="240" w:lineRule="auto"/>
            </w:pPr>
            <w:r>
              <w:rPr>
                <w:b/>
              </w:rPr>
              <w:t xml:space="preserve">Nachweisbarkeit jeder Zahl</w:t>
            </w:r>
          </w:p>
        </w:tc>
        <w:tc>
          <w:tcPr>
            <w:tcW w:w="0" w:type="auto"/>
          </w:tcPr>
          <w:p>
            <w:pPr>
              <w:spacing w:after="0" w:line="240" w:lineRule="auto"/>
            </w:pPr>
            <w:r>
              <w:t xml:space="preserve">jede angezeigte Zahl hat eine Herkunft aus den </w:t>
            </w:r>
            <w:r>
              <w:rPr>
                <w:b/>
              </w:rPr>
              <w:t xml:space="preserve">fünf</w:t>
            </w:r>
            <w:r>
              <w:t xml:space="preserve"> persistierten Werten (</w:t>
            </w:r>
            <w:r>
              <w:rPr>
                <w:rFonts w:ascii="Consolas" w:hAnsi="Consolas" w:cs="Consolas"/>
                <w:noProof/>
                <w:sz w:val="20"/>
                <w:szCs w:val="20"/>
                <w:shd w:val="clear" w:color="auto" w:fill="EFEFEF"/>
              </w:rPr>
              <w:t xml:space="preserve">MANUELL</w:t>
            </w:r>
            <w:r>
              <w:t xml:space="preserve">, </w:t>
            </w:r>
            <w:r>
              <w:rPr>
                <w:rFonts w:ascii="Consolas" w:hAnsi="Consolas" w:cs="Consolas"/>
                <w:noProof/>
                <w:sz w:val="20"/>
                <w:szCs w:val="20"/>
                <w:shd w:val="clear" w:color="auto" w:fill="EFEFEF"/>
              </w:rPr>
              <w:t xml:space="preserve">KATALOG</w:t>
            </w:r>
            <w:r>
              <w:t xml:space="preserve">, </w:t>
            </w:r>
            <w:r>
              <w:rPr>
                <w:rFonts w:ascii="Consolas" w:hAnsi="Consolas" w:cs="Consolas"/>
                <w:noProof/>
                <w:sz w:val="20"/>
                <w:szCs w:val="20"/>
                <w:shd w:val="clear" w:color="auto" w:fill="EFEFEF"/>
              </w:rPr>
              <w:t xml:space="preserve">IFC</w:t>
            </w:r>
            <w:r>
              <w:t xml:space="preserve">, </w:t>
            </w:r>
            <w:r>
              <w:rPr>
                <w:rFonts w:ascii="Consolas" w:hAnsi="Consolas" w:cs="Consolas"/>
                <w:noProof/>
                <w:sz w:val="20"/>
                <w:szCs w:val="20"/>
                <w:shd w:val="clear" w:color="auto" w:fill="EFEFEF"/>
              </w:rPr>
              <w:t xml:space="preserve">GBXML</w:t>
            </w:r>
            <w:r>
              <w:t xml:space="preserve">, </w:t>
            </w:r>
            <w:r>
              <w:rPr>
                <w:rFonts w:ascii="Consolas" w:hAnsi="Consolas" w:cs="Consolas"/>
                <w:noProof/>
                <w:sz w:val="20"/>
                <w:szCs w:val="20"/>
                <w:shd w:val="clear" w:color="auto" w:fill="EFEFEF"/>
              </w:rPr>
              <w:t xml:space="preserve">VORGABE</w:t>
            </w:r>
            <w:r>
              <w:t xml:space="preserve">) oder eine Herleitung — ein zweiter Wertevorrat entsteht nicht</w:t>
            </w:r>
          </w:p>
        </w:tc>
      </w:tr>
    </w:tbl>
    <w:p>
      <w:pPr>
        <w:spacing w:after="120"/>
      </w:pPr>
    </w:p>
    <w:p>
      <w:pPr>
        <w:pStyle w:val="Heading2"/>
      </w:pPr>
      <w:r>
        <w:t xml:space="preserve">2.3 Randbedingungen</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w:t>
            </w:r>
          </w:p>
        </w:tc>
        <w:tc>
          <w:tcPr>
            <w:tcW w:w="0" w:type="auto"/>
            <w:shd w:val="clear" w:color="auto" w:fill="D9D9D9"/>
          </w:tcPr>
          <w:p>
            <w:pPr>
              <w:spacing w:after="0" w:line="240" w:lineRule="auto"/>
              <w:rPr>
                <w:b/>
              </w:rPr>
            </w:pPr>
            <w:r>
              <w:rPr>
                <w:b/>
              </w:rPr>
              <w:t xml:space="preserve">Randbedingung</w:t>
            </w:r>
          </w:p>
        </w:tc>
        <w:tc>
          <w:tcPr>
            <w:tcW w:w="0" w:type="auto"/>
            <w:shd w:val="clear" w:color="auto" w:fill="D9D9D9"/>
          </w:tcPr>
          <w:p>
            <w:pPr>
              <w:spacing w:after="0" w:line="240" w:lineRule="auto"/>
              <w:rPr>
                <w:b/>
              </w:rPr>
            </w:pPr>
            <w:r>
              <w:rPr>
                <w:b/>
              </w:rPr>
              <w:t xml:space="preserve">Wirkung auf den Entwurf</w:t>
            </w:r>
          </w:p>
        </w:tc>
      </w:tr>
      <w:tr>
        <w:tc>
          <w:tcPr>
            <w:tcW w:w="0" w:type="auto"/>
          </w:tcPr>
          <w:p>
            <w:pPr>
              <w:spacing w:after="0" w:line="240" w:lineRule="auto"/>
            </w:pPr>
            <w:r>
              <w:rPr>
                <w:b/>
              </w:rPr>
              <w:t xml:space="preserve">B1</w:t>
            </w:r>
          </w:p>
        </w:tc>
        <w:tc>
          <w:tcPr>
            <w:tcW w:w="0" w:type="auto"/>
          </w:tcPr>
          <w:p>
            <w:pPr>
              <w:spacing w:after="0" w:line="240" w:lineRule="auto"/>
            </w:pPr>
            <w:r>
              <w:t xml:space="preserve">Die Entscheide E1–E25 sind verbindlich</w:t>
            </w:r>
          </w:p>
        </w:tc>
        <w:tc>
          <w:tcPr>
            <w:tcW w:w="0" w:type="auto"/>
          </w:tcPr>
          <w:p>
            <w:pPr>
              <w:spacing w:after="0" w:line="240" w:lineRule="auto"/>
            </w:pPr>
            <w:r>
              <w:t xml:space="preserve">sie sind Ausgangspunkt der Abwägung, nicht ihr Gegenstand</w:t>
            </w:r>
          </w:p>
        </w:tc>
      </w:tr>
      <w:tr>
        <w:tc>
          <w:tcPr>
            <w:tcW w:w="0" w:type="auto"/>
          </w:tcPr>
          <w:p>
            <w:pPr>
              <w:spacing w:after="0" w:line="240" w:lineRule="auto"/>
            </w:pPr>
            <w:r>
              <w:rPr>
                <w:b/>
              </w:rPr>
              <w:t xml:space="preserve">B2</w:t>
            </w:r>
          </w:p>
        </w:tc>
        <w:tc>
          <w:tcPr>
            <w:tcW w:w="0" w:type="auto"/>
          </w:tcPr>
          <w:p>
            <w:pPr>
              <w:spacing w:after="0" w:line="240" w:lineRule="auto"/>
            </w:pPr>
            <w:r>
              <w:rPr>
                <w:rFonts w:ascii="Consolas" w:hAnsi="Consolas" w:cs="Consolas"/>
                <w:noProof/>
                <w:sz w:val="20"/>
                <w:szCs w:val="20"/>
                <w:shd w:val="clear" w:color="auto" w:fill="EFEFEF"/>
              </w:rPr>
              <w:t xml:space="preserve">ADR-002</w:t>
            </w:r>
            <w:r>
              <w:t xml:space="preserve"> angenommen</w:t>
            </w:r>
          </w:p>
        </w:tc>
        <w:tc>
          <w:tcPr>
            <w:tcW w:w="0" w:type="auto"/>
          </w:tcPr>
          <w:p>
            <w:pPr>
              <w:spacing w:after="0" w:line="240" w:lineRule="auto"/>
            </w:pPr>
            <w:r>
              <w:t xml:space="preserve">kein zweiter Rechenweg, keine zweite Kennzahlenmenge</w:t>
            </w:r>
          </w:p>
        </w:tc>
      </w:tr>
      <w:tr>
        <w:tc>
          <w:tcPr>
            <w:tcW w:w="0" w:type="auto"/>
          </w:tcPr>
          <w:p>
            <w:pPr>
              <w:spacing w:after="0" w:line="240" w:lineRule="auto"/>
            </w:pPr>
            <w:r>
              <w:rPr>
                <w:b/>
              </w:rPr>
              <w:t xml:space="preserve">B3</w:t>
            </w:r>
          </w:p>
        </w:tc>
        <w:tc>
          <w:tcPr>
            <w:tcW w:w="0" w:type="auto"/>
          </w:tcPr>
          <w:p>
            <w:pPr>
              <w:spacing w:after="0" w:line="240" w:lineRule="auto"/>
            </w:pPr>
            <w:r>
              <w:rPr>
                <w:rFonts w:ascii="Consolas" w:hAnsi="Consolas" w:cs="Consolas"/>
                <w:noProof/>
                <w:sz w:val="20"/>
                <w:szCs w:val="20"/>
                <w:shd w:val="clear" w:color="auto" w:fill="EFEFEF"/>
              </w:rPr>
              <w:t xml:space="preserve">ADR-003</w:t>
            </w:r>
            <w:r>
              <w:t xml:space="preserve"> angenommen</w:t>
            </w:r>
          </w:p>
        </w:tc>
        <w:tc>
          <w:tcPr>
            <w:tcW w:w="0" w:type="auto"/>
          </w:tcPr>
          <w:p>
            <w:pPr>
              <w:spacing w:after="0" w:line="240" w:lineRule="auto"/>
            </w:pPr>
            <w:r>
              <w:t xml:space="preserve">kein </w:t>
            </w:r>
            <w:r>
              <w:rPr>
                <w:rFonts w:ascii="Consolas" w:hAnsi="Consolas" w:cs="Consolas"/>
                <w:noProof/>
                <w:sz w:val="20"/>
                <w:szCs w:val="20"/>
                <w:shd w:val="clear" w:color="auto" w:fill="EFEFEF"/>
              </w:rPr>
              <w:t xml:space="preserve">IfcStore</w:t>
            </w:r>
            <w:r>
              <w:t xml:space="preserve">, kein Esent, kein </w:t>
            </w:r>
            <w:r>
              <w:rPr>
                <w:rFonts w:ascii="Consolas" w:hAnsi="Consolas" w:cs="Consolas"/>
                <w:noProof/>
                <w:sz w:val="20"/>
                <w:szCs w:val="20"/>
                <w:shd w:val="clear" w:color="auto" w:fill="EFEFEF"/>
              </w:rPr>
              <w:t xml:space="preserve">Xbim.Geometry</w:t>
            </w:r>
          </w:p>
        </w:tc>
      </w:tr>
      <w:tr>
        <w:tc>
          <w:tcPr>
            <w:tcW w:w="0" w:type="auto"/>
          </w:tcPr>
          <w:p>
            <w:pPr>
              <w:spacing w:after="0" w:line="240" w:lineRule="auto"/>
            </w:pPr>
            <w:r>
              <w:rPr>
                <w:b/>
              </w:rPr>
              <w:t xml:space="preserve">B4</w:t>
            </w:r>
          </w:p>
        </w:tc>
        <w:tc>
          <w:tcPr>
            <w:tcW w:w="0" w:type="auto"/>
          </w:tcPr>
          <w:p>
            <w:pPr>
              <w:spacing w:after="0" w:line="240" w:lineRule="auto"/>
            </w:pPr>
            <w:r>
              <w:rPr>
                <w:rFonts w:ascii="Consolas" w:hAnsi="Consolas" w:cs="Consolas"/>
                <w:noProof/>
                <w:sz w:val="20"/>
                <w:szCs w:val="20"/>
                <w:shd w:val="clear" w:color="auto" w:fill="EFEFEF"/>
              </w:rPr>
              <w:t xml:space="preserve">ADR-004</w:t>
            </w:r>
            <w:r>
              <w:t xml:space="preserve"> angenommen (E16)</w:t>
            </w:r>
          </w:p>
        </w:tc>
        <w:tc>
          <w:tcPr>
            <w:tcW w:w="0" w:type="auto"/>
          </w:tcPr>
          <w:p>
            <w:pPr>
              <w:spacing w:after="0" w:line="240" w:lineRule="auto"/>
            </w:pPr>
            <w:r>
              <w:t xml:space="preserve">F12 hat seinen Leseweg: kein Paket, keine Code-Erzeugung, Import tolerant</w:t>
            </w:r>
          </w:p>
        </w:tc>
      </w:tr>
      <w:tr>
        <w:tc>
          <w:tcPr>
            <w:tcW w:w="0" w:type="auto"/>
          </w:tcPr>
          <w:p>
            <w:pPr>
              <w:spacing w:after="0" w:line="240" w:lineRule="auto"/>
            </w:pPr>
            <w:r>
              <w:rPr>
                <w:b/>
              </w:rPr>
              <w:t xml:space="preserve">B5</w:t>
            </w:r>
          </w:p>
        </w:tc>
        <w:tc>
          <w:tcPr>
            <w:tcW w:w="0" w:type="auto"/>
          </w:tcPr>
          <w:p>
            <w:pPr>
              <w:spacing w:after="0" w:line="240" w:lineRule="auto"/>
            </w:pPr>
            <w:r>
              <w:rPr>
                <w:rFonts w:ascii="Consolas" w:hAnsi="Consolas" w:cs="Consolas"/>
                <w:noProof/>
                <w:sz w:val="20"/>
                <w:szCs w:val="20"/>
                <w:shd w:val="clear" w:color="auto" w:fill="EFEFEF"/>
              </w:rPr>
              <w:t xml:space="preserve">ADR-005</w:t>
            </w:r>
            <w:r>
              <w:t xml:space="preserve"> angenommen (E17)</w:t>
            </w:r>
          </w:p>
        </w:tc>
        <w:tc>
          <w:tcPr>
            <w:tcW w:w="0" w:type="auto"/>
          </w:tcPr>
          <w:p>
            <w:pPr>
              <w:spacing w:after="0" w:line="240" w:lineRule="auto"/>
            </w:pPr>
            <w:r>
              <w:t xml:space="preserve">F10 hat sein Lösungsschema; das Zonennetz bleibt unverändert, Messpflicht mit Prüforakel für zwei Zonen</w:t>
            </w:r>
          </w:p>
        </w:tc>
      </w:tr>
      <w:tr>
        <w:tc>
          <w:tcPr>
            <w:tcW w:w="0" w:type="auto"/>
          </w:tcPr>
          <w:p>
            <w:pPr>
              <w:spacing w:after="0" w:line="240" w:lineRule="auto"/>
            </w:pPr>
            <w:r>
              <w:rPr>
                <w:b/>
              </w:rPr>
              <w:t xml:space="preserve">B6</w:t>
            </w:r>
          </w:p>
        </w:tc>
        <w:tc>
          <w:tcPr>
            <w:tcW w:w="0" w:type="auto"/>
          </w:tcPr>
          <w:p>
            <w:pPr>
              <w:spacing w:after="0" w:line="240" w:lineRule="auto"/>
            </w:pPr>
            <w:r>
              <w:rPr>
                <w:rFonts w:ascii="Consolas" w:hAnsi="Consolas" w:cs="Consolas"/>
                <w:noProof/>
                <w:sz w:val="20"/>
                <w:szCs w:val="20"/>
                <w:shd w:val="clear" w:color="auto" w:fill="EFEFEF"/>
              </w:rPr>
              <w:t xml:space="preserve">ADR-001</w:t>
            </w:r>
            <w:r>
              <w:t xml:space="preserve"> — jede Schemaänderung ist ein nummerierter Schritt</w:t>
            </w:r>
          </w:p>
        </w:tc>
        <w:tc>
          <w:tcPr>
            <w:tcW w:w="0" w:type="auto"/>
          </w:tcPr>
          <w:p>
            <w:pPr>
              <w:spacing w:after="0" w:line="240" w:lineRule="auto"/>
            </w:pPr>
            <w:r>
              <w:t xml:space="preserve">drei Eintragungen je neuer Tabelle: Migrationsschritt, Auslieferungsvorlage, Schemapflege der Testdatenbank</w:t>
            </w:r>
          </w:p>
        </w:tc>
      </w:tr>
      <w:tr>
        <w:tc>
          <w:tcPr>
            <w:tcW w:w="0" w:type="auto"/>
          </w:tcPr>
          <w:p>
            <w:pPr>
              <w:spacing w:after="0" w:line="240" w:lineRule="auto"/>
            </w:pPr>
            <w:r>
              <w:rPr>
                <w:b/>
              </w:rPr>
              <w:t xml:space="preserve">B7</w:t>
            </w:r>
          </w:p>
        </w:tc>
        <w:tc>
          <w:tcPr>
            <w:tcW w:w="0" w:type="auto"/>
          </w:tcPr>
          <w:p>
            <w:pPr>
              <w:spacing w:after="0" w:line="240" w:lineRule="auto"/>
            </w:pPr>
            <w:r>
              <w:t xml:space="preserve">Die Hausregeln der vier </w:t>
            </w:r>
            <w:r>
              <w:rPr>
                <w:rFonts w:ascii="Consolas" w:hAnsi="Consolas" w:cs="Consolas"/>
                <w:noProof/>
                <w:sz w:val="20"/>
                <w:szCs w:val="20"/>
                <w:shd w:val="clear" w:color="auto" w:fill="EFEFEF"/>
              </w:rPr>
              <w:t xml:space="preserve">CLAUDE.md</w:t>
            </w:r>
          </w:p>
        </w:tc>
        <w:tc>
          <w:tcPr>
            <w:tcW w:w="0" w:type="auto"/>
          </w:tcPr>
          <w:p>
            <w:pPr>
              <w:spacing w:after="0" w:line="240" w:lineRule="auto"/>
            </w:pPr>
            <w:r>
              <w:t xml:space="preserve">Fachänderung einmal im Kern; keine Datenbank in der Oberfläche; Umgebung nur über </w:t>
            </w:r>
            <w:r>
              <w:rPr>
                <w:rFonts w:ascii="Consolas" w:hAnsi="Consolas" w:cs="Consolas"/>
                <w:noProof/>
                <w:sz w:val="20"/>
                <w:szCs w:val="20"/>
                <w:shd w:val="clear" w:color="auto" w:fill="EFEFEF"/>
              </w:rPr>
              <w:t xml:space="preserve">Dienste.*</w:t>
            </w:r>
          </w:p>
        </w:tc>
      </w:tr>
      <w:tr>
        <w:tc>
          <w:tcPr>
            <w:tcW w:w="0" w:type="auto"/>
          </w:tcPr>
          <w:p>
            <w:pPr>
              <w:spacing w:after="0" w:line="240" w:lineRule="auto"/>
            </w:pPr>
            <w:r>
              <w:rPr>
                <w:b/>
              </w:rPr>
              <w:t xml:space="preserve">B8</w:t>
            </w:r>
          </w:p>
        </w:tc>
        <w:tc>
          <w:tcPr>
            <w:tcW w:w="0" w:type="auto"/>
          </w:tcPr>
          <w:p>
            <w:pPr>
              <w:spacing w:after="0" w:line="240" w:lineRule="auto"/>
            </w:pPr>
            <w:r>
              <w:t xml:space="preserve">Feste Raster 8 760 Stunden, 168 Wochenstunden, 365 Tage, 12 Monate, kein Schaltjahr</w:t>
            </w:r>
          </w:p>
        </w:tc>
        <w:tc>
          <w:tcPr>
            <w:tcW w:w="0" w:type="auto"/>
          </w:tcPr>
          <w:p>
            <w:pPr>
              <w:spacing w:after="0" w:line="240" w:lineRule="auto"/>
            </w:pPr>
            <w:r>
              <w:t xml:space="preserve">der Löser rechnet Blockstunden; der Vorlauf zählt nicht zum Jahr</w:t>
            </w:r>
          </w:p>
        </w:tc>
      </w:tr>
      <w:tr>
        <w:tc>
          <w:tcPr>
            <w:tcW w:w="0" w:type="auto"/>
          </w:tcPr>
          <w:p>
            <w:pPr>
              <w:spacing w:after="0" w:line="240" w:lineRule="auto"/>
            </w:pPr>
            <w:r>
              <w:rPr>
                <w:b/>
              </w:rPr>
              <w:t xml:space="preserve">B9</w:t>
            </w:r>
          </w:p>
        </w:tc>
        <w:tc>
          <w:tcPr>
            <w:tcW w:w="0" w:type="auto"/>
          </w:tcPr>
          <w:p>
            <w:pPr>
              <w:spacing w:after="0" w:line="240" w:lineRule="auto"/>
            </w:pPr>
            <w:r>
              <w:rPr>
                <w:b/>
              </w:rPr>
              <w:t xml:space="preserve">Drei Kanäle</w:t>
            </w:r>
            <w:r>
              <w:t xml:space="preserve"> — HEIZUNG, BRAUCHWASSER, PROZESS. </w:t>
            </w:r>
            <w:r>
              <w:rPr>
                <w:b/>
              </w:rPr>
              <w:t xml:space="preserve">Nachtrag E12 (16.09.2026): vier</w:t>
            </w:r>
          </w:p>
        </w:tc>
        <w:tc>
          <w:tcPr>
            <w:tcW w:w="0" w:type="auto"/>
          </w:tcPr>
          <w:p>
            <w:pPr>
              <w:spacing w:after="0" w:line="240" w:lineRule="auto"/>
            </w:pPr>
            <w:r>
              <w:t xml:space="preserve">Bis E12 war der Kühlbedarf eine informative Reihe je Gebäude ohne Kanal und ohne Erzeugerrechnung. Mit E12 tritt </w:t>
            </w:r>
            <w:r>
              <w:rPr>
                <w:rFonts w:ascii="Consolas" w:hAnsi="Consolas" w:cs="Consolas"/>
                <w:noProof/>
                <w:sz w:val="20"/>
                <w:szCs w:val="20"/>
                <w:shd w:val="clear" w:color="auto" w:fill="EFEFEF"/>
              </w:rPr>
              <w:t xml:space="preserve">KUEHLUNG</w:t>
            </w:r>
            <w:r>
              <w:t xml:space="preserve"> als vierter Kanal hinzu — mit </w:t>
            </w:r>
            <w:r>
              <w:rPr>
                <w:b/>
              </w:rPr>
              <w:t xml:space="preserve">getrennter Deckungsseite</w:t>
            </w:r>
            <w:r>
              <w:t xml:space="preserve">: die Wärmeerzeugerkaskade sieht ihn nicht (Kapitel 8a)</w:t>
            </w:r>
          </w:p>
        </w:tc>
      </w:tr>
      <w:tr>
        <w:tc>
          <w:tcPr>
            <w:tcW w:w="0" w:type="auto"/>
          </w:tcPr>
          <w:p>
            <w:pPr>
              <w:spacing w:after="0" w:line="240" w:lineRule="auto"/>
            </w:pPr>
            <w:r>
              <w:rPr>
                <w:b/>
              </w:rPr>
              <w:t xml:space="preserve">B10</w:t>
            </w:r>
          </w:p>
        </w:tc>
        <w:tc>
          <w:tcPr>
            <w:tcW w:w="0" w:type="auto"/>
          </w:tcPr>
          <w:p>
            <w:pPr>
              <w:spacing w:after="0" w:line="240" w:lineRule="auto"/>
            </w:pPr>
            <w:r>
              <w:t xml:space="preserve">SQLite, </w:t>
            </w:r>
            <w:r>
              <w:rPr>
                <w:rFonts w:ascii="Consolas" w:hAnsi="Consolas" w:cs="Consolas"/>
                <w:noProof/>
                <w:sz w:val="20"/>
                <w:szCs w:val="20"/>
                <w:shd w:val="clear" w:color="auto" w:fill="EFEFEF"/>
              </w:rPr>
              <w:t xml:space="preserve">STRICT</w:t>
            </w:r>
            <w:r>
              <w:t xml:space="preserve">, Beziehungen über IDs, Zugriff nur über </w:t>
            </w:r>
            <w:r>
              <w:rPr>
                <w:rFonts w:ascii="Consolas" w:hAnsi="Consolas" w:cs="Consolas"/>
                <w:noProof/>
                <w:sz w:val="20"/>
                <w:szCs w:val="20"/>
                <w:shd w:val="clear" w:color="auto" w:fill="EFEFEF"/>
              </w:rPr>
              <w:t xml:space="preserve">DataRepository</w:t>
            </w:r>
            <w:r>
              <w:t xml:space="preserve"> mit </w:t>
            </w:r>
            <w:r>
              <w:rPr>
                <w:rFonts w:ascii="Consolas" w:hAnsi="Consolas" w:cs="Consolas"/>
                <w:noProof/>
                <w:sz w:val="20"/>
                <w:szCs w:val="20"/>
                <w:shd w:val="clear" w:color="auto" w:fill="EFEFEF"/>
              </w:rPr>
              <w:t xml:space="preserve">?</w:t>
            </w:r>
            <w:r>
              <w:t xml:space="preserve">-Parametern</w:t>
            </w:r>
          </w:p>
        </w:tc>
        <w:tc>
          <w:tcPr>
            <w:tcW w:w="0" w:type="auto"/>
          </w:tcPr>
          <w:p>
            <w:pPr>
              <w:spacing w:after="0" w:line="240" w:lineRule="auto"/>
            </w:pPr>
            <w:r>
              <w:t xml:space="preserve">keine neuen Textverweise, kein zusammengesetzter SQL-Text</w:t>
            </w:r>
          </w:p>
        </w:tc>
      </w:tr>
      <w:tr>
        <w:tc>
          <w:tcPr>
            <w:tcW w:w="0" w:type="auto"/>
          </w:tcPr>
          <w:p>
            <w:pPr>
              <w:spacing w:after="0" w:line="240" w:lineRule="auto"/>
            </w:pPr>
            <w:r>
              <w:rPr>
                <w:b/>
              </w:rPr>
              <w:t xml:space="preserve">B11</w:t>
            </w:r>
          </w:p>
        </w:tc>
        <w:tc>
          <w:tcPr>
            <w:tcW w:w="0" w:type="auto"/>
          </w:tcPr>
          <w:p>
            <w:pPr>
              <w:spacing w:after="0" w:line="240" w:lineRule="auto"/>
            </w:pPr>
            <w:r>
              <w:t xml:space="preserve">Kein Fremdpaket an iOS ohne Messung</w:t>
            </w:r>
          </w:p>
        </w:tc>
        <w:tc>
          <w:tcPr>
            <w:tcW w:w="0" w:type="auto"/>
          </w:tcPr>
          <w:p>
            <w:pPr>
              <w:spacing w:after="0" w:line="240" w:lineRule="auto"/>
            </w:pPr>
            <w:r>
              <w:t xml:space="preserve">ein Paket, das der Gerätebau nicht trägt, gehört hinter eine Schnittstelle mit Fabrik in der Schale</w:t>
            </w:r>
          </w:p>
        </w:tc>
      </w:tr>
      <w:tr>
        <w:tc>
          <w:tcPr>
            <w:tcW w:w="0" w:type="auto"/>
          </w:tcPr>
          <w:p>
            <w:pPr>
              <w:spacing w:after="0" w:line="240" w:lineRule="auto"/>
            </w:pPr>
            <w:r>
              <w:rPr>
                <w:b/>
              </w:rPr>
              <w:t xml:space="preserve">B12</w:t>
            </w:r>
          </w:p>
        </w:tc>
        <w:tc>
          <w:tcPr>
            <w:tcW w:w="0" w:type="auto"/>
          </w:tcPr>
          <w:p>
            <w:pPr>
              <w:spacing w:after="0" w:line="240" w:lineRule="auto"/>
            </w:pPr>
            <w:r>
              <w:t xml:space="preserve">CI-Kontingent und Rückfragepflicht vor macOS-, iOS- und Setup-Läufen</w:t>
            </w:r>
          </w:p>
        </w:tc>
        <w:tc>
          <w:tcPr>
            <w:tcW w:w="0" w:type="auto"/>
          </w:tcPr>
          <w:p>
            <w:pPr>
              <w:spacing w:after="0" w:line="240" w:lineRule="auto"/>
            </w:pPr>
            <w:r>
              <w:t xml:space="preserve">der Nachweis der Stufen liegt auf dem ubuntu-Lauf</w:t>
            </w:r>
          </w:p>
        </w:tc>
      </w:tr>
      <w:tr>
        <w:tc>
          <w:tcPr>
            <w:tcW w:w="0" w:type="auto"/>
          </w:tcPr>
          <w:p>
            <w:pPr>
              <w:spacing w:after="0" w:line="240" w:lineRule="auto"/>
            </w:pPr>
            <w:r>
              <w:rPr>
                <w:b/>
              </w:rPr>
              <w:t xml:space="preserve">B13</w:t>
            </w:r>
          </w:p>
        </w:tc>
        <w:tc>
          <w:tcPr>
            <w:tcW w:w="0" w:type="auto"/>
          </w:tcPr>
          <w:p>
            <w:pPr>
              <w:spacing w:after="0" w:line="240" w:lineRule="auto"/>
            </w:pPr>
            <w:r>
              <w:t xml:space="preserve">Normzahlen liegen nicht im Repositorium</w:t>
            </w:r>
          </w:p>
        </w:tc>
        <w:tc>
          <w:tcPr>
            <w:tcW w:w="0" w:type="auto"/>
          </w:tcPr>
          <w:p>
            <w:pPr>
              <w:spacing w:after="0" w:line="240" w:lineRule="auto"/>
            </w:pPr>
            <w:r>
              <w:t xml:space="preserve">der Normfallnachweis ist lokal; die Lücke gehört ins Protokoll</w:t>
            </w:r>
          </w:p>
        </w:tc>
      </w:tr>
      <w:tr>
        <w:tc>
          <w:tcPr>
            <w:tcW w:w="0" w:type="auto"/>
          </w:tcPr>
          <w:p>
            <w:pPr>
              <w:spacing w:after="0" w:line="240" w:lineRule="auto"/>
            </w:pPr>
            <w:r>
              <w:rPr>
                <w:b/>
              </w:rPr>
              <w:t xml:space="preserve">B14</w:t>
            </w:r>
          </w:p>
        </w:tc>
        <w:tc>
          <w:tcPr>
            <w:tcW w:w="0" w:type="auto"/>
          </w:tcPr>
          <w:p>
            <w:pPr>
              <w:spacing w:after="0" w:line="240" w:lineRule="auto"/>
            </w:pPr>
            <w:r>
              <w:t xml:space="preserve">Referenzbasis </w:t>
            </w:r>
            <w:r>
              <w:rPr>
                <w:rFonts w:ascii="Consolas" w:hAnsi="Consolas" w:cs="Consolas"/>
                <w:noProof/>
                <w:sz w:val="20"/>
                <w:szCs w:val="20"/>
                <w:shd w:val="clear" w:color="auto" w:fill="EFEFEF"/>
              </w:rPr>
              <w:t xml:space="preserve">2026-09-11_R7_Speicherflotte</w:t>
            </w:r>
            <w:r>
              <w:t xml:space="preserve">, Toleranz Betrag ≥ 1 relativ 1e-4, sonst absolut 0,01</w:t>
            </w:r>
          </w:p>
        </w:tc>
        <w:tc>
          <w:tcPr>
            <w:tcW w:w="0" w:type="auto"/>
          </w:tcPr>
          <w:p>
            <w:pPr>
              <w:spacing w:after="0" w:line="240" w:lineRule="auto"/>
            </w:pPr>
            <w:r>
              <w:t xml:space="preserve">jede Stufe rechnet gegen die </w:t>
            </w:r>
            <w:r>
              <w:rPr>
                <w:b/>
              </w:rPr>
              <w:t xml:space="preserve">aktuelle</w:t>
            </w:r>
            <w:r>
              <w:t xml:space="preserve"> Basis</w:t>
            </w:r>
          </w:p>
        </w:tc>
      </w:tr>
      <w:tr>
        <w:tc>
          <w:tcPr>
            <w:tcW w:w="0" w:type="auto"/>
          </w:tcPr>
          <w:p>
            <w:pPr>
              <w:spacing w:after="0" w:line="240" w:lineRule="auto"/>
            </w:pPr>
            <w:r>
              <w:rPr>
                <w:b/>
              </w:rPr>
              <w:t xml:space="preserve">B15</w:t>
            </w:r>
          </w:p>
        </w:tc>
        <w:tc>
          <w:tcPr>
            <w:tcW w:w="0" w:type="auto"/>
          </w:tcPr>
          <w:p>
            <w:pPr>
              <w:spacing w:after="0" w:line="240" w:lineRule="auto"/>
            </w:pPr>
            <w:r>
              <w:rPr>
                <w:rFonts w:ascii="Consolas" w:hAnsi="Consolas" w:cs="Consolas"/>
                <w:noProof/>
                <w:sz w:val="20"/>
                <w:szCs w:val="20"/>
                <w:shd w:val="clear" w:color="auto" w:fill="EFEFEF"/>
              </w:rPr>
              <w:t xml:space="preserve">ADR-006</w:t>
            </w:r>
            <w:r>
              <w:t xml:space="preserve"> angenommen (E20)</w:t>
            </w:r>
          </w:p>
        </w:tc>
        <w:tc>
          <w:tcPr>
            <w:tcW w:w="0" w:type="auto"/>
          </w:tcPr>
          <w:p>
            <w:pPr>
              <w:spacing w:after="0" w:line="240" w:lineRule="auto"/>
            </w:pPr>
            <w:r>
              <w:rPr>
                <w:b/>
              </w:rPr>
              <w:t xml:space="preserve">eine</w:t>
            </w:r>
            <w:r>
              <w:t xml:space="preserve"> Weiche am Eingang hinter einem modellfreien Vorbereitungsschritt, zwei getrennte Module </w:t>
            </w:r>
            <w:r>
              <w:rPr>
                <w:rFonts w:ascii="Consolas" w:hAnsi="Consolas" w:cs="Consolas"/>
                <w:noProof/>
                <w:sz w:val="20"/>
                <w:szCs w:val="20"/>
                <w:shd w:val="clear" w:color="auto" w:fill="EFEFEF"/>
              </w:rPr>
              <w:t xml:space="preserve">Altweg/</w:t>
            </w:r>
            <w:r>
              <w:t xml:space="preserve"> und </w:t>
            </w:r>
            <w:r>
              <w:rPr>
                <w:rFonts w:ascii="Consolas" w:hAnsi="Consolas" w:cs="Consolas"/>
                <w:noProof/>
                <w:sz w:val="20"/>
                <w:szCs w:val="20"/>
                <w:shd w:val="clear" w:color="auto" w:fill="EFEFEF"/>
              </w:rPr>
              <w:t xml:space="preserve">Gebaeude/</w:t>
            </w:r>
            <w:r>
              <w:t xml:space="preserve">, Dialoge in VDI-Struktur; der Altweg bekommt keine Funktion mehr und bleibt dauerhaft als Bestandsweg (E23)</w:t>
            </w:r>
          </w:p>
        </w:tc>
      </w:tr>
      <w:tr>
        <w:tc>
          <w:tcPr>
            <w:tcW w:w="0" w:type="auto"/>
          </w:tcPr>
          <w:p>
            <w:pPr>
              <w:spacing w:after="0" w:line="240" w:lineRule="auto"/>
            </w:pPr>
            <w:r>
              <w:rPr>
                <w:b/>
              </w:rPr>
              <w:t xml:space="preserve">B16</w:t>
            </w:r>
          </w:p>
        </w:tc>
        <w:tc>
          <w:tcPr>
            <w:tcW w:w="0" w:type="auto"/>
          </w:tcPr>
          <w:p>
            <w:pPr>
              <w:spacing w:after="0" w:line="240" w:lineRule="auto"/>
            </w:pPr>
            <w:r>
              <w:t xml:space="preserve">Symmetrie der Kälteseite (E21)</w:t>
            </w:r>
          </w:p>
        </w:tc>
        <w:tc>
          <w:tcPr>
            <w:tcW w:w="0" w:type="auto"/>
          </w:tcPr>
          <w:p>
            <w:pPr>
              <w:spacing w:after="0" w:line="240" w:lineRule="auto"/>
            </w:pPr>
            <w:r>
              <w:t xml:space="preserve">was auf der Wärmeseite als Fassade, Kanal, Kennzahl, Dialogabschnitt, Deckung und Berichtszeile besteht, hat auf der Kälteseite sein Gegenstück — oder eine benannte Ablehnung; ein stiller Rückfall auf die Heizung ist verboten</w:t>
            </w:r>
          </w:p>
        </w:tc>
      </w:tr>
    </w:tbl>
    <w:p>
      <w:pPr>
        <w:spacing w:after="120"/>
      </w:pPr>
    </w:p>
    <w:p>
      <w:pPr>
        <w:pStyle w:val="Heading2"/>
      </w:pPr>
      <w:r>
        <w:t xml:space="preserve">2.4 Komponentenbild</w:t>
      </w:r>
    </w:p>
    <w:p>
      <w:r>
        <w:t xml:space="preserve">Jede </w:t>
      </w:r>
      <w:r>
        <w:rPr>
          <w:b/>
        </w:rPr>
        <w:t xml:space="preserve">durchgezogene</w:t>
      </w:r>
      <w:r>
        <w:t xml:space="preserve"> Kante ist eine Abhängigkeit und zeigt nach innen: </w:t>
      </w:r>
      <w:r>
        <w:rPr>
          <w:rFonts w:ascii="Consolas" w:hAnsi="Consolas" w:cs="Consolas"/>
          <w:noProof/>
          <w:sz w:val="20"/>
          <w:szCs w:val="20"/>
          <w:shd w:val="clear" w:color="auto" w:fill="EFEFEF"/>
        </w:rPr>
        <w:t xml:space="preserve">A --&gt; B</w:t>
      </w:r>
      <w:r>
        <w:t xml:space="preserve"> heißt </w:t>
      </w:r>
      <w:r>
        <w:rPr>
          <w:i/>
        </w:rPr>
        <w:t xml:space="preserve">A kennt B</w:t>
      </w:r>
      <w:r>
        <w:t xml:space="preserve">. </w:t>
      </w:r>
      <w:r>
        <w:rPr>
          <w:b/>
        </w:rPr>
        <w:t xml:space="preserve">Gestrichelte</w:t>
      </w:r>
      <w:r>
        <w:t xml:space="preserve"> Kanten sind keine Abhängigkeiten — sie sind die benannten Nähte und, einmal, ein reiner Datenfluss.</w:t>
      </w:r>
    </w:p>
    <w:p>
      <w:pPr>
        <w:pStyle w:val="Diagrammbild"/>
      </w:pPr>
      <w:r>
        <w:drawing>
          <wp:inline xmlns:wp="http://schemas.openxmlformats.org/drawingml/2006/wordprocessingDrawing" distT="0" distB="0" distL="0" distR="0">
            <wp:extent cx="6120130" cy="4046936"/>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1.png"/>
                    <pic:cNvPicPr/>
                  </pic:nvPicPr>
                  <pic:blipFill>
                    <a:blip xmlns:r="http://schemas.openxmlformats.org/officeDocument/2006/relationships" r:embed="Re908ab9f0c94487b"/>
                    <a:stretch>
                      <a:fillRect/>
                    </a:stretch>
                  </pic:blipFill>
                  <pic:spPr>
                    <a:xfrm>
                      <a:off x="0" y="0"/>
                      <a:ext cx="6120130" cy="4046936"/>
                    </a:xfrm>
                    <a:prstGeom prst="rect">
                      <a:avLst/>
                    </a:prstGeom>
                  </pic:spPr>
                </pic:pic>
              </a:graphicData>
            </a:graphic>
          </wp:inline>
        </w:drawing>
      </w:r>
    </w:p>
    <w:p>
      <w:pPr>
        <w:pStyle w:val="Bildunterschrift"/>
      </w:pPr>
      <w:r>
        <w:rPr>
          <w:i/>
          <w:iCs/>
        </w:rPr>
        <w:t xml:space="preserve">Bild 1: 2.4 Komponentenbild</w:t>
      </w:r>
    </w:p>
    <w:p>
      <w:r>
        <w:rPr>
          <w:b/>
        </w:rPr>
        <w:t xml:space="preserve">Drei Kanten, die es ausdrücklich nicht gibt.</w:t>
      </w:r>
      <w:r>
        <w:t xml:space="preserve"> Die Razor-Komponente kennt die Hülle </w:t>
      </w:r>
      <w:r>
        <w:rPr>
          <w:b/>
        </w:rPr>
        <w:t xml:space="preserve">nicht</w:t>
      </w:r>
      <w:r>
        <w:t xml:space="preserve"> — </w:t>
      </w:r>
      <w:r>
        <w:rPr>
          <w:rFonts w:ascii="Consolas" w:hAnsi="Consolas" w:cs="Consolas"/>
          <w:noProof/>
          <w:sz w:val="20"/>
          <w:szCs w:val="20"/>
          <w:shd w:val="clear" w:color="auto" w:fill="EFEFEF"/>
        </w:rPr>
        <w:t xml:space="preserve">EPOS.UI.Daten</w:t>
      </w:r>
      <w:r>
        <w:t xml:space="preserve"> verweist auf </w:t>
      </w:r>
      <w:r>
        <w:rPr>
          <w:rFonts w:ascii="Consolas" w:hAnsi="Consolas" w:cs="Consolas"/>
          <w:noProof/>
          <w:sz w:val="20"/>
          <w:szCs w:val="20"/>
          <w:shd w:val="clear" w:color="auto" w:fill="EFEFEF"/>
        </w:rPr>
        <w:t xml:space="preserve">EPOS.UI</w:t>
      </w:r>
      <w:r>
        <w:t xml:space="preserve">, nie umgekehrt; der Rückweg im Bild ist der Ergebnis-Record, also Datenfluss. Der </w:t>
      </w:r>
      <w:r>
        <w:rPr>
          <w:b/>
        </w:rPr>
        <w:t xml:space="preserve">Leser</w:t>
      </w:r>
      <w:r>
        <w:t xml:space="preserve"> kennt den Controller nicht: Er füllt ein formatfreies Abbild, das Schreiben macht der Ablauf über den Controller. Und </w:t>
      </w:r>
      <w:r>
        <w:rPr>
          <w:b/>
        </w:rPr>
        <w:t xml:space="preserve">Bericht und Export lesen die Physik</w:t>
      </w:r>
      <w:r>
        <w:t xml:space="preserve">, nicht umgekehrt — die Physik kennt keinen ihrer Abnehmer.</w:t>
      </w:r>
    </w:p>
    <w:p>
      <w:r>
        <w:t xml:space="preserve">Wer welche Frage beantwortet, und welchen Typ er nicht kennen darf:</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Baustein</w:t>
            </w:r>
          </w:p>
        </w:tc>
        <w:tc>
          <w:tcPr>
            <w:tcW w:w="0" w:type="auto"/>
            <w:shd w:val="clear" w:color="auto" w:fill="D9D9D9"/>
          </w:tcPr>
          <w:p>
            <w:pPr>
              <w:spacing w:after="0" w:line="240" w:lineRule="auto"/>
              <w:rPr>
                <w:b/>
              </w:rPr>
            </w:pPr>
            <w:r>
              <w:rPr>
                <w:b/>
              </w:rPr>
              <w:t xml:space="preserve">Beantwortet die Frage</w:t>
            </w:r>
          </w:p>
        </w:tc>
        <w:tc>
          <w:tcPr>
            <w:tcW w:w="0" w:type="auto"/>
            <w:shd w:val="clear" w:color="auto" w:fill="D9D9D9"/>
          </w:tcPr>
          <w:p>
            <w:pPr>
              <w:spacing w:after="0" w:line="240" w:lineRule="auto"/>
              <w:rPr>
                <w:b/>
              </w:rPr>
            </w:pPr>
            <w:r>
              <w:rPr>
                <w:b/>
              </w:rPr>
              <w:t xml:space="preserve">Kennt </w:t>
            </w:r>
            <w:r>
              <w:rPr>
                <w:b/>
              </w:rPr>
              <w:t xml:space="preserve">nicht</w:t>
            </w:r>
          </w:p>
        </w:tc>
      </w:tr>
      <w:tr>
        <w:tc>
          <w:tcPr>
            <w:tcW w:w="0" w:type="auto"/>
          </w:tcPr>
          <w:p>
            <w:pPr>
              <w:spacing w:after="0" w:line="240" w:lineRule="auto"/>
            </w:pPr>
            <w:r>
              <w:rPr>
                <w:b/>
              </w:rPr>
              <w:t xml:space="preserve">Fassade und Vorbereitungsschritt</w:t>
            </w:r>
            <w:r>
              <w:t xml:space="preserve"> (E20)</w:t>
            </w:r>
          </w:p>
        </w:tc>
        <w:tc>
          <w:tcPr>
            <w:tcW w:w="0" w:type="auto"/>
          </w:tcPr>
          <w:p>
            <w:pPr>
              <w:spacing w:after="0" w:line="240" w:lineRule="auto"/>
            </w:pPr>
            <w:r>
              <w:t xml:space="preserve">„Was brauchen </w:t>
            </w:r>
            <w:r>
              <w:rPr>
                <w:b/>
              </w:rPr>
              <w:t xml:space="preserve">beide</w:t>
            </w:r>
            <w:r>
              <w:t xml:space="preserve"> Rechenwege — Bewohner aus der Nutzfläche, Skalierungsfaktor, Klimareihen —, und welches Modul rechnet dieses Gebäude?"</w:t>
            </w:r>
          </w:p>
        </w:tc>
        <w:tc>
          <w:tcPr>
            <w:tcW w:w="0" w:type="auto"/>
          </w:tcPr>
          <w:p>
            <w:pPr>
              <w:spacing w:after="0" w:line="240" w:lineRule="auto"/>
            </w:pPr>
            <w:r>
              <w:t xml:space="preserve">die Physik beider Wege; sie bereitet vor und verzweigt einmal, sie rechnet nicht</w:t>
            </w:r>
          </w:p>
        </w:tc>
      </w:tr>
      <w:tr>
        <w:tc>
          <w:tcPr>
            <w:tcW w:w="0" w:type="auto"/>
          </w:tcPr>
          <w:p>
            <w:pPr>
              <w:spacing w:after="0" w:line="240" w:lineRule="auto"/>
            </w:pPr>
            <w:r>
              <w:rPr>
                <w:b/>
              </w:rPr>
              <w:t xml:space="preserve">Modul </w:t>
            </w:r>
            <w:r>
              <w:rPr>
                <w:rFonts w:ascii="Consolas" w:hAnsi="Consolas" w:cs="Consolas"/>
                <w:b/>
                <w:noProof/>
                <w:sz w:val="20"/>
                <w:szCs w:val="20"/>
                <w:shd w:val="clear" w:color="auto" w:fill="EFEFEF"/>
              </w:rPr>
              <w:t xml:space="preserve">Altweg/</w:t>
            </w:r>
            <w:r>
              <w:t xml:space="preserve"> (Bestandsweg)</w:t>
            </w:r>
          </w:p>
        </w:tc>
        <w:tc>
          <w:tcPr>
            <w:tcW w:w="0" w:type="auto"/>
          </w:tcPr>
          <w:p>
            <w:pPr>
              <w:spacing w:after="0" w:line="240" w:lineRule="auto"/>
            </w:pPr>
            <w:r>
              <w:t xml:space="preserve">„Welchen Tageswert liefert die Tagesbilanz, und wie verteilt sie ihn auf Stunden?"</w:t>
            </w:r>
          </w:p>
        </w:tc>
        <w:tc>
          <w:tcPr>
            <w:tcW w:w="0" w:type="auto"/>
          </w:tcPr>
          <w:p>
            <w:pPr>
              <w:spacing w:after="0" w:line="240" w:lineRule="auto"/>
            </w:pPr>
            <w:r>
              <w:t xml:space="preserve">das VDI-Modul, die neuen Spalten, die Kälteseite — es bekommt keine neue Funktion und bleibt dauerhaft (E23)</w:t>
            </w:r>
          </w:p>
        </w:tc>
      </w:tr>
      <w:tr>
        <w:tc>
          <w:tcPr>
            <w:tcW w:w="0" w:type="auto"/>
          </w:tcPr>
          <w:p>
            <w:pPr>
              <w:spacing w:after="0" w:line="240" w:lineRule="auto"/>
            </w:pPr>
            <w:r>
              <w:rPr>
                <w:b/>
              </w:rPr>
              <w:t xml:space="preserve">Gebäudephysik im Kern</w:t>
            </w:r>
          </w:p>
        </w:tc>
        <w:tc>
          <w:tcPr>
            <w:tcW w:w="0" w:type="auto"/>
          </w:tcPr>
          <w:p>
            <w:pPr>
              <w:spacing w:after="0" w:line="240" w:lineRule="auto"/>
            </w:pPr>
            <w:r>
              <w:t xml:space="preserve">„Welche Heizlast, welche Temperatur, welcher Kühlbedarf entsteht in dieser Stunde?"</w:t>
            </w:r>
          </w:p>
        </w:tc>
        <w:tc>
          <w:tcPr>
            <w:tcW w:w="0" w:type="auto"/>
          </w:tcPr>
          <w:p>
            <w:pPr>
              <w:spacing w:after="0" w:line="240" w:lineRule="auto"/>
            </w:pPr>
            <w:r>
              <w:t xml:space="preserve">Datenbank, </w:t>
            </w:r>
            <w:r>
              <w:rPr>
                <w:rFonts w:ascii="Consolas" w:hAnsi="Consolas" w:cs="Consolas"/>
                <w:noProof/>
                <w:sz w:val="20"/>
                <w:szCs w:val="20"/>
                <w:shd w:val="clear" w:color="auto" w:fill="EFEFEF"/>
              </w:rPr>
              <w:t xml:space="preserve">Dienste.*</w:t>
            </w:r>
            <w:r>
              <w:t xml:space="preserve">, Protokollkanal, Ressourcen, Oberfläche, den Altweg</w:t>
            </w:r>
          </w:p>
        </w:tc>
      </w:tr>
      <w:tr>
        <w:tc>
          <w:tcPr>
            <w:tcW w:w="0" w:type="auto"/>
          </w:tcPr>
          <w:p>
            <w:pPr>
              <w:spacing w:after="0" w:line="240" w:lineRule="auto"/>
            </w:pPr>
            <w:r>
              <w:rPr>
                <w:b/>
              </w:rPr>
              <w:t xml:space="preserve">Eingangsbau</w:t>
            </w:r>
          </w:p>
        </w:tc>
        <w:tc>
          <w:tcPr>
            <w:tcW w:w="0" w:type="auto"/>
          </w:tcPr>
          <w:p>
            <w:pPr>
              <w:spacing w:after="0" w:line="240" w:lineRule="auto"/>
            </w:pPr>
            <w:r>
              <w:t xml:space="preserve">„Wie sehen die 8 760 Randbedingungen dieses Gebäudes aus?"</w:t>
            </w:r>
          </w:p>
        </w:tc>
        <w:tc>
          <w:tcPr>
            <w:tcW w:w="0" w:type="auto"/>
          </w:tcPr>
          <w:p>
            <w:pPr>
              <w:spacing w:after="0" w:line="240" w:lineRule="auto"/>
            </w:pPr>
            <w:r>
              <w:t xml:space="preserve">die Oberfläche; er liest fertige Modelle, nie die Datenbank selbst</w:t>
            </w:r>
          </w:p>
        </w:tc>
      </w:tr>
      <w:tr>
        <w:tc>
          <w:tcPr>
            <w:tcW w:w="0" w:type="auto"/>
          </w:tcPr>
          <w:p>
            <w:pPr>
              <w:spacing w:after="0" w:line="240" w:lineRule="auto"/>
            </w:pPr>
            <w:r>
              <w:rPr>
                <w:b/>
              </w:rPr>
              <w:t xml:space="preserve">Geschwisterprüfung</w:t>
            </w:r>
          </w:p>
        </w:tc>
        <w:tc>
          <w:tcPr>
            <w:tcW w:w="0" w:type="auto"/>
          </w:tcPr>
          <w:p>
            <w:pPr>
              <w:spacing w:after="0" w:line="240" w:lineRule="auto"/>
            </w:pPr>
            <w:r>
              <w:t xml:space="preserve">„Passen Flächen, Hülle, Trennflächen und Luftströme zueinander?"</w:t>
            </w:r>
          </w:p>
        </w:tc>
        <w:tc>
          <w:tcPr>
            <w:tcW w:w="0" w:type="auto"/>
          </w:tcPr>
          <w:p>
            <w:pPr>
              <w:spacing w:after="0" w:line="240" w:lineRule="auto"/>
            </w:pPr>
            <w:r>
              <w:t xml:space="preserve">Anzeigetexte — sie liefert Meldungsschlüssel und invariante Werte</w:t>
            </w:r>
          </w:p>
        </w:tc>
      </w:tr>
      <w:tr>
        <w:tc>
          <w:tcPr>
            <w:tcW w:w="0" w:type="auto"/>
          </w:tcPr>
          <w:p>
            <w:pPr>
              <w:spacing w:after="0" w:line="240" w:lineRule="auto"/>
            </w:pPr>
            <w:r>
              <w:rPr>
                <w:b/>
              </w:rPr>
              <w:t xml:space="preserve">Kern-Controller</w:t>
            </w:r>
          </w:p>
        </w:tc>
        <w:tc>
          <w:tcPr>
            <w:tcW w:w="0" w:type="auto"/>
          </w:tcPr>
          <w:p>
            <w:pPr>
              <w:spacing w:after="0" w:line="240" w:lineRule="auto"/>
            </w:pPr>
            <w:r>
              <w:t xml:space="preserve">„Welche Zeilen stehen in der Datenbank, und wie kommen meine hinein?"</w:t>
            </w:r>
          </w:p>
        </w:tc>
        <w:tc>
          <w:tcPr>
            <w:tcW w:w="0" w:type="auto"/>
          </w:tcPr>
          <w:p>
            <w:pPr>
              <w:spacing w:after="0" w:line="240" w:lineRule="auto"/>
            </w:pPr>
            <w:r>
              <w:t xml:space="preserve">WinForms, Razor, </w:t>
            </w:r>
            <w:r>
              <w:rPr>
                <w:rFonts w:ascii="Consolas" w:hAnsi="Consolas" w:cs="Consolas"/>
                <w:noProof/>
                <w:sz w:val="20"/>
                <w:szCs w:val="20"/>
                <w:shd w:val="clear" w:color="auto" w:fill="EFEFEF"/>
              </w:rPr>
              <w:t xml:space="preserve">MessageBox</w:t>
            </w:r>
            <w:r>
              <w:t xml:space="preserve">, Pfade außerhalb von </w:t>
            </w:r>
            <w:r>
              <w:rPr>
                <w:rFonts w:ascii="Consolas" w:hAnsi="Consolas" w:cs="Consolas"/>
                <w:noProof/>
                <w:sz w:val="20"/>
                <w:szCs w:val="20"/>
                <w:shd w:val="clear" w:color="auto" w:fill="EFEFEF"/>
              </w:rPr>
              <w:t xml:space="preserve">Dienste.*</w:t>
            </w:r>
          </w:p>
        </w:tc>
      </w:tr>
      <w:tr>
        <w:tc>
          <w:tcPr>
            <w:tcW w:w="0" w:type="auto"/>
          </w:tcPr>
          <w:p>
            <w:pPr>
              <w:spacing w:after="0" w:line="240" w:lineRule="auto"/>
            </w:pPr>
            <w:r>
              <w:rPr>
                <w:b/>
              </w:rPr>
              <w:t xml:space="preserve">Hülle</w:t>
            </w:r>
          </w:p>
        </w:tc>
        <w:tc>
          <w:tcPr>
            <w:tcW w:w="0" w:type="auto"/>
          </w:tcPr>
          <w:p>
            <w:pPr>
              <w:spacing w:after="0" w:line="240" w:lineRule="auto"/>
            </w:pPr>
            <w:r>
              <w:t xml:space="preserve">„Wie sieht das DTO dieser Maske aus, welcher Delegat wird gebraucht?"</w:t>
            </w:r>
          </w:p>
        </w:tc>
        <w:tc>
          <w:tcPr>
            <w:tcW w:w="0" w:type="auto"/>
          </w:tcPr>
          <w:p>
            <w:pPr>
              <w:spacing w:after="0" w:line="240" w:lineRule="auto"/>
            </w:pPr>
            <w:r>
              <w:t xml:space="preserve">Fachlogik — sie rechnet nicht, sie ordnet</w:t>
            </w:r>
          </w:p>
        </w:tc>
      </w:tr>
      <w:tr>
        <w:tc>
          <w:tcPr>
            <w:tcW w:w="0" w:type="auto"/>
          </w:tcPr>
          <w:p>
            <w:pPr>
              <w:spacing w:after="0" w:line="240" w:lineRule="auto"/>
            </w:pPr>
            <w:r>
              <w:rPr>
                <w:b/>
              </w:rPr>
              <w:t xml:space="preserve">Razor-Komponente</w:t>
            </w:r>
          </w:p>
        </w:tc>
        <w:tc>
          <w:tcPr>
            <w:tcW w:w="0" w:type="auto"/>
          </w:tcPr>
          <w:p>
            <w:pPr>
              <w:spacing w:after="0" w:line="240" w:lineRule="auto"/>
            </w:pPr>
            <w:r>
              <w:t xml:space="preserve">„Wie wird das dargestellt und bedient?"</w:t>
            </w:r>
          </w:p>
        </w:tc>
        <w:tc>
          <w:tcPr>
            <w:tcW w:w="0" w:type="auto"/>
          </w:tcPr>
          <w:p>
            <w:pPr>
              <w:spacing w:after="0" w:line="240" w:lineRule="auto"/>
            </w:pPr>
            <w:r>
              <w:t xml:space="preserve">Datenbank </w:t>
            </w:r>
            <w:r>
              <w:rPr>
                <w:b/>
              </w:rPr>
              <w:t xml:space="preserve">und</w:t>
            </w:r>
            <w:r>
              <w:t xml:space="preserve"> die Fachklassen des Kerns; sie gibt einen Ergebnis-Record zurück</w:t>
            </w:r>
          </w:p>
        </w:tc>
      </w:tr>
      <w:tr>
        <w:tc>
          <w:tcPr>
            <w:tcW w:w="0" w:type="auto"/>
          </w:tcPr>
          <w:p>
            <w:pPr>
              <w:spacing w:after="0" w:line="240" w:lineRule="auto"/>
            </w:pPr>
            <w:r>
              <w:rPr>
                <w:b/>
              </w:rPr>
              <w:t xml:space="preserve">Zonengeometrie-Modell</w:t>
            </w:r>
            <w:r>
              <w:t xml:space="preserve"> (Kern, plattformfrei)</w:t>
            </w:r>
          </w:p>
        </w:tc>
        <w:tc>
          <w:tcPr>
            <w:tcW w:w="0" w:type="auto"/>
          </w:tcPr>
          <w:p>
            <w:pPr>
              <w:spacing w:after="0" w:line="240" w:lineRule="auto"/>
            </w:pPr>
            <w:r>
              <w:t xml:space="preserve">„Wo liegt welche Zone — welches Polygon, welche Höhe, welches Geschoss, welche Kante trägt welches Bauteil?"</w:t>
            </w:r>
          </w:p>
        </w:tc>
        <w:tc>
          <w:tcPr>
            <w:tcW w:w="0" w:type="auto"/>
          </w:tcPr>
          <w:p>
            <w:pPr>
              <w:spacing w:after="0" w:line="240" w:lineRule="auto"/>
            </w:pPr>
            <w:r>
              <w:t xml:space="preserve">Datenbank, Oberfläche, Dateiformate. Es hat </w:t>
            </w:r>
            <w:r>
              <w:rPr>
                <w:b/>
              </w:rPr>
              <w:t xml:space="preserve">drei Abnehmer</w:t>
            </w:r>
            <w:r>
              <w:t xml:space="preserve"> und rechnet für alle drei dasselbe</w:t>
            </w:r>
          </w:p>
        </w:tc>
      </w:tr>
      <w:tr>
        <w:tc>
          <w:tcPr>
            <w:tcW w:w="0" w:type="auto"/>
          </w:tcPr>
          <w:p>
            <w:pPr>
              <w:spacing w:after="0" w:line="240" w:lineRule="auto"/>
            </w:pPr>
            <w:r>
              <w:rPr>
                <w:b/>
              </w:rPr>
              <w:t xml:space="preserve">Leser und Schreiber</w:t>
            </w:r>
          </w:p>
        </w:tc>
        <w:tc>
          <w:tcPr>
            <w:tcW w:w="0" w:type="auto"/>
          </w:tcPr>
          <w:p>
            <w:pPr>
              <w:spacing w:after="0" w:line="240" w:lineRule="auto"/>
            </w:pPr>
            <w:r>
              <w:t xml:space="preserve">„Was steht in dieser Datei, und wie schreibe ich diese Datei?"</w:t>
            </w:r>
          </w:p>
        </w:tc>
        <w:tc>
          <w:tcPr>
            <w:tcW w:w="0" w:type="auto"/>
          </w:tcPr>
          <w:p>
            <w:pPr>
              <w:spacing w:after="0" w:line="240" w:lineRule="auto"/>
            </w:pPr>
            <w:r>
              <w:t xml:space="preserve">das Zielmodell der Datenbank </w:t>
            </w:r>
            <w:r>
              <w:rPr>
                <w:b/>
              </w:rPr>
              <w:t xml:space="preserve">und den Controller</w:t>
            </w:r>
            <w:r>
              <w:t xml:space="preserve">; die Geometrie </w:t>
            </w:r>
            <w:r>
              <w:rPr>
                <w:b/>
              </w:rPr>
              <w:t xml:space="preserve">lesen</w:t>
            </w:r>
            <w:r>
              <w:t xml:space="preserve"> sie aus dem Zonengeometrie-Modell</w:t>
            </w:r>
          </w:p>
        </w:tc>
      </w:tr>
      <w:tr>
        <w:tc>
          <w:tcPr>
            <w:tcW w:w="0" w:type="auto"/>
          </w:tcPr>
          <w:p>
            <w:pPr>
              <w:spacing w:after="0" w:line="240" w:lineRule="auto"/>
            </w:pPr>
            <w:r>
              <w:rPr>
                <w:b/>
              </w:rPr>
              <w:t xml:space="preserve">Bericht, Kennzahlen und Referenzlauf-Export</w:t>
            </w:r>
          </w:p>
        </w:tc>
        <w:tc>
          <w:tcPr>
            <w:tcW w:w="0" w:type="auto"/>
          </w:tcPr>
          <w:p>
            <w:pPr>
              <w:spacing w:after="0" w:line="240" w:lineRule="auto"/>
            </w:pPr>
            <w:r>
              <w:t xml:space="preserve">„Welche Zahl je Gebäude bzw. je Zone geht hinaus, unter welchem Schlüssel und in welcher Einheit?"</w:t>
            </w:r>
          </w:p>
        </w:tc>
        <w:tc>
          <w:tcPr>
            <w:tcW w:w="0" w:type="auto"/>
          </w:tcPr>
          <w:p>
            <w:pPr>
              <w:spacing w:after="0" w:line="240" w:lineRule="auto"/>
            </w:pPr>
            <w:r>
              <w:t xml:space="preserve">die Datenbank als Ziel — sie lesen die Physik, die Physik kennt sie nicht</w:t>
            </w:r>
          </w:p>
        </w:tc>
      </w:tr>
      <w:tr>
        <w:tc>
          <w:tcPr>
            <w:tcW w:w="0" w:type="auto"/>
          </w:tcPr>
          <w:p>
            <w:pPr>
              <w:spacing w:after="0" w:line="240" w:lineRule="auto"/>
            </w:pPr>
            <w:r>
              <w:rPr>
                <w:b/>
              </w:rPr>
              <w:t xml:space="preserve">Schema-Klasse</w:t>
            </w:r>
          </w:p>
        </w:tc>
        <w:tc>
          <w:tcPr>
            <w:tcW w:w="0" w:type="auto"/>
          </w:tcPr>
          <w:p>
            <w:pPr>
              <w:spacing w:after="0" w:line="240" w:lineRule="auto"/>
            </w:pPr>
            <w:r>
              <w:t xml:space="preserve">„Welche Spalten und Tabellen gehören zu dieser Familie?"</w:t>
            </w:r>
          </w:p>
        </w:tc>
        <w:tc>
          <w:tcPr>
            <w:tcW w:w="0" w:type="auto"/>
          </w:tcPr>
          <w:p>
            <w:pPr>
              <w:spacing w:after="0" w:line="240" w:lineRule="auto"/>
            </w:pPr>
            <w:r>
              <w:t xml:space="preserve">Fachrechnung</w:t>
            </w:r>
          </w:p>
        </w:tc>
      </w:tr>
      <w:tr>
        <w:tc>
          <w:tcPr>
            <w:tcW w:w="0" w:type="auto"/>
          </w:tcPr>
          <w:p>
            <w:pPr>
              <w:spacing w:after="0" w:line="240" w:lineRule="auto"/>
            </w:pPr>
            <w:r>
              <w:rPr>
                <w:b/>
              </w:rPr>
              <w:t xml:space="preserve">Schale</w:t>
            </w:r>
          </w:p>
        </w:tc>
        <w:tc>
          <w:tcPr>
            <w:tcW w:w="0" w:type="auto"/>
          </w:tcPr>
          <w:p>
            <w:pPr>
              <w:spacing w:after="0" w:line="240" w:lineRule="auto"/>
            </w:pPr>
            <w:r>
              <w:t xml:space="preserve">„Wie sieht ein Fenster aus, wo liegt eine Datei, welches Paket ist da?"</w:t>
            </w:r>
          </w:p>
        </w:tc>
        <w:tc>
          <w:tcPr>
            <w:tcW w:w="0" w:type="auto"/>
          </w:tcPr>
          <w:p>
            <w:pPr>
              <w:spacing w:after="0" w:line="240" w:lineRule="auto"/>
            </w:pPr>
            <w:r>
              <w:t xml:space="preserve">alles Fachliche</w:t>
            </w:r>
          </w:p>
        </w:tc>
      </w:tr>
    </w:tbl>
    <w:p>
      <w:pPr>
        <w:spacing w:after="120"/>
      </w:pPr>
    </w:p>
    <w:p>
      <w:pPr>
        <w:pStyle w:val="Heading2"/>
      </w:pPr>
      <w:r>
        <w:t xml:space="preserve">2.5 Datenfluss des Laufs</w:t>
      </w:r>
    </w:p>
    <w:p>
      <w:pPr>
        <w:pStyle w:val="Diagrammbild"/>
      </w:pPr>
      <w:r>
        <w:drawing>
          <wp:inline xmlns:wp="http://schemas.openxmlformats.org/drawingml/2006/wordprocessingDrawing" distT="0" distB="0" distL="0" distR="0">
            <wp:extent cx="6120130" cy="2444227"/>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2.png"/>
                    <pic:cNvPicPr/>
                  </pic:nvPicPr>
                  <pic:blipFill>
                    <a:blip xmlns:r="http://schemas.openxmlformats.org/officeDocument/2006/relationships" r:embed="R7ee1fe2dd52a440c"/>
                    <a:stretch>
                      <a:fillRect/>
                    </a:stretch>
                  </pic:blipFill>
                  <pic:spPr>
                    <a:xfrm>
                      <a:off x="0" y="0"/>
                      <a:ext cx="6120130" cy="2444227"/>
                    </a:xfrm>
                    <a:prstGeom prst="rect">
                      <a:avLst/>
                    </a:prstGeom>
                  </pic:spPr>
                </pic:pic>
              </a:graphicData>
            </a:graphic>
          </wp:inline>
        </w:drawing>
      </w:r>
    </w:p>
    <w:p>
      <w:pPr>
        <w:pStyle w:val="Bildunterschrift"/>
      </w:pPr>
      <w:r>
        <w:rPr>
          <w:i/>
          <w:iCs/>
        </w:rPr>
        <w:t xml:space="preserve">Bild 2: 2.5 Datenfluss des Laufs</w:t>
      </w:r>
    </w:p>
    <w:p>
      <w:r>
        <w:t xml:space="preserve">Fünf Sätze halten diesen Fluss zusammen. Der Puffer bleibt ein </w:t>
      </w:r>
      <w:r>
        <w:rPr>
          <w:rFonts w:ascii="Consolas" w:hAnsi="Consolas" w:cs="Consolas"/>
          <w:noProof/>
          <w:sz w:val="20"/>
          <w:szCs w:val="20"/>
          <w:shd w:val="clear" w:color="auto" w:fill="EFEFEF"/>
        </w:rPr>
        <w:t xml:space="preserve">double[8760]</w:t>
      </w:r>
      <w:r>
        <w:t xml:space="preserve"> in </w:t>
      </w:r>
      <w:r>
        <w:rPr>
          <w:b/>
        </w:rPr>
        <w:t xml:space="preserve">Watt</w:t>
      </w:r>
      <w:r>
        <w:t xml:space="preserve">; die Umrechnung nach kW geschieht dort, wo sie heute geschieht. Die </w:t>
      </w:r>
      <w:r>
        <w:rPr>
          <w:b/>
        </w:rPr>
        <w:t xml:space="preserve">Auskunft ruft den Rechenweg des Laufs</w:t>
      </w:r>
      <w:r>
        <w:t xml:space="preserve"> und schreibt ihn nicht ab — das ist die Bedingung dafür, dass Vorschau und Bericht nie auseinanderlaufen; neu ist allein ein vierter Parameter für den erzwungenen Rechenweg, der nur auf der gelesenen Instanz wirkt und nichts schreibt. </w:t>
      </w:r>
      <w:r>
        <w:rPr>
          <w:b/>
        </w:rPr>
        <w:t xml:space="preserve">Es gibt genau eine Weiche</w:t>
      </w:r>
      <w:r>
        <w:t xml:space="preserve"> (E20): Was beide Wege brauchen — Bewohnerzahl aus der Nutzfläche, Skalierungsfaktor nach E8, Klimareihen —, stellt der modellfreie Vorbereitungsschritt </w:t>
      </w:r>
      <w:r>
        <w:rPr>
          <w:b/>
        </w:rPr>
        <w:t xml:space="preserve">vor</w:t>
      </w:r>
      <w:r>
        <w:t xml:space="preserve"> ihr bereit; damit kann die Verhältnisrechnung keine zwei Wege mehr mischen. Keiner der beiden Wege ruft den anderen: Das Stundenmodell erbt keine Vorbedingung des Altwegs und scheitert nicht an einer fehlenden Tagesverteilung, die es nicht braucht. Und </w:t>
      </w:r>
      <w:r>
        <w:rPr>
          <w:b/>
        </w:rPr>
        <w:t xml:space="preserve">Heiz- und Kühllast fallen in einem Lauf des VDI-Moduls an</w:t>
      </w:r>
      <w:r>
        <w:t xml:space="preserve"> (E21) — die Kälteseite ist keine zweite Rechnung, sondern dieselbe Stunde, anders vorzeichenbehaftet und in einen eigenen Kanal geschrieben.</w:t>
      </w:r>
    </w:p>
    <w:p>
      <w:pPr>
        <w:pStyle w:val="Heading2"/>
      </w:pPr>
      <w:r>
        <w:t xml:space="preserve">2.6 Speicherung</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Gegenstand</w:t>
            </w:r>
          </w:p>
        </w:tc>
        <w:tc>
          <w:tcPr>
            <w:tcW w:w="0" w:type="auto"/>
            <w:shd w:val="clear" w:color="auto" w:fill="D9D9D9"/>
          </w:tcPr>
          <w:p>
            <w:pPr>
              <w:spacing w:after="0" w:line="240" w:lineRule="auto"/>
              <w:rPr>
                <w:b/>
              </w:rPr>
            </w:pPr>
            <w:r>
              <w:rPr>
                <w:b/>
              </w:rPr>
              <w:t xml:space="preserve">Ablage</w:t>
            </w:r>
          </w:p>
        </w:tc>
        <w:tc>
          <w:tcPr>
            <w:tcW w:w="0" w:type="auto"/>
            <w:shd w:val="clear" w:color="auto" w:fill="D9D9D9"/>
          </w:tcPr>
          <w:p>
            <w:pPr>
              <w:spacing w:after="0" w:line="240" w:lineRule="auto"/>
              <w:rPr>
                <w:b/>
              </w:rPr>
            </w:pPr>
            <w:r>
              <w:rPr>
                <w:b/>
              </w:rPr>
              <w:t xml:space="preserve">Begründung</w:t>
            </w:r>
          </w:p>
        </w:tc>
      </w:tr>
      <w:tr>
        <w:tc>
          <w:tcPr>
            <w:tcW w:w="0" w:type="auto"/>
          </w:tcPr>
          <w:p>
            <w:pPr>
              <w:spacing w:after="0" w:line="240" w:lineRule="auto"/>
            </w:pPr>
            <w:r>
              <w:t xml:space="preserve">Gebäudeeingaben</w:t>
            </w:r>
          </w:p>
        </w:tc>
        <w:tc>
          <w:tcPr>
            <w:tcW w:w="0" w:type="auto"/>
          </w:tcPr>
          <w:p>
            <w:pPr>
              <w:spacing w:after="0" w:line="240" w:lineRule="auto"/>
            </w:pPr>
            <w:r>
              <w:rPr>
                <w:rFonts w:ascii="Consolas" w:hAnsi="Consolas" w:cs="Consolas"/>
                <w:noProof/>
                <w:sz w:val="20"/>
                <w:szCs w:val="20"/>
                <w:shd w:val="clear" w:color="auto" w:fill="EFEFEF"/>
              </w:rPr>
              <w:t xml:space="preserve">Tab_Gebaeude</w:t>
            </w:r>
            <w:r>
              <w:t xml:space="preserve"> und </w:t>
            </w:r>
            <w:r>
              <w:rPr>
                <w:rFonts w:ascii="Consolas" w:hAnsi="Consolas" w:cs="Consolas"/>
                <w:noProof/>
                <w:sz w:val="20"/>
                <w:szCs w:val="20"/>
                <w:shd w:val="clear" w:color="auto" w:fill="EFEFEF"/>
              </w:rPr>
              <w:t xml:space="preserve">Tab_Gebaeude_STAMM</w:t>
            </w:r>
          </w:p>
        </w:tc>
        <w:tc>
          <w:tcPr>
            <w:tcW w:w="0" w:type="auto"/>
          </w:tcPr>
          <w:p>
            <w:pPr>
              <w:spacing w:after="0" w:line="240" w:lineRule="auto"/>
            </w:pPr>
            <w:r>
              <w:t xml:space="preserve">Eingaben gehören zum Projekt und zum Katalog</w:t>
            </w:r>
          </w:p>
        </w:tc>
      </w:tr>
      <w:tr>
        <w:tc>
          <w:tcPr>
            <w:tcW w:w="0" w:type="auto"/>
          </w:tcPr>
          <w:p>
            <w:pPr>
              <w:spacing w:after="0" w:line="240" w:lineRule="auto"/>
            </w:pPr>
            <w:r>
              <w:t xml:space="preserve">Stündliche Klimagrößen (Gegenstrahlung, Wind, Luftfeuchte)</w:t>
            </w:r>
          </w:p>
        </w:tc>
        <w:tc>
          <w:tcPr>
            <w:tcW w:w="0" w:type="auto"/>
          </w:tcPr>
          <w:p>
            <w:pPr>
              <w:spacing w:after="0" w:line="240" w:lineRule="auto"/>
            </w:pPr>
            <w:r>
              <w:rPr>
                <w:rFonts w:ascii="Consolas" w:hAnsi="Consolas" w:cs="Consolas"/>
                <w:noProof/>
                <w:sz w:val="20"/>
                <w:szCs w:val="20"/>
                <w:shd w:val="clear" w:color="auto" w:fill="EFEFEF"/>
              </w:rPr>
              <w:t xml:space="preserve">Tab_Solar</w:t>
            </w:r>
            <w:r>
              <w:t xml:space="preserve"> und </w:t>
            </w:r>
            <w:r>
              <w:rPr>
                <w:rFonts w:ascii="Consolas" w:hAnsi="Consolas" w:cs="Consolas"/>
                <w:noProof/>
                <w:sz w:val="20"/>
                <w:szCs w:val="20"/>
                <w:shd w:val="clear" w:color="auto" w:fill="EFEFEF"/>
              </w:rPr>
              <w:t xml:space="preserve">Tab_Solar_STAMM</w:t>
            </w:r>
          </w:p>
        </w:tc>
        <w:tc>
          <w:tcPr>
            <w:tcW w:w="0" w:type="auto"/>
          </w:tcPr>
          <w:p>
            <w:pPr>
              <w:spacing w:after="0" w:line="240" w:lineRule="auto"/>
            </w:pPr>
            <w:r>
              <w:rPr>
                <w:b/>
              </w:rPr>
              <w:t xml:space="preserve">Eingaben</w:t>
            </w:r>
            <w:r>
              <w:t xml:space="preserve">, wie die vorhandenen Klimareihen</w:t>
            </w:r>
          </w:p>
        </w:tc>
      </w:tr>
      <w:tr>
        <w:tc>
          <w:tcPr>
            <w:tcW w:w="0" w:type="auto"/>
          </w:tcPr>
          <w:p>
            <w:pPr>
              <w:spacing w:after="0" w:line="240" w:lineRule="auto"/>
            </w:pPr>
            <w:r>
              <w:t xml:space="preserve">Bauteilkatalog (Baustoffe, Aufbauten, Schichten)</w:t>
            </w:r>
          </w:p>
        </w:tc>
        <w:tc>
          <w:tcPr>
            <w:tcW w:w="0" w:type="auto"/>
          </w:tcPr>
          <w:p>
            <w:pPr>
              <w:spacing w:after="0" w:line="240" w:lineRule="auto"/>
            </w:pPr>
            <w:r>
              <w:t xml:space="preserve">je Familie Katalog </w:t>
            </w:r>
            <w:r>
              <w:rPr>
                <w:b/>
              </w:rPr>
              <w:t xml:space="preserve">und</w:t>
            </w:r>
            <w:r>
              <w:t xml:space="preserve"> Projektkopie</w:t>
            </w:r>
          </w:p>
        </w:tc>
        <w:tc>
          <w:tcPr>
            <w:tcW w:w="0" w:type="auto"/>
          </w:tcPr>
          <w:p>
            <w:pPr>
              <w:spacing w:after="0" w:line="240" w:lineRule="auto"/>
            </w:pPr>
            <w:r>
              <w:t xml:space="preserve">Auslieferungskatalog und projekteigene Abwandlung</w:t>
            </w:r>
          </w:p>
        </w:tc>
      </w:tr>
      <w:tr>
        <w:tc>
          <w:tcPr>
            <w:tcW w:w="0" w:type="auto"/>
          </w:tcPr>
          <w:p>
            <w:pPr>
              <w:spacing w:after="0" w:line="240" w:lineRule="auto"/>
            </w:pPr>
            <w:r>
              <w:t xml:space="preserve">Zonen, Bauteile, Luftströme</w:t>
            </w:r>
          </w:p>
        </w:tc>
        <w:tc>
          <w:tcPr>
            <w:tcW w:w="0" w:type="auto"/>
          </w:tcPr>
          <w:p>
            <w:pPr>
              <w:spacing w:after="0" w:line="240" w:lineRule="auto"/>
            </w:pPr>
            <w:r>
              <w:t xml:space="preserve">Projekttabellen am Gebäude</w:t>
            </w:r>
          </w:p>
        </w:tc>
        <w:tc>
          <w:tcPr>
            <w:tcW w:w="0" w:type="auto"/>
          </w:tcPr>
          <w:p>
            <w:pPr>
              <w:spacing w:after="0" w:line="240" w:lineRule="auto"/>
            </w:pPr>
            <w:r>
              <w:t xml:space="preserve">eine Zone ist Projektware; einen Zonenkatalog gibt es nicht</w:t>
            </w:r>
          </w:p>
        </w:tc>
      </w:tr>
      <w:tr>
        <w:tc>
          <w:tcPr>
            <w:tcW w:w="0" w:type="auto"/>
          </w:tcPr>
          <w:p>
            <w:pPr>
              <w:spacing w:after="0" w:line="240" w:lineRule="auto"/>
            </w:pPr>
            <w:r>
              <w:t xml:space="preserve">Importherkunft (Quelle je Lauf, Paarung je Zeile)</w:t>
            </w:r>
          </w:p>
        </w:tc>
        <w:tc>
          <w:tcPr>
            <w:tcW w:w="0" w:type="auto"/>
          </w:tcPr>
          <w:p>
            <w:pPr>
              <w:spacing w:after="0" w:line="240" w:lineRule="auto"/>
            </w:pPr>
            <w:r>
              <w:t xml:space="preserve">zwei Projekttabellen</w:t>
            </w:r>
          </w:p>
        </w:tc>
        <w:tc>
          <w:tcPr>
            <w:tcW w:w="0" w:type="auto"/>
          </w:tcPr>
          <w:p>
            <w:pPr>
              <w:spacing w:after="0" w:line="240" w:lineRule="auto"/>
            </w:pPr>
            <w:r>
              <w:t xml:space="preserve">ohne sie findet der Round-Trip nichts wieder</w:t>
            </w:r>
          </w:p>
        </w:tc>
      </w:tr>
      <w:tr>
        <w:tc>
          <w:tcPr>
            <w:tcW w:w="0" w:type="auto"/>
          </w:tcPr>
          <w:p>
            <w:pPr>
              <w:spacing w:after="0" w:line="240" w:lineRule="auto"/>
            </w:pPr>
            <w:r>
              <w:rPr>
                <w:b/>
              </w:rPr>
              <w:t xml:space="preserve">Ergebnis-Zeitreihen</w:t>
            </w:r>
          </w:p>
        </w:tc>
        <w:tc>
          <w:tcPr>
            <w:tcW w:w="0" w:type="auto"/>
          </w:tcPr>
          <w:p>
            <w:pPr>
              <w:spacing w:after="0" w:line="240" w:lineRule="auto"/>
            </w:pPr>
            <w:r>
              <w:rPr>
                <w:b/>
              </w:rPr>
              <w:t xml:space="preserve">nicht in die Datenbank</w:t>
            </w:r>
          </w:p>
        </w:tc>
        <w:tc>
          <w:tcPr>
            <w:tcW w:w="0" w:type="auto"/>
          </w:tcPr>
          <w:p>
            <w:pPr>
              <w:spacing w:after="0" w:line="240" w:lineRule="auto"/>
            </w:pPr>
            <w:r>
              <w:t xml:space="preserve">siehe unten</w:t>
            </w:r>
          </w:p>
        </w:tc>
      </w:tr>
      <w:tr>
        <w:tc>
          <w:tcPr>
            <w:tcW w:w="0" w:type="auto"/>
          </w:tcPr>
          <w:p>
            <w:pPr>
              <w:spacing w:after="0" w:line="240" w:lineRule="auto"/>
            </w:pPr>
            <w:r>
              <w:t xml:space="preserve">Ergebnis-Kennzahlen je Gebäude</w:t>
            </w:r>
          </w:p>
        </w:tc>
        <w:tc>
          <w:tcPr>
            <w:tcW w:w="0" w:type="auto"/>
          </w:tcPr>
          <w:p>
            <w:pPr>
              <w:spacing w:after="0" w:line="240" w:lineRule="auto"/>
            </w:pPr>
            <w:r>
              <w:t xml:space="preserve">CSV des Laufs und Bericht</w:t>
            </w:r>
          </w:p>
        </w:tc>
        <w:tc>
          <w:tcPr>
            <w:tcW w:w="0" w:type="auto"/>
          </w:tcPr>
          <w:p>
            <w:pPr>
              <w:spacing w:after="0" w:line="240" w:lineRule="auto"/>
            </w:pPr>
            <w:r>
              <w:t xml:space="preserve">die Ergebnistabelle des Bestands ist einzeilig je Lauf</w:t>
            </w:r>
          </w:p>
        </w:tc>
      </w:tr>
    </w:tbl>
    <w:p>
      <w:pPr>
        <w:spacing w:after="120"/>
      </w:pPr>
    </w:p>
    <w:p>
      <w:r>
        <w:rPr>
          <w:b/>
        </w:rPr>
        <w:t xml:space="preserve">Warum keine Ergebnisreihe in die Datenbank kommt</w:t>
      </w:r>
      <w:r>
        <w:t xml:space="preserve"> — drei Gründe, jeder für sich tragend: keine der siebzehn Ergebnistabellen hält heute eine Stundenreihe, Stundenreihen liegen im Bestand ausschließlich als Eingaben; vier Reihen je Zone persistiert wären bei einem Projekt mit 150 Zonen rund </w:t>
      </w:r>
      <w:r>
        <w:rPr>
          <w:b/>
        </w:rPr>
        <w:t xml:space="preserve">5,3 Millionen Zeilen und etwa 150 MB je Lauf</w:t>
      </w:r>
      <w:r>
        <w:t xml:space="preserve">, womit die Sicherung im laufenden Betrieb praktisch unbrauchbar wäre; und der Nachweisweg braucht sie nicht, weil der Referenzlauf CSV vergleicht. Alles, was persistiert wird, bleibt im ungünstigen Fall bei rund </w:t>
      </w:r>
      <w:r>
        <w:rPr>
          <w:b/>
        </w:rPr>
        <w:t xml:space="preserve">3 500 Zeilen je Projekt</w:t>
      </w:r>
      <w:r>
        <w:t xml:space="preserve">, also 0,2 bis 0,4 MB.</w:t>
      </w:r>
    </w:p>
    <w:p>
      <w:pPr>
        <w:pStyle w:val="Heading2"/>
      </w:pPr>
      <w:r>
        <w:t xml:space="preserve">2.7 Skalierung und Leistung</w:t>
      </w:r>
    </w:p>
    <w:tbl>
      <w:tblPr>
        <w:tblStyle w:val="TableGrid"/>
        <w:tblW w:w="5000" w:type="pct"/>
        <w:tblLayout w:type="autofit"/>
        <w:tblLook w:val="04A0" w:firstRow="true" w:lastRow="false" w:firstColumn="false" w:lastColumn="false" w:noHBand="false" w:noVBand="true"/>
      </w:tblPr>
      <w:tblGrid>
        <w:gridCol w:w="4819"/>
        <w:gridCol w:w="4819"/>
      </w:tblGrid>
      <w:tr>
        <w:trPr>
          <w:tblHeader/>
        </w:trPr>
        <w:tc>
          <w:tcPr>
            <w:tcW w:w="0" w:type="auto"/>
            <w:shd w:val="clear" w:color="auto" w:fill="D9D9D9"/>
          </w:tcPr>
          <w:p>
            <w:pPr>
              <w:spacing w:after="0" w:line="240" w:lineRule="auto"/>
              <w:rPr>
                <w:b/>
              </w:rPr>
            </w:pPr>
            <w:r>
              <w:rPr>
                <w:b/>
              </w:rPr>
              <w:t xml:space="preserve">Größe</w:t>
            </w:r>
          </w:p>
        </w:tc>
        <w:tc>
          <w:tcPr>
            <w:tcW w:w="0" w:type="auto"/>
            <w:shd w:val="clear" w:color="auto" w:fill="D9D9D9"/>
          </w:tcPr>
          <w:p>
            <w:pPr>
              <w:spacing w:after="0" w:line="240" w:lineRule="auto"/>
              <w:rPr>
                <w:b/>
              </w:rPr>
            </w:pPr>
            <w:r>
              <w:rPr>
                <w:b/>
              </w:rPr>
              <w:t xml:space="preserve">Wert</w:t>
            </w:r>
          </w:p>
        </w:tc>
      </w:tr>
      <w:tr>
        <w:tc>
          <w:tcPr>
            <w:tcW w:w="0" w:type="auto"/>
          </w:tcPr>
          <w:p>
            <w:pPr>
              <w:spacing w:after="0" w:line="240" w:lineRule="auto"/>
            </w:pPr>
            <w:r>
              <w:t xml:space="preserve">Voller Basislauf heute (13 Projekte, 15 Gebäudezeilen)</w:t>
            </w:r>
          </w:p>
        </w:tc>
        <w:tc>
          <w:tcPr>
            <w:tcW w:w="0" w:type="auto"/>
          </w:tcPr>
          <w:p>
            <w:pPr>
              <w:spacing w:after="0" w:line="240" w:lineRule="auto"/>
            </w:pPr>
            <w:r>
              <w:rPr>
                <w:b/>
              </w:rPr>
              <w:t xml:space="preserve">4 s</w:t>
            </w:r>
          </w:p>
        </w:tc>
      </w:tr>
      <w:tr>
        <w:tc>
          <w:tcPr>
            <w:tcW w:w="0" w:type="auto"/>
          </w:tcPr>
          <w:p>
            <w:pPr>
              <w:spacing w:after="0" w:line="240" w:lineRule="auto"/>
            </w:pPr>
            <w:r>
              <w:t xml:space="preserve">Ein Gebäudejahr im Stundenmodell, eingeschwungen</w:t>
            </w:r>
          </w:p>
        </w:tc>
        <w:tc>
          <w:tcPr>
            <w:tcW w:w="0" w:type="auto"/>
          </w:tcPr>
          <w:p>
            <w:pPr>
              <w:spacing w:after="0" w:line="240" w:lineRule="auto"/>
            </w:pPr>
            <w:r>
              <w:rPr>
                <w:b/>
              </w:rPr>
              <w:t xml:space="preserve">Median 5,09 ms</w:t>
            </w:r>
            <w:r>
              <w:t xml:space="preserve">, Spanne 4,5–9,1 ms über 15 Gebäude, 9 480 Schritte einschließlich Vorlauf</w:t>
            </w:r>
          </w:p>
        </w:tc>
      </w:tr>
      <w:tr>
        <w:tc>
          <w:tcPr>
            <w:tcW w:w="0" w:type="auto"/>
          </w:tcPr>
          <w:p>
            <w:pPr>
              <w:spacing w:after="0" w:line="240" w:lineRule="auto"/>
            </w:pPr>
            <w:r>
              <w:t xml:space="preserve">Planungsgröße</w:t>
            </w:r>
          </w:p>
        </w:tc>
        <w:tc>
          <w:tcPr>
            <w:tcW w:w="0" w:type="auto"/>
          </w:tcPr>
          <w:p>
            <w:pPr>
              <w:spacing w:after="0" w:line="240" w:lineRule="auto"/>
            </w:pPr>
            <w:r>
              <w:rPr>
                <w:b/>
              </w:rPr>
              <w:t xml:space="preserve">10 ms</w:t>
            </w:r>
            <w:r>
              <w:t xml:space="preserve"> je Gebäude und Jahr, dazu einmalig rund 0,25 s Anlauf je Prozess</w:t>
            </w:r>
          </w:p>
        </w:tc>
      </w:tr>
      <w:tr>
        <w:tc>
          <w:tcPr>
            <w:tcW w:w="0" w:type="auto"/>
          </w:tcPr>
          <w:p>
            <w:pPr>
              <w:spacing w:after="0" w:line="240" w:lineRule="auto"/>
            </w:pPr>
            <w:r>
              <w:t xml:space="preserve">Zuwachs im CI-Lauf (5 Projekte, 4 Gebäude)</w:t>
            </w:r>
          </w:p>
        </w:tc>
        <w:tc>
          <w:tcPr>
            <w:tcW w:w="0" w:type="auto"/>
          </w:tcPr>
          <w:p>
            <w:pPr>
              <w:spacing w:after="0" w:line="240" w:lineRule="auto"/>
            </w:pPr>
            <w:r>
              <w:t xml:space="preserve">0,02 s bei 5 ms, </w:t>
            </w:r>
            <w:r>
              <w:rPr>
                <w:b/>
              </w:rPr>
              <w:t xml:space="preserve">0,04 s</w:t>
            </w:r>
            <w:r>
              <w:t xml:space="preserve"> bei 10 ms</w:t>
            </w:r>
          </w:p>
        </w:tc>
      </w:tr>
      <w:tr>
        <w:tc>
          <w:tcPr>
            <w:tcW w:w="0" w:type="auto"/>
          </w:tcPr>
          <w:p>
            <w:pPr>
              <w:spacing w:after="0" w:line="240" w:lineRule="auto"/>
            </w:pPr>
            <w:r>
              <w:t xml:space="preserve">Zuwachs im Basislauf (13 Projekte, 15 Gebäude)</w:t>
            </w:r>
          </w:p>
        </w:tc>
        <w:tc>
          <w:tcPr>
            <w:tcW w:w="0" w:type="auto"/>
          </w:tcPr>
          <w:p>
            <w:pPr>
              <w:spacing w:after="0" w:line="240" w:lineRule="auto"/>
            </w:pPr>
            <w:r>
              <w:t xml:space="preserve">0,08 s bei 5 ms, </w:t>
            </w:r>
            <w:r>
              <w:rPr>
                <w:b/>
              </w:rPr>
              <w:t xml:space="preserve">0,15 s</w:t>
            </w:r>
            <w:r>
              <w:t xml:space="preserve"> bei 10 ms</w:t>
            </w:r>
          </w:p>
        </w:tc>
      </w:tr>
      <w:tr>
        <w:tc>
          <w:tcPr>
            <w:tcW w:w="0" w:type="auto"/>
          </w:tcPr>
          <w:p>
            <w:pPr>
              <w:spacing w:after="0" w:line="240" w:lineRule="auto"/>
            </w:pPr>
            <w:r>
              <w:t xml:space="preserve">Ein Projekt mit 100 Gebäuden</w:t>
            </w:r>
          </w:p>
        </w:tc>
        <w:tc>
          <w:tcPr>
            <w:tcW w:w="0" w:type="auto"/>
          </w:tcPr>
          <w:p>
            <w:pPr>
              <w:spacing w:after="0" w:line="240" w:lineRule="auto"/>
            </w:pPr>
            <w:r>
              <w:t xml:space="preserve">0,5 bis 1,0 s</w:t>
            </w:r>
          </w:p>
        </w:tc>
      </w:tr>
      <w:tr>
        <w:tc>
          <w:tcPr>
            <w:tcW w:w="0" w:type="auto"/>
          </w:tcPr>
          <w:p>
            <w:pPr>
              <w:spacing w:after="0" w:line="240" w:lineRule="auto"/>
            </w:pPr>
            <w:r>
              <w:t xml:space="preserve">Zonen</w:t>
            </w:r>
          </w:p>
        </w:tc>
        <w:tc>
          <w:tcPr>
            <w:tcW w:w="0" w:type="auto"/>
          </w:tcPr>
          <w:p>
            <w:pPr>
              <w:spacing w:after="0" w:line="240" w:lineRule="auto"/>
            </w:pPr>
            <w:r>
              <w:t xml:space="preserve">N × 5 ms je Zone, dazu die Durchläufe der Kopplung je Stunde </w:t>
            </w:r>
            <w:r>
              <w:rPr>
                <w:b/>
              </w:rPr>
              <w:t xml:space="preserve">und der ungekoppelte adiabate Vorlauf</w:t>
            </w:r>
            <w:r>
              <w:t xml:space="preserve">, aus dem die 4-K-Zuordnung fällt (ein Durchlauf je Zone, rund 0,25 s bei 50 Zonen)</w:t>
            </w:r>
          </w:p>
        </w:tc>
      </w:tr>
      <w:tr>
        <w:tc>
          <w:tcPr>
            <w:tcW w:w="0" w:type="auto"/>
          </w:tcPr>
          <w:p>
            <w:pPr>
              <w:spacing w:after="0" w:line="240" w:lineRule="auto"/>
            </w:pPr>
            <w:r>
              <w:rPr>
                <w:b/>
              </w:rPr>
              <w:t xml:space="preserve">Ein Gebäudejahr mit 50 Zonen, alles zusammen</w:t>
            </w:r>
          </w:p>
        </w:tc>
        <w:tc>
          <w:tcPr>
            <w:tcW w:w="0" w:type="auto"/>
          </w:tcPr>
          <w:p>
            <w:pPr>
              <w:spacing w:after="0" w:line="240" w:lineRule="auto"/>
            </w:pPr>
            <w:r>
              <w:rPr>
                <w:b/>
              </w:rPr>
              <w:t xml:space="preserve">1,1–2,0 s</w:t>
            </w:r>
            <w:r>
              <w:t xml:space="preserve"> — weit über der Planungsgröße, </w:t>
            </w:r>
            <w:r>
              <w:rPr>
                <w:b/>
              </w:rPr>
              <w:t xml:space="preserve">benannt ausgenommen</w:t>
            </w:r>
            <w:r>
              <w:t xml:space="preserve"> (N3), weil es nur bei Mehrzonengebäuden anfällt</w:t>
            </w:r>
          </w:p>
        </w:tc>
      </w:tr>
      <w:tr>
        <w:tc>
          <w:tcPr>
            <w:tcW w:w="0" w:type="auto"/>
          </w:tcPr>
          <w:p>
            <w:pPr>
              <w:spacing w:after="0" w:line="240" w:lineRule="auto"/>
            </w:pPr>
            <w:r>
              <w:t xml:space="preserve">Neue Zeilen je Zonenprojekt</w:t>
            </w:r>
          </w:p>
        </w:tc>
        <w:tc>
          <w:tcPr>
            <w:tcW w:w="0" w:type="auto"/>
          </w:tcPr>
          <w:p>
            <w:pPr>
              <w:spacing w:after="0" w:line="240" w:lineRule="auto"/>
            </w:pPr>
            <w:r>
              <w:t xml:space="preserve">unter </w:t>
            </w:r>
            <w:r>
              <w:rPr>
                <w:b/>
              </w:rPr>
              <w:t xml:space="preserve">3 500</w:t>
            </w:r>
          </w:p>
        </w:tc>
      </w:tr>
      <w:tr>
        <w:tc>
          <w:tcPr>
            <w:tcW w:w="0" w:type="auto"/>
          </w:tcPr>
          <w:p>
            <w:pPr>
              <w:spacing w:after="0" w:line="240" w:lineRule="auto"/>
            </w:pPr>
            <w:r>
              <w:t xml:space="preserve">Arbeitsspeicher beim IFC-Lesen</w:t>
            </w:r>
          </w:p>
        </w:tc>
        <w:tc>
          <w:tcPr>
            <w:tcW w:w="0" w:type="auto"/>
          </w:tcPr>
          <w:p>
            <w:pPr>
              <w:spacing w:after="0" w:line="240" w:lineRule="auto"/>
            </w:pPr>
            <w:r>
              <w:t xml:space="preserve">rund </w:t>
            </w:r>
            <w:r>
              <w:rPr>
                <w:b/>
              </w:rPr>
              <w:t xml:space="preserve">10–20 MB je MB</w:t>
            </w:r>
            <w:r>
              <w:t xml:space="preserve"> Quelltext</w:t>
            </w:r>
          </w:p>
        </w:tc>
      </w:tr>
    </w:tbl>
    <w:p>
      <w:pPr>
        <w:spacing w:after="120"/>
      </w:pPr>
    </w:p>
    <w:p>
      <w:r>
        <w:rPr>
          <w:b/>
        </w:rPr>
        <w:t xml:space="preserve">Die Rechenzeit ist nicht die knappe Größe — die CI-Minuten sind es.</w:t>
      </w:r>
      <w:r>
        <w:t xml:space="preserve"> Ein Gebäudemodell, das den Referenzlauf um 0,08 s verlängert, liegt im Rauschen; ein Gebäudemodell, das eine </w:t>
      </w:r>
      <w:r>
        <w:rPr>
          <w:b/>
        </w:rPr>
        <w:t xml:space="preserve">unbedingte</w:t>
      </w:r>
      <w:r>
        <w:t xml:space="preserve"> neue Ergebnisdatei erzeugt, kostet einen Neueinfrierschritt und damit ein Vielfaches an Läufen.</w:t>
      </w:r>
    </w:p>
    <w:p>
      <w:r>
        <w:t xml:space="preserve">Die Grenzen und was beim Erreichen geschieht: </w:t>
      </w:r>
      <w:r>
        <w:rPr>
          <w:b/>
        </w:rPr>
        <w:t xml:space="preserve">100 Gebäude je Projekt</w:t>
      </w:r>
      <w:r>
        <w:t xml:space="preserve"> (hart, zwei feste Felder der Gebäudeschleife — wird im Bestandsschritt GB behoben); </w:t>
      </w:r>
      <w:r>
        <w:rPr>
          <w:b/>
        </w:rPr>
        <w:t xml:space="preserve">Importdateigröße</w:t>
      </w:r>
      <w:r>
        <w:t xml:space="preserve"> IFC 50 MB Windows und 20 MB iOS, gbXML 25 MB und 10 MB, benannte Ablehnung vor dem Lesen, die iOS-Zahlen sind zu messen; </w:t>
      </w:r>
      <w:r>
        <w:rPr>
          <w:b/>
        </w:rPr>
        <w:t xml:space="preserve">50 Zonen je Gebäude</w:t>
      </w:r>
      <w:r>
        <w:t xml:space="preserve"> als Vorgabe mit Warnung und Rückfrage im Import, darüber benannte Ablehnung in der Rechnung — die Zahl ist eine Setzung aus der Rechenzeit, kein Messergebnis; </w:t>
      </w:r>
      <w:r>
        <w:rPr>
          <w:b/>
        </w:rPr>
        <w:t xml:space="preserve">Durchläufe der Zonenkopplung je Stunde</w:t>
      </w:r>
      <w:r>
        <w:t xml:space="preserve"> hart begrenzt, mit Abbruch und Warnung, nie stillschweigender Übernahme eines nicht konvergierten Werts.</w:t>
      </w:r>
    </w:p>
    <w:p>
      <w:pPr>
        <w:pStyle w:val="Heading2"/>
      </w:pPr>
      <w:r>
        <w:t xml:space="preserve">2.8 Abwägungen</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w:t>
            </w:r>
          </w:p>
        </w:tc>
        <w:tc>
          <w:tcPr>
            <w:tcW w:w="0" w:type="auto"/>
            <w:shd w:val="clear" w:color="auto" w:fill="D9D9D9"/>
          </w:tcPr>
          <w:p>
            <w:pPr>
              <w:spacing w:after="0" w:line="240" w:lineRule="auto"/>
              <w:rPr>
                <w:b/>
              </w:rPr>
            </w:pPr>
            <w:r>
              <w:rPr>
                <w:b/>
              </w:rPr>
              <w:t xml:space="preserve">Entscheidung</w:t>
            </w:r>
          </w:p>
        </w:tc>
        <w:tc>
          <w:tcPr>
            <w:tcW w:w="0" w:type="auto"/>
            <w:shd w:val="clear" w:color="auto" w:fill="D9D9D9"/>
          </w:tcPr>
          <w:p>
            <w:pPr>
              <w:spacing w:after="0" w:line="240" w:lineRule="auto"/>
              <w:rPr>
                <w:b/>
              </w:rPr>
            </w:pPr>
            <w:r>
              <w:rPr>
                <w:b/>
              </w:rPr>
              <w:t xml:space="preserve">Alternativen</w:t>
            </w:r>
          </w:p>
        </w:tc>
        <w:tc>
          <w:tcPr>
            <w:tcW w:w="0" w:type="auto"/>
            <w:shd w:val="clear" w:color="auto" w:fill="D9D9D9"/>
          </w:tcPr>
          <w:p>
            <w:pPr>
              <w:spacing w:after="0" w:line="240" w:lineRule="auto"/>
              <w:rPr>
                <w:b/>
              </w:rPr>
            </w:pPr>
            <w:r>
              <w:rPr>
                <w:b/>
              </w:rPr>
              <w:t xml:space="preserve">Grund für den gewählten Weg</w:t>
            </w:r>
          </w:p>
        </w:tc>
        <w:tc>
          <w:tcPr>
            <w:tcW w:w="0" w:type="auto"/>
            <w:shd w:val="clear" w:color="auto" w:fill="D9D9D9"/>
          </w:tcPr>
          <w:p>
            <w:pPr>
              <w:spacing w:after="0" w:line="240" w:lineRule="auto"/>
              <w:rPr>
                <w:b/>
              </w:rPr>
            </w:pPr>
            <w:r>
              <w:rPr>
                <w:b/>
              </w:rPr>
              <w:t xml:space="preserve">Entscheid</w:t>
            </w:r>
          </w:p>
        </w:tc>
      </w:tr>
      <w:tr>
        <w:tc>
          <w:tcPr>
            <w:tcW w:w="0" w:type="auto"/>
          </w:tcPr>
          <w:p>
            <w:pPr>
              <w:spacing w:after="0" w:line="240" w:lineRule="auto"/>
            </w:pPr>
            <w:r>
              <w:rPr>
                <w:b/>
              </w:rPr>
              <w:t xml:space="preserve">1</w:t>
            </w:r>
          </w:p>
        </w:tc>
        <w:tc>
          <w:tcPr>
            <w:tcW w:w="0" w:type="auto"/>
          </w:tcPr>
          <w:p>
            <w:pPr>
              <w:spacing w:after="0" w:line="240" w:lineRule="auto"/>
            </w:pPr>
            <w:r>
              <w:rPr>
                <w:b/>
              </w:rPr>
              <w:t xml:space="preserve">Stundenmodell als Vorgabemodell für alle Gebäude</w:t>
            </w:r>
          </w:p>
        </w:tc>
        <w:tc>
          <w:tcPr>
            <w:tcW w:w="0" w:type="auto"/>
          </w:tcPr>
          <w:p>
            <w:pPr>
              <w:spacing w:after="0" w:line="240" w:lineRule="auto"/>
            </w:pPr>
            <w:r>
              <w:t xml:space="preserve">(b) Tagesmodell bleibt Vorgabe; (c) Material übernehmen; (d) externe Simulationsmaschine</w:t>
            </w:r>
          </w:p>
        </w:tc>
        <w:tc>
          <w:tcPr>
            <w:tcW w:w="0" w:type="auto"/>
          </w:tcPr>
          <w:p>
            <w:pPr>
              <w:spacing w:after="0" w:line="240" w:lineRule="auto"/>
            </w:pPr>
            <w:r>
              <w:t xml:space="preserve">(b) hielte zwei Rechenwege, zwei Kennzahlensätze und zwei Wiki-Seiten dauerhaft; (c) baut auf einem belegten Strukturfehler und ungeklärter Lizenz; (d) bricht Plattformfreiheit und Laufzeitgröße</w:t>
            </w:r>
          </w:p>
        </w:tc>
        <w:tc>
          <w:tcPr>
            <w:tcW w:w="0" w:type="auto"/>
          </w:tcPr>
          <w:p>
            <w:pPr>
              <w:spacing w:after="0" w:line="240" w:lineRule="auto"/>
            </w:pPr>
            <w:r>
              <w:t xml:space="preserve">E1, </w:t>
            </w:r>
            <w:r>
              <w:rPr>
                <w:rFonts w:ascii="Consolas" w:hAnsi="Consolas" w:cs="Consolas"/>
                <w:noProof/>
                <w:sz w:val="20"/>
                <w:szCs w:val="20"/>
                <w:shd w:val="clear" w:color="auto" w:fill="EFEFEF"/>
              </w:rPr>
              <w:t xml:space="preserve">ADR-002</w:t>
            </w:r>
          </w:p>
        </w:tc>
      </w:tr>
      <w:tr>
        <w:tc>
          <w:tcPr>
            <w:tcW w:w="0" w:type="auto"/>
          </w:tcPr>
          <w:p>
            <w:pPr>
              <w:spacing w:after="0" w:line="240" w:lineRule="auto"/>
            </w:pPr>
            <w:r>
              <w:rPr>
                <w:b/>
              </w:rPr>
              <w:t xml:space="preserve">2</w:t>
            </w:r>
          </w:p>
        </w:tc>
        <w:tc>
          <w:tcPr>
            <w:tcW w:w="0" w:type="auto"/>
          </w:tcPr>
          <w:p>
            <w:pPr>
              <w:spacing w:after="0" w:line="240" w:lineRule="auto"/>
            </w:pPr>
            <w:r>
              <w:rPr>
                <w:b/>
              </w:rPr>
              <w:t xml:space="preserve">Eine Weiche am Eingang, zwei getrennte Module</w:t>
            </w:r>
          </w:p>
        </w:tc>
        <w:tc>
          <w:tcPr>
            <w:tcW w:w="0" w:type="auto"/>
          </w:tcPr>
          <w:p>
            <w:pPr>
              <w:spacing w:after="0" w:line="240" w:lineRule="auto"/>
            </w:pPr>
            <w:r>
              <w:t xml:space="preserve">(b) zweiter Bedarfsweg; (c) Verzweigung beim Aufrufer; (d) zwei Verzweigungspunkte im Bestandsrumpf, Tagesbilanz-Zweig im selben Code</w:t>
            </w:r>
          </w:p>
        </w:tc>
        <w:tc>
          <w:tcPr>
            <w:tcW w:w="0" w:type="auto"/>
          </w:tcPr>
          <w:p>
            <w:pPr>
              <w:spacing w:after="0" w:line="240" w:lineRule="auto"/>
            </w:pPr>
            <w:r>
              <w:t xml:space="preserve">(b) verdoppelt Puffer, Kanal, Dauerlinie, Energieprobe; (c) verdoppelt sie an jedem Aufrufer — und es gibt zwei; (d) hielte zwei Rechenwege in </w:t>
            </w:r>
            <w:r>
              <w:rPr>
                <w:b/>
              </w:rPr>
              <w:t xml:space="preserve">einem</w:t>
            </w:r>
            <w:r>
              <w:t xml:space="preserve"> Rumpf und stellte jede Zeile des VDI-Wegs unter Beweislast — bei einem Bestandsweg, der nach E23 dauerhaft bleibt, wäre das ein Dauerzustand</w:t>
            </w:r>
          </w:p>
        </w:tc>
        <w:tc>
          <w:tcPr>
            <w:tcW w:w="0" w:type="auto"/>
          </w:tcPr>
          <w:p>
            <w:pPr>
              <w:spacing w:after="0" w:line="240" w:lineRule="auto"/>
            </w:pPr>
            <w:r>
              <w:rPr>
                <w:rFonts w:ascii="Consolas" w:hAnsi="Consolas" w:cs="Consolas"/>
                <w:noProof/>
                <w:sz w:val="20"/>
                <w:szCs w:val="20"/>
                <w:shd w:val="clear" w:color="auto" w:fill="EFEFEF"/>
              </w:rPr>
              <w:t xml:space="preserve">ADR-002</w:t>
            </w:r>
            <w:r>
              <w:t xml:space="preserve">, </w:t>
            </w:r>
            <w:r>
              <w:rPr>
                <w:rFonts w:ascii="Consolas" w:hAnsi="Consolas" w:cs="Consolas"/>
                <w:noProof/>
                <w:sz w:val="20"/>
                <w:szCs w:val="20"/>
                <w:shd w:val="clear" w:color="auto" w:fill="EFEFEF"/>
              </w:rPr>
              <w:t xml:space="preserve">ADR-006</w:t>
            </w:r>
            <w:r>
              <w:t xml:space="preserve"> (E20, E23)</w:t>
            </w:r>
          </w:p>
        </w:tc>
      </w:tr>
      <w:tr>
        <w:tc>
          <w:tcPr>
            <w:tcW w:w="0" w:type="auto"/>
          </w:tcPr>
          <w:p>
            <w:pPr>
              <w:spacing w:after="0" w:line="240" w:lineRule="auto"/>
            </w:pPr>
            <w:r>
              <w:rPr>
                <w:b/>
              </w:rPr>
              <w:t xml:space="preserve">2a</w:t>
            </w:r>
          </w:p>
        </w:tc>
        <w:tc>
          <w:tcPr>
            <w:tcW w:w="0" w:type="auto"/>
          </w:tcPr>
          <w:p>
            <w:pPr>
              <w:spacing w:after="0" w:line="240" w:lineRule="auto"/>
            </w:pPr>
            <w:r>
              <w:rPr>
                <w:b/>
              </w:rPr>
              <w:t xml:space="preserve">Kälteseite symmetrisch zur Wärmeseite, aus einem Lauf</w:t>
            </w:r>
          </w:p>
        </w:tc>
        <w:tc>
          <w:tcPr>
            <w:tcW w:w="0" w:type="auto"/>
          </w:tcPr>
          <w:p>
            <w:pPr>
              <w:spacing w:after="0" w:line="240" w:lineRule="auto"/>
            </w:pPr>
            <w:r>
              <w:t xml:space="preserve">(b) zweiter Simulationslauf für die Kühlung; (c) Kühlbedarf als informative Reihe ohne Fassade und ohne Kanal</w:t>
            </w:r>
          </w:p>
        </w:tc>
        <w:tc>
          <w:tcPr>
            <w:tcW w:w="0" w:type="auto"/>
          </w:tcPr>
          <w:p>
            <w:pPr>
              <w:spacing w:after="0" w:line="240" w:lineRule="auto"/>
            </w:pPr>
            <w:r>
              <w:t xml:space="preserve">(b) verdoppelt die Rechenzeit für eine Größe, die in derselben Stunde ohnehin anfällt; (c) war der Stand vor E12 und trägt weder Erzeuger noch Wirtschaftlichkeit</w:t>
            </w:r>
          </w:p>
        </w:tc>
        <w:tc>
          <w:tcPr>
            <w:tcW w:w="0" w:type="auto"/>
          </w:tcPr>
          <w:p>
            <w:pPr>
              <w:spacing w:after="0" w:line="240" w:lineRule="auto"/>
            </w:pPr>
            <w:r>
              <w:t xml:space="preserve">E12, E21</w:t>
            </w:r>
          </w:p>
        </w:tc>
      </w:tr>
      <w:tr>
        <w:tc>
          <w:tcPr>
            <w:tcW w:w="0" w:type="auto"/>
          </w:tcPr>
          <w:p>
            <w:pPr>
              <w:spacing w:after="0" w:line="240" w:lineRule="auto"/>
            </w:pPr>
            <w:r>
              <w:rPr>
                <w:b/>
              </w:rPr>
              <w:t xml:space="preserve">3</w:t>
            </w:r>
          </w:p>
        </w:tc>
        <w:tc>
          <w:tcPr>
            <w:tcW w:w="0" w:type="auto"/>
          </w:tcPr>
          <w:p>
            <w:pPr>
              <w:spacing w:after="0" w:line="240" w:lineRule="auto"/>
            </w:pPr>
            <w:r>
              <w:rPr>
                <w:b/>
              </w:rPr>
              <w:t xml:space="preserve">xBIM im Speichermodell, am Kern gebunden, aber hinter einer Naht</w:t>
            </w:r>
          </w:p>
        </w:tc>
        <w:tc>
          <w:tcPr>
            <w:tcW w:w="0" w:type="auto"/>
          </w:tcPr>
          <w:p>
            <w:pPr>
              <w:spacing w:after="0" w:line="240" w:lineRule="auto"/>
            </w:pPr>
            <w:r>
              <w:t xml:space="preserve">(b) sofort eigenes Projekt mit Fabrik; (c) ohne Naht binden</w:t>
            </w:r>
          </w:p>
        </w:tc>
        <w:tc>
          <w:tcPr>
            <w:tcW w:w="0" w:type="auto"/>
          </w:tcPr>
          <w:p>
            <w:pPr>
              <w:spacing w:after="0" w:line="240" w:lineRule="auto"/>
            </w:pPr>
            <w:r>
              <w:t xml:space="preserve">(b) nähme iOS den Import von vornherein; (c) macht jeden späteren Umzug zum Umbau</w:t>
            </w:r>
          </w:p>
        </w:tc>
        <w:tc>
          <w:tcPr>
            <w:tcW w:w="0" w:type="auto"/>
          </w:tcPr>
          <w:p>
            <w:pPr>
              <w:spacing w:after="0" w:line="240" w:lineRule="auto"/>
            </w:pPr>
            <w:r>
              <w:t xml:space="preserve">E3, </w:t>
            </w:r>
            <w:r>
              <w:rPr>
                <w:rFonts w:ascii="Consolas" w:hAnsi="Consolas" w:cs="Consolas"/>
                <w:noProof/>
                <w:sz w:val="20"/>
                <w:szCs w:val="20"/>
                <w:shd w:val="clear" w:color="auto" w:fill="EFEFEF"/>
              </w:rPr>
              <w:t xml:space="preserve">ADR-003</w:t>
            </w:r>
          </w:p>
        </w:tc>
      </w:tr>
      <w:tr>
        <w:tc>
          <w:tcPr>
            <w:tcW w:w="0" w:type="auto"/>
          </w:tcPr>
          <w:p>
            <w:pPr>
              <w:spacing w:after="0" w:line="240" w:lineRule="auto"/>
            </w:pPr>
            <w:r>
              <w:rPr>
                <w:b/>
              </w:rPr>
              <w:t xml:space="preserve">4</w:t>
            </w:r>
          </w:p>
        </w:tc>
        <w:tc>
          <w:tcPr>
            <w:tcW w:w="0" w:type="auto"/>
          </w:tcPr>
          <w:p>
            <w:pPr>
              <w:spacing w:after="0" w:line="240" w:lineRule="auto"/>
            </w:pPr>
            <w:r>
              <w:rPr>
                <w:b/>
              </w:rPr>
              <w:t xml:space="preserve">gbXML über einen handgeschriebenen Leseweg</w:t>
            </w:r>
          </w:p>
        </w:tc>
        <w:tc>
          <w:tcPr>
            <w:tcW w:w="0" w:type="auto"/>
          </w:tcPr>
          <w:p>
            <w:pPr>
              <w:spacing w:after="0" w:line="240" w:lineRule="auto"/>
            </w:pPr>
            <w:r>
              <w:t xml:space="preserve">(b) erzeugtes Modell mit Serialisierer; (c) Fremdbibliothek</w:t>
            </w:r>
          </w:p>
        </w:tc>
        <w:tc>
          <w:tcPr>
            <w:tcW w:w="0" w:type="auto"/>
          </w:tcPr>
          <w:p>
            <w:pPr>
              <w:spacing w:after="0" w:line="240" w:lineRule="auto"/>
            </w:pPr>
            <w:r>
              <w:t xml:space="preserve">(b) liefert Kindinhalte als typlose Felder und erzeugt Laufzeitcode, den iOS nicht trägt; (c) gibt es für .NET nicht</w:t>
            </w:r>
          </w:p>
        </w:tc>
        <w:tc>
          <w:tcPr>
            <w:tcW w:w="0" w:type="auto"/>
          </w:tcPr>
          <w:p>
            <w:pPr>
              <w:spacing w:after="0" w:line="240" w:lineRule="auto"/>
            </w:pPr>
            <w:r>
              <w:rPr>
                <w:rFonts w:ascii="Consolas" w:hAnsi="Consolas" w:cs="Consolas"/>
                <w:noProof/>
                <w:sz w:val="20"/>
                <w:szCs w:val="20"/>
                <w:shd w:val="clear" w:color="auto" w:fill="EFEFEF"/>
              </w:rPr>
              <w:t xml:space="preserve">ADR-004</w:t>
            </w:r>
            <w:r>
              <w:t xml:space="preserve">, angenommen (E16)</w:t>
            </w:r>
          </w:p>
        </w:tc>
      </w:tr>
      <w:tr>
        <w:tc>
          <w:tcPr>
            <w:tcW w:w="0" w:type="auto"/>
          </w:tcPr>
          <w:p>
            <w:pPr>
              <w:spacing w:after="0" w:line="240" w:lineRule="auto"/>
            </w:pPr>
            <w:r>
              <w:rPr>
                <w:b/>
              </w:rPr>
              <w:t xml:space="preserve">5</w:t>
            </w:r>
          </w:p>
        </w:tc>
        <w:tc>
          <w:tcPr>
            <w:tcW w:w="0" w:type="auto"/>
          </w:tcPr>
          <w:p>
            <w:pPr>
              <w:spacing w:after="0" w:line="240" w:lineRule="auto"/>
            </w:pPr>
            <w:r>
              <w:rPr>
                <w:b/>
              </w:rPr>
              <w:t xml:space="preserve">Zonenkopplung über die Nachbarraum-Randbedingung, iterativ je Stunde</w:t>
            </w:r>
          </w:p>
        </w:tc>
        <w:tc>
          <w:tcPr>
            <w:tcW w:w="0" w:type="auto"/>
          </w:tcPr>
          <w:p>
            <w:pPr>
              <w:spacing w:after="0" w:line="240" w:lineRule="auto"/>
            </w:pPr>
            <w:r>
              <w:t xml:space="preserve">(b) Kopplung über die Vorstunde; (c) Gesamtsystem über alle Zonen</w:t>
            </w:r>
          </w:p>
        </w:tc>
        <w:tc>
          <w:tcPr>
            <w:tcW w:w="0" w:type="auto"/>
          </w:tcPr>
          <w:p>
            <w:pPr>
              <w:spacing w:after="0" w:line="240" w:lineRule="auto"/>
            </w:pPr>
            <w:r>
              <w:t xml:space="preserve">(b) trägt den Luftaustausch zwischen Zonen nicht; (c) ist exakt, aber teuer genau dort, wo je Stunde das Regelungsmuster festgehalten wird</w:t>
            </w:r>
          </w:p>
        </w:tc>
        <w:tc>
          <w:tcPr>
            <w:tcW w:w="0" w:type="auto"/>
          </w:tcPr>
          <w:p>
            <w:pPr>
              <w:spacing w:after="0" w:line="240" w:lineRule="auto"/>
            </w:pPr>
            <w:r>
              <w:rPr>
                <w:rFonts w:ascii="Consolas" w:hAnsi="Consolas" w:cs="Consolas"/>
                <w:noProof/>
                <w:sz w:val="20"/>
                <w:szCs w:val="20"/>
                <w:shd w:val="clear" w:color="auto" w:fill="EFEFEF"/>
              </w:rPr>
              <w:t xml:space="preserve">ADR-005</w:t>
            </w:r>
            <w:r>
              <w:t xml:space="preserve">, angenommen (E17)</w:t>
            </w:r>
          </w:p>
        </w:tc>
      </w:tr>
      <w:tr>
        <w:tc>
          <w:tcPr>
            <w:tcW w:w="0" w:type="auto"/>
          </w:tcPr>
          <w:p>
            <w:pPr>
              <w:spacing w:after="0" w:line="240" w:lineRule="auto"/>
            </w:pPr>
            <w:r>
              <w:rPr>
                <w:b/>
              </w:rPr>
              <w:t xml:space="preserve">6</w:t>
            </w:r>
          </w:p>
        </w:tc>
        <w:tc>
          <w:tcPr>
            <w:tcW w:w="0" w:type="auto"/>
          </w:tcPr>
          <w:p>
            <w:pPr>
              <w:spacing w:after="0" w:line="240" w:lineRule="auto"/>
            </w:pPr>
            <w:r>
              <w:rPr>
                <w:b/>
              </w:rPr>
              <w:t xml:space="preserve">Schema über nummerierte Schritte, eine Quelle je Tabellenfamilie</w:t>
            </w:r>
          </w:p>
        </w:tc>
        <w:tc>
          <w:tcPr>
            <w:tcW w:w="0" w:type="auto"/>
          </w:tcPr>
          <w:p>
            <w:pPr>
              <w:spacing w:after="0" w:line="240" w:lineRule="auto"/>
            </w:pPr>
            <w:r>
              <w:t xml:space="preserve">(b) tolerante Migration beim Start; (c) Schema aus dem Grundskript nachziehen</w:t>
            </w:r>
          </w:p>
        </w:tc>
        <w:tc>
          <w:tcPr>
            <w:tcW w:w="0" w:type="auto"/>
          </w:tcPr>
          <w:p>
            <w:pPr>
              <w:spacing w:after="0" w:line="240" w:lineRule="auto"/>
            </w:pPr>
            <w:r>
              <w:t xml:space="preserve">(b) ist im Bestand ausdrücklich kein Muster; (c) erzeugte zwei Quellen derselben Definition</w:t>
            </w:r>
          </w:p>
        </w:tc>
        <w:tc>
          <w:tcPr>
            <w:tcW w:w="0" w:type="auto"/>
          </w:tcPr>
          <w:p>
            <w:pPr>
              <w:spacing w:after="0" w:line="240" w:lineRule="auto"/>
            </w:pPr>
            <w:r>
              <w:rPr>
                <w:rFonts w:ascii="Consolas" w:hAnsi="Consolas" w:cs="Consolas"/>
                <w:noProof/>
                <w:sz w:val="20"/>
                <w:szCs w:val="20"/>
                <w:shd w:val="clear" w:color="auto" w:fill="EFEFEF"/>
              </w:rPr>
              <w:t xml:space="preserve">ADR-001</w:t>
            </w:r>
          </w:p>
        </w:tc>
      </w:tr>
      <w:tr>
        <w:tc>
          <w:tcPr>
            <w:tcW w:w="0" w:type="auto"/>
          </w:tcPr>
          <w:p>
            <w:pPr>
              <w:spacing w:after="0" w:line="240" w:lineRule="auto"/>
            </w:pPr>
            <w:r>
              <w:rPr>
                <w:b/>
              </w:rPr>
              <w:t xml:space="preserve">7</w:t>
            </w:r>
          </w:p>
        </w:tc>
        <w:tc>
          <w:tcPr>
            <w:tcW w:w="0" w:type="auto"/>
          </w:tcPr>
          <w:p>
            <w:pPr>
              <w:spacing w:after="0" w:line="240" w:lineRule="auto"/>
            </w:pPr>
            <w:r>
              <w:rPr>
                <w:b/>
              </w:rPr>
              <w:t xml:space="preserve">Ergebnisreihen als CSV des Laufs, nicht als Tabelle</w:t>
            </w:r>
          </w:p>
        </w:tc>
        <w:tc>
          <w:tcPr>
            <w:tcW w:w="0" w:type="auto"/>
          </w:tcPr>
          <w:p>
            <w:pPr>
              <w:spacing w:after="0" w:line="240" w:lineRule="auto"/>
            </w:pPr>
            <w:r>
              <w:t xml:space="preserve">(b) Stundenreihen je Zone persistieren; (c) verdichtet ablegen</w:t>
            </w:r>
          </w:p>
        </w:tc>
        <w:tc>
          <w:tcPr>
            <w:tcW w:w="0" w:type="auto"/>
          </w:tcPr>
          <w:p>
            <w:pPr>
              <w:spacing w:after="0" w:line="240" w:lineRule="auto"/>
            </w:pPr>
            <w:r>
              <w:t xml:space="preserve">(b) kostet 5,3 Mio. Zeilen und 150 MB je Lauf; (c) verliert genau das, was der Vergleich braucht</w:t>
            </w:r>
          </w:p>
        </w:tc>
        <w:tc>
          <w:tcPr>
            <w:tcW w:w="0" w:type="auto"/>
          </w:tcPr>
          <w:p>
            <w:pPr>
              <w:spacing w:after="0" w:line="240" w:lineRule="auto"/>
            </w:pPr>
            <w:r>
              <w:t xml:space="preserve">Befund V</w:t>
            </w:r>
          </w:p>
        </w:tc>
      </w:tr>
      <w:tr>
        <w:tc>
          <w:tcPr>
            <w:tcW w:w="0" w:type="auto"/>
          </w:tcPr>
          <w:p>
            <w:pPr>
              <w:spacing w:after="0" w:line="240" w:lineRule="auto"/>
            </w:pPr>
            <w:r>
              <w:rPr>
                <w:b/>
              </w:rPr>
              <w:t xml:space="preserve">8</w:t>
            </w:r>
          </w:p>
        </w:tc>
        <w:tc>
          <w:tcPr>
            <w:tcW w:w="0" w:type="auto"/>
          </w:tcPr>
          <w:p>
            <w:pPr>
              <w:spacing w:after="0" w:line="240" w:lineRule="auto"/>
            </w:pPr>
            <w:r>
              <w:rPr>
                <w:b/>
              </w:rPr>
              <w:t xml:space="preserve">Ein Zuordnungsgerüst für beide Formate</w:t>
            </w:r>
          </w:p>
        </w:tc>
        <w:tc>
          <w:tcPr>
            <w:tcW w:w="0" w:type="auto"/>
          </w:tcPr>
          <w:p>
            <w:pPr>
              <w:spacing w:after="0" w:line="240" w:lineRule="auto"/>
            </w:pPr>
            <w:r>
              <w:t xml:space="preserve">(b) zwei getrennte Importprogramme</w:t>
            </w:r>
          </w:p>
        </w:tc>
        <w:tc>
          <w:tcPr>
            <w:tcW w:w="0" w:type="auto"/>
          </w:tcPr>
          <w:p>
            <w:pPr>
              <w:spacing w:after="0" w:line="240" w:lineRule="auto"/>
            </w:pPr>
            <w:r>
              <w:t xml:space="preserve">(b) macht jede Änderung an Zuordnung, Fortschritt, Ablehnung und Sammelmeldung zweimal nötig</w:t>
            </w:r>
          </w:p>
        </w:tc>
        <w:tc>
          <w:tcPr>
            <w:tcW w:w="0" w:type="auto"/>
          </w:tcPr>
          <w:p>
            <w:pPr>
              <w:spacing w:after="0" w:line="240" w:lineRule="auto"/>
            </w:pPr>
            <w:r>
              <w:t xml:space="preserve">Datenaustausch 2.1</w:t>
            </w:r>
          </w:p>
        </w:tc>
      </w:tr>
      <w:tr>
        <w:tc>
          <w:tcPr>
            <w:tcW w:w="0" w:type="auto"/>
          </w:tcPr>
          <w:p>
            <w:pPr>
              <w:spacing w:after="0" w:line="240" w:lineRule="auto"/>
            </w:pPr>
            <w:r>
              <w:rPr>
                <w:b/>
              </w:rPr>
              <w:t xml:space="preserve">9</w:t>
            </w:r>
          </w:p>
        </w:tc>
        <w:tc>
          <w:tcPr>
            <w:tcW w:w="0" w:type="auto"/>
          </w:tcPr>
          <w:p>
            <w:pPr>
              <w:spacing w:after="0" w:line="240" w:lineRule="auto"/>
            </w:pPr>
            <w:r>
              <w:rPr>
                <w:b/>
              </w:rPr>
              <w:t xml:space="preserve">Zonen entstehen erst nach ausdrücklicher Übernahme, nie implizit</w:t>
            </w:r>
          </w:p>
        </w:tc>
        <w:tc>
          <w:tcPr>
            <w:tcW w:w="0" w:type="auto"/>
          </w:tcPr>
          <w:p>
            <w:pPr>
              <w:spacing w:after="0" w:line="240" w:lineRule="auto"/>
            </w:pPr>
            <w:r>
              <w:t xml:space="preserve">(b) je Gebäude beim Anlegen eine Zone erzeugen</w:t>
            </w:r>
          </w:p>
        </w:tc>
        <w:tc>
          <w:tcPr>
            <w:tcW w:w="0" w:type="auto"/>
          </w:tcPr>
          <w:p>
            <w:pPr>
              <w:spacing w:after="0" w:line="240" w:lineRule="auto"/>
            </w:pPr>
            <w:r>
              <w:t xml:space="preserve">(b) schaltete jedes Bestandsgebäude ungefragt auf den Bauteilweg</w:t>
            </w:r>
          </w:p>
        </w:tc>
        <w:tc>
          <w:tcPr>
            <w:tcW w:w="0" w:type="auto"/>
          </w:tcPr>
          <w:p>
            <w:pPr>
              <w:spacing w:after="0" w:line="240" w:lineRule="auto"/>
            </w:pPr>
            <w:r>
              <w:t xml:space="preserve">Mehrzonenkonzept 1.2</w:t>
            </w:r>
          </w:p>
        </w:tc>
      </w:tr>
      <w:tr>
        <w:tc>
          <w:tcPr>
            <w:tcW w:w="0" w:type="auto"/>
          </w:tcPr>
          <w:p>
            <w:pPr>
              <w:spacing w:after="0" w:line="240" w:lineRule="auto"/>
            </w:pPr>
            <w:r>
              <w:rPr>
                <w:b/>
              </w:rPr>
              <w:t xml:space="preserve">10</w:t>
            </w:r>
          </w:p>
        </w:tc>
        <w:tc>
          <w:tcPr>
            <w:tcW w:w="0" w:type="auto"/>
          </w:tcPr>
          <w:p>
            <w:pPr>
              <w:spacing w:after="0" w:line="240" w:lineRule="auto"/>
            </w:pPr>
            <w:r>
              <w:rPr>
                <w:b/>
              </w:rPr>
              <w:t xml:space="preserve">Mit E12 umgekehrt entschieden: der Kühlbedarf ist ein Kanal</w:t>
            </w:r>
          </w:p>
        </w:tc>
        <w:tc>
          <w:tcPr>
            <w:tcW w:w="0" w:type="auto"/>
          </w:tcPr>
          <w:p>
            <w:pPr>
              <w:spacing w:after="0" w:line="240" w:lineRule="auto"/>
            </w:pPr>
            <w:r>
              <w:t xml:space="preserve">(a) Reihe ohne Deckung (bis E12)</w:t>
            </w:r>
          </w:p>
        </w:tc>
        <w:tc>
          <w:tcPr>
            <w:tcW w:w="0" w:type="auto"/>
          </w:tcPr>
          <w:p>
            <w:pPr>
              <w:spacing w:after="0" w:line="240" w:lineRule="auto"/>
            </w:pPr>
            <w:r>
              <w:t xml:space="preserve">(b) zieht Erzeuger, Speicher, Wirtschaftlichkeit und Bericht mit — der Anwender hat dieses eigene Vorhaben beauftragt; es steht als eigenes Papier und in Kapitel 8a</w:t>
            </w:r>
          </w:p>
        </w:tc>
        <w:tc>
          <w:tcPr>
            <w:tcW w:w="0" w:type="auto"/>
          </w:tcPr>
          <w:p>
            <w:pPr>
              <w:spacing w:after="0" w:line="240" w:lineRule="auto"/>
            </w:pPr>
            <w:r>
              <w:t xml:space="preserve">Konzept N1.18, Kühlkonzept</w:t>
            </w:r>
          </w:p>
        </w:tc>
      </w:tr>
    </w:tbl>
    <w:p>
      <w:pPr>
        <w:spacing w:after="120"/>
      </w:pPr>
    </w:p>
    <w:p>
      <w:r>
        <w:rPr>
          <w:b/>
        </w:rPr>
        <w:t xml:space="preserve">Einzelheiten:</w:t>
      </w:r>
      <w:r>
        <w:t xml:space="preserve"> </w:t>
      </w:r>
      <w:r>
        <w:rPr>
          <w:rFonts w:ascii="Consolas" w:hAnsi="Consolas" w:cs="Consolas"/>
          <w:noProof/>
          <w:sz w:val="20"/>
          <w:szCs w:val="20"/>
          <w:shd w:val="clear" w:color="auto" w:fill="EFEFEF"/>
        </w:rPr>
        <w:t xml:space="preserve">Dokumentation/aktuell/Systementwurf_Gebaeudesimulation_EPOS-Plan.md</w:t>
      </w:r>
      <w:r>
        <w:t xml:space="preserve"> (Kapitel 0 bis 12; Anforderungen in 1, Bilder in 2 und 3, Speicherung in 5, Leistung in 7, Abwägungen in 10).</w:t>
      </w:r>
    </w:p>
    <w:p>
      <w:pPr>
        <w:pStyle w:val="Trennlinie"/>
      </w:pPr>
    </w:p>
    <w:p>
      <w:pPr>
        <w:pStyle w:val="Heading1"/>
      </w:pPr>
      <w:r>
        <w:t xml:space="preserve">3 Softwarearchitektur</w:t>
      </w:r>
    </w:p>
    <w:p>
      <w:pPr>
        <w:pStyle w:val="Quote"/>
      </w:pPr>
      <w:r>
        <w:t xml:space="preserve">Auch dieses Kapitel steht auf </w:t>
      </w:r>
      <w:r>
        <w:rPr>
          <w:b/>
        </w:rPr>
        <w:t xml:space="preserve">Rev. 2</w:t>
      </w:r>
      <w:r>
        <w:t xml:space="preserve">. Klassennamen und Zählungen sind die des Architekturpapiers nach dem Gegenlesen; wo sie von den Konzeptpapieren abweichen, schreibt das Architekturpapier diese ausdrücklich fort.</w:t>
      </w:r>
    </w:p>
    <w:p>
      <w:pPr>
        <w:pStyle w:val="Heading2"/>
      </w:pPr>
      <w:r>
        <w:t xml:space="preserve">3.1 Schichten und Abhängigkeitsregel</w:t>
      </w:r>
    </w:p>
    <w:p>
      <w:r>
        <w:t xml:space="preserve">Die Richtung jeder Kante bleibt, wie sie ist: </w:t>
      </w:r>
      <w:r>
        <w:rPr>
          <w:b/>
        </w:rPr>
        <w:t xml:space="preserve">der Kern kennt keine Oberfläche, die Oberfläche keine Datenbank, die Hüllen kennen beide, die zwei Schalen kennen alles.</w:t>
      </w:r>
      <w:r>
        <w:t xml:space="preserve"> </w:t>
      </w:r>
      <w:r>
        <w:rPr>
          <w:rFonts w:ascii="Consolas" w:hAnsi="Consolas" w:cs="Consolas"/>
          <w:noProof/>
          <w:sz w:val="20"/>
          <w:szCs w:val="20"/>
          <w:shd w:val="clear" w:color="auto" w:fill="EFEFEF"/>
        </w:rPr>
        <w:t xml:space="preserve">EnableWindowsTargeting=false</w:t>
      </w:r>
      <w:r>
        <w:t xml:space="preserve"> in </w:t>
      </w:r>
      <w:r>
        <w:rPr>
          <w:b/>
        </w:rPr>
        <w:t xml:space="preserve">sechs</w:t>
      </w:r>
      <w:r>
        <w:t xml:space="preserve"> Projektdateien macht einen Rückwärtsbezug zum Übersetzungsfehler statt zum Laufzeitfehler auf dem iPad — die einzige Schranke, die vor dem Bau greift: in den vier Auslieferungsprojekten </w:t>
      </w:r>
      <w:r>
        <w:rPr>
          <w:rFonts w:ascii="Consolas" w:hAnsi="Consolas" w:cs="Consolas"/>
          <w:noProof/>
          <w:sz w:val="20"/>
          <w:szCs w:val="20"/>
          <w:shd w:val="clear" w:color="auto" w:fill="EFEFEF"/>
        </w:rPr>
        <w:t xml:space="preserve">EPOS.Kern</w:t>
      </w:r>
      <w:r>
        <w:t xml:space="preserve">, </w:t>
      </w:r>
      <w:r>
        <w:rPr>
          <w:rFonts w:ascii="Consolas" w:hAnsi="Consolas" w:cs="Consolas"/>
          <w:noProof/>
          <w:sz w:val="20"/>
          <w:szCs w:val="20"/>
          <w:shd w:val="clear" w:color="auto" w:fill="EFEFEF"/>
        </w:rPr>
        <w:t xml:space="preserve">EPOS.UI</w:t>
      </w:r>
      <w:r>
        <w:t xml:space="preserve">, </w:t>
      </w:r>
      <w:r>
        <w:rPr>
          <w:rFonts w:ascii="Consolas" w:hAnsi="Consolas" w:cs="Consolas"/>
          <w:noProof/>
          <w:sz w:val="20"/>
          <w:szCs w:val="20"/>
          <w:shd w:val="clear" w:color="auto" w:fill="EFEFEF"/>
        </w:rPr>
        <w:t xml:space="preserve">EPOS.UI.Daten</w:t>
      </w:r>
      <w:r>
        <w:t xml:space="preserve"> und </w:t>
      </w:r>
      <w:r>
        <w:rPr>
          <w:rFonts w:ascii="Consolas" w:hAnsi="Consolas" w:cs="Consolas"/>
          <w:noProof/>
          <w:sz w:val="20"/>
          <w:szCs w:val="20"/>
          <w:shd w:val="clear" w:color="auto" w:fill="EFEFEF"/>
        </w:rPr>
        <w:t xml:space="preserve">EPOS.Referenzlauf</w:t>
      </w:r>
      <w:r>
        <w:t xml:space="preserve"> und in den zwei Prüfständen </w:t>
      </w:r>
      <w:r>
        <w:rPr>
          <w:rFonts w:ascii="Consolas" w:hAnsi="Consolas" w:cs="Consolas"/>
          <w:noProof/>
          <w:sz w:val="20"/>
          <w:szCs w:val="20"/>
          <w:shd w:val="clear" w:color="auto" w:fill="EFEFEF"/>
        </w:rPr>
        <w:t xml:space="preserve">Proben/ChartProben</w:t>
      </w:r>
      <w:r>
        <w:t xml:space="preserve"> und </w:t>
      </w:r>
      <w:r>
        <w:rPr>
          <w:rFonts w:ascii="Consolas" w:hAnsi="Consolas" w:cs="Consolas"/>
          <w:noProof/>
          <w:sz w:val="20"/>
          <w:szCs w:val="20"/>
          <w:shd w:val="clear" w:color="auto" w:fill="EFEFEF"/>
        </w:rPr>
        <w:t xml:space="preserve">Proben/ErststartProben</w:t>
      </w:r>
      <w:r>
        <w:t xml:space="preserve">.</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Projekt</w:t>
            </w:r>
          </w:p>
        </w:tc>
        <w:tc>
          <w:tcPr>
            <w:tcW w:w="0" w:type="auto"/>
            <w:shd w:val="clear" w:color="auto" w:fill="D9D9D9"/>
          </w:tcPr>
          <w:p>
            <w:pPr>
              <w:spacing w:after="0" w:line="240" w:lineRule="auto"/>
              <w:rPr>
                <w:b/>
              </w:rPr>
            </w:pPr>
            <w:r>
              <w:rPr>
                <w:b/>
              </w:rPr>
              <w:t xml:space="preserve">Was die Gebäudesimulation dort ablegt</w:t>
            </w:r>
          </w:p>
        </w:tc>
        <w:tc>
          <w:tcPr>
            <w:tcW w:w="0" w:type="auto"/>
            <w:shd w:val="clear" w:color="auto" w:fill="D9D9D9"/>
          </w:tcPr>
          <w:p>
            <w:pPr>
              <w:spacing w:after="0" w:line="240" w:lineRule="auto"/>
              <w:rPr>
                <w:b/>
              </w:rPr>
            </w:pPr>
            <w:r>
              <w:rPr>
                <w:b/>
              </w:rPr>
              <w:t xml:space="preserve">Was dort </w:t>
            </w:r>
            <w:r>
              <w:rPr>
                <w:b/>
              </w:rPr>
              <w:t xml:space="preserve">nicht</w:t>
            </w:r>
            <w:r>
              <w:rPr>
                <w:b/>
              </w:rPr>
              <w:t xml:space="preserve"> liegen darf</w:t>
            </w:r>
          </w:p>
        </w:tc>
      </w:tr>
      <w:tr>
        <w:tc>
          <w:tcPr>
            <w:tcW w:w="0" w:type="auto"/>
          </w:tcPr>
          <w:p>
            <w:pPr>
              <w:spacing w:after="0" w:line="240" w:lineRule="auto"/>
            </w:pPr>
            <w:r>
              <w:rPr>
                <w:rFonts w:ascii="Consolas" w:hAnsi="Consolas" w:cs="Consolas"/>
                <w:noProof/>
                <w:sz w:val="20"/>
                <w:szCs w:val="20"/>
                <w:shd w:val="clear" w:color="auto" w:fill="EFEFEF"/>
              </w:rPr>
              <w:t xml:space="preserve">EPOS.Kern</w:t>
            </w:r>
          </w:p>
        </w:tc>
        <w:tc>
          <w:tcPr>
            <w:tcW w:w="0" w:type="auto"/>
          </w:tcPr>
          <w:p>
            <w:pPr>
              <w:spacing w:after="0" w:line="240" w:lineRule="auto"/>
            </w:pPr>
            <w:r>
              <w:t xml:space="preserve">Löser, Ersatzparameter, Eingang, Ergebnis, Prüfungen, Zonenkopplung; die </w:t>
            </w:r>
            <w:r>
              <w:rPr>
                <w:b/>
              </w:rPr>
              <w:t xml:space="preserve">zwei Fassaden</w:t>
            </w:r>
            <w:r>
              <w:t xml:space="preserve"> </w:t>
            </w:r>
            <w:r>
              <w:rPr>
                <w:rFonts w:ascii="Consolas" w:hAnsi="Consolas" w:cs="Consolas"/>
                <w:noProof/>
                <w:sz w:val="20"/>
                <w:szCs w:val="20"/>
                <w:shd w:val="clear" w:color="auto" w:fill="EFEFEF"/>
              </w:rPr>
              <w:t xml:space="preserve">SimulationWaermebedarf</w:t>
            </w:r>
            <w:r>
              <w:t xml:space="preserve"> und </w:t>
            </w:r>
            <w:r>
              <w:rPr>
                <w:rFonts w:ascii="Consolas" w:hAnsi="Consolas" w:cs="Consolas"/>
                <w:noProof/>
                <w:sz w:val="20"/>
                <w:szCs w:val="20"/>
                <w:shd w:val="clear" w:color="auto" w:fill="EFEFEF"/>
              </w:rPr>
              <w:t xml:space="preserve">SimulationKaeltebedarf</w:t>
            </w:r>
            <w:r>
              <w:t xml:space="preserve"> mit dem modellfreien Vorbereitungsschritt und </w:t>
            </w:r>
            <w:r>
              <w:rPr>
                <w:b/>
              </w:rPr>
              <w:t xml:space="preserve">einer</w:t>
            </w:r>
            <w:r>
              <w:t xml:space="preserve"> Weiche; das abgeschlossene Modul </w:t>
            </w:r>
            <w:r>
              <w:rPr>
                <w:rFonts w:ascii="Consolas" w:hAnsi="Consolas" w:cs="Consolas"/>
                <w:noProof/>
                <w:sz w:val="20"/>
                <w:szCs w:val="20"/>
                <w:shd w:val="clear" w:color="auto" w:fill="EFEFEF"/>
              </w:rPr>
              <w:t xml:space="preserve">Altweg/</w:t>
            </w:r>
            <w:r>
              <w:t xml:space="preserve"> (Bestandsweg); Schema-Klassen; Leser und Schreiber beider Formate; vier neue Controller samt Modellen; Ressourcenschlüssel</w:t>
            </w:r>
          </w:p>
        </w:tc>
        <w:tc>
          <w:tcPr>
            <w:tcW w:w="0" w:type="auto"/>
          </w:tcPr>
          <w:p>
            <w:pPr>
              <w:spacing w:after="0" w:line="240" w:lineRule="auto"/>
            </w:pPr>
            <w:r>
              <w:rPr>
                <w:rFonts w:ascii="Consolas" w:hAnsi="Consolas" w:cs="Consolas"/>
                <w:noProof/>
                <w:sz w:val="20"/>
                <w:szCs w:val="20"/>
                <w:shd w:val="clear" w:color="auto" w:fill="EFEFEF"/>
              </w:rPr>
              <w:t xml:space="preserve">MessageBox</w:t>
            </w:r>
            <w:r>
              <w:t xml:space="preserve">, </w:t>
            </w:r>
            <w:r>
              <w:rPr>
                <w:rFonts w:ascii="Consolas" w:hAnsi="Consolas" w:cs="Consolas"/>
                <w:noProof/>
                <w:sz w:val="20"/>
                <w:szCs w:val="20"/>
                <w:shd w:val="clear" w:color="auto" w:fill="EFEFEF"/>
              </w:rPr>
              <w:t xml:space="preserve">Registry</w:t>
            </w:r>
            <w:r>
              <w:t xml:space="preserve">, </w:t>
            </w:r>
            <w:r>
              <w:rPr>
                <w:rFonts w:ascii="Consolas" w:hAnsi="Consolas" w:cs="Consolas"/>
                <w:noProof/>
                <w:sz w:val="20"/>
                <w:szCs w:val="20"/>
                <w:shd w:val="clear" w:color="auto" w:fill="EFEFEF"/>
              </w:rPr>
              <w:t xml:space="preserve">Program.*</w:t>
            </w:r>
            <w:r>
              <w:t xml:space="preserve">, WinForms, </w:t>
            </w:r>
            <w:r>
              <w:rPr>
                <w:rFonts w:ascii="Consolas" w:hAnsi="Consolas" w:cs="Consolas"/>
                <w:noProof/>
                <w:sz w:val="20"/>
                <w:szCs w:val="20"/>
                <w:shd w:val="clear" w:color="auto" w:fill="EFEFEF"/>
              </w:rPr>
              <w:t xml:space="preserve">OleDb</w:t>
            </w:r>
            <w:r>
              <w:t xml:space="preserve">, zusammengesetzter SQL-Text; </w:t>
            </w:r>
            <w:r>
              <w:rPr>
                <w:b/>
              </w:rPr>
              <w:t xml:space="preserve">im Modul </w:t>
            </w:r>
            <w:r>
              <w:rPr>
                <w:rFonts w:ascii="Consolas" w:hAnsi="Consolas" w:cs="Consolas"/>
                <w:b/>
                <w:noProof/>
                <w:sz w:val="20"/>
                <w:szCs w:val="20"/>
                <w:shd w:val="clear" w:color="auto" w:fill="EFEFEF"/>
              </w:rPr>
              <w:t xml:space="preserve">Altweg/</w:t>
            </w:r>
            <w:r>
              <w:rPr>
                <w:b/>
              </w:rPr>
              <w:t xml:space="preserve"> zusätzlich: jede neue Funktion</w:t>
            </w:r>
          </w:p>
        </w:tc>
      </w:tr>
      <w:tr>
        <w:tc>
          <w:tcPr>
            <w:tcW w:w="0" w:type="auto"/>
          </w:tcPr>
          <w:p>
            <w:pPr>
              <w:spacing w:after="0" w:line="240" w:lineRule="auto"/>
            </w:pPr>
            <w:r>
              <w:rPr>
                <w:rFonts w:ascii="Consolas" w:hAnsi="Consolas" w:cs="Consolas"/>
                <w:noProof/>
                <w:sz w:val="20"/>
                <w:szCs w:val="20"/>
                <w:shd w:val="clear" w:color="auto" w:fill="EFEFEF"/>
              </w:rPr>
              <w:t xml:space="preserve">EPOS.UI</w:t>
            </w:r>
          </w:p>
        </w:tc>
        <w:tc>
          <w:tcPr>
            <w:tcW w:w="0" w:type="auto"/>
          </w:tcPr>
          <w:p>
            <w:pPr>
              <w:spacing w:after="0" w:line="240" w:lineRule="auto"/>
            </w:pPr>
            <w:r>
              <w:rPr>
                <w:b/>
              </w:rPr>
              <w:t xml:space="preserve">sechs</w:t>
            </w:r>
            <w:r>
              <w:t xml:space="preserve"> neue Razor-Komponenten samt </w:t>
            </w:r>
            <w:r>
              <w:rPr>
                <w:rFonts w:ascii="Consolas" w:hAnsi="Consolas" w:cs="Consolas"/>
                <w:noProof/>
                <w:sz w:val="20"/>
                <w:szCs w:val="20"/>
                <w:shd w:val="clear" w:color="auto" w:fill="EFEFEF"/>
              </w:rPr>
              <w:t xml:space="preserve">*Daten.cs</w:t>
            </w:r>
            <w:r>
              <w:t xml:space="preserve"> und </w:t>
            </w:r>
            <w:r>
              <w:rPr>
                <w:rFonts w:ascii="Consolas" w:hAnsi="Consolas" w:cs="Consolas"/>
                <w:noProof/>
                <w:sz w:val="20"/>
                <w:szCs w:val="20"/>
                <w:shd w:val="clear" w:color="auto" w:fill="EFEFEF"/>
              </w:rPr>
              <w:t xml:space="preserve">*Texte</w:t>
            </w:r>
            <w:r>
              <w:t xml:space="preserve">, dazu </w:t>
            </w:r>
            <w:r>
              <w:rPr>
                <w:rFonts w:ascii="Consolas" w:hAnsi="Consolas" w:cs="Consolas"/>
                <w:noProof/>
                <w:sz w:val="20"/>
                <w:szCs w:val="20"/>
                <w:shd w:val="clear" w:color="auto" w:fill="EFEFEF"/>
              </w:rPr>
              <w:t xml:space="preserve">GebaeudeAnsicht.razor</w:t>
            </w:r>
            <w:r>
              <w:t xml:space="preserve">; zwei Menüzeilen; Maskenschlüssel; </w:t>
            </w:r>
            <w:r>
              <w:rPr>
                <w:rFonts w:ascii="Consolas" w:hAnsi="Consolas" w:cs="Consolas"/>
                <w:noProof/>
                <w:sz w:val="20"/>
                <w:szCs w:val="20"/>
                <w:shd w:val="clear" w:color="auto" w:fill="EFEFEF"/>
              </w:rPr>
              <w:t xml:space="preserve">three.js</w:t>
            </w:r>
            <w:r>
              <w:t xml:space="preserve"> lokal unter </w:t>
            </w:r>
            <w:r>
              <w:rPr>
                <w:rFonts w:ascii="Consolas" w:hAnsi="Consolas" w:cs="Consolas"/>
                <w:noProof/>
                <w:sz w:val="20"/>
                <w:szCs w:val="20"/>
                <w:shd w:val="clear" w:color="auto" w:fill="EFEFEF"/>
              </w:rPr>
              <w:t xml:space="preserve">wwwroot</w:t>
            </w:r>
          </w:p>
        </w:tc>
        <w:tc>
          <w:tcPr>
            <w:tcW w:w="0" w:type="auto"/>
          </w:tcPr>
          <w:p>
            <w:pPr>
              <w:spacing w:after="0" w:line="240" w:lineRule="auto"/>
            </w:pPr>
            <w:r>
              <w:rPr>
                <w:rFonts w:ascii="Consolas" w:hAnsi="Consolas" w:cs="Consolas"/>
                <w:noProof/>
                <w:sz w:val="20"/>
                <w:szCs w:val="20"/>
                <w:shd w:val="clear" w:color="auto" w:fill="EFEFEF"/>
              </w:rPr>
              <w:t xml:space="preserve">DataRepository</w:t>
            </w:r>
            <w:r>
              <w:t xml:space="preserve">, </w:t>
            </w:r>
            <w:r>
              <w:rPr>
                <w:rFonts w:ascii="Consolas" w:hAnsi="Consolas" w:cs="Consolas"/>
                <w:noProof/>
                <w:sz w:val="20"/>
                <w:szCs w:val="20"/>
                <w:shd w:val="clear" w:color="auto" w:fill="EFEFEF"/>
              </w:rPr>
              <w:t xml:space="preserve">DbParam</w:t>
            </w:r>
            <w:r>
              <w:t xml:space="preserve">, SQL, </w:t>
            </w:r>
            <w:r>
              <w:rPr>
                <w:b/>
              </w:rPr>
              <w:t xml:space="preserve">jede Fachklasse des Kerns</w:t>
            </w:r>
          </w:p>
        </w:tc>
      </w:tr>
      <w:tr>
        <w:tc>
          <w:tcPr>
            <w:tcW w:w="0" w:type="auto"/>
          </w:tcPr>
          <w:p>
            <w:pPr>
              <w:spacing w:after="0" w:line="240" w:lineRule="auto"/>
            </w:pPr>
            <w:r>
              <w:rPr>
                <w:rFonts w:ascii="Consolas" w:hAnsi="Consolas" w:cs="Consolas"/>
                <w:noProof/>
                <w:sz w:val="20"/>
                <w:szCs w:val="20"/>
                <w:shd w:val="clear" w:color="auto" w:fill="EFEFEF"/>
              </w:rPr>
              <w:t xml:space="preserve">EPOS.UI.Daten</w:t>
            </w:r>
          </w:p>
        </w:tc>
        <w:tc>
          <w:tcPr>
            <w:tcW w:w="0" w:type="auto"/>
          </w:tcPr>
          <w:p>
            <w:pPr>
              <w:spacing w:after="0" w:line="240" w:lineRule="auto"/>
            </w:pPr>
            <w:r>
              <w:rPr>
                <w:b/>
              </w:rPr>
              <w:t xml:space="preserve">acht</w:t>
            </w:r>
            <w:r>
              <w:t xml:space="preserve"> Hüllen des Gebäudebereichs (neun mit dem Export in G7), die Naht </w:t>
            </w:r>
            <w:r>
              <w:rPr>
                <w:rFonts w:ascii="Consolas" w:hAnsi="Consolas" w:cs="Consolas"/>
                <w:noProof/>
                <w:sz w:val="20"/>
                <w:szCs w:val="20"/>
                <w:shd w:val="clear" w:color="auto" w:fill="EFEFEF"/>
              </w:rPr>
              <w:t xml:space="preserve">Gebaeudewege</w:t>
            </w:r>
          </w:p>
        </w:tc>
        <w:tc>
          <w:tcPr>
            <w:tcW w:w="0" w:type="auto"/>
          </w:tcPr>
          <w:p>
            <w:pPr>
              <w:spacing w:after="0" w:line="240" w:lineRule="auto"/>
            </w:pPr>
            <w:r>
              <w:t xml:space="preserve">ein </w:t>
            </w:r>
            <w:r>
              <w:rPr>
                <w:rFonts w:ascii="Consolas" w:hAnsi="Consolas" w:cs="Consolas"/>
                <w:noProof/>
                <w:sz w:val="20"/>
                <w:szCs w:val="20"/>
                <w:shd w:val="clear" w:color="auto" w:fill="EFEFEF"/>
              </w:rPr>
              <w:t xml:space="preserve">IWin32Window</w:t>
            </w:r>
            <w:r>
              <w:t xml:space="preserve"> in einer Gaben-Signatur, </w:t>
            </w:r>
            <w:r>
              <w:rPr>
                <w:rFonts w:ascii="Consolas" w:hAnsi="Consolas" w:cs="Consolas"/>
                <w:noProof/>
                <w:sz w:val="20"/>
                <w:szCs w:val="20"/>
                <w:shd w:val="clear" w:color="auto" w:fill="EFEFEF"/>
              </w:rPr>
              <w:t xml:space="preserve">Task.Run</w:t>
            </w:r>
            <w:r>
              <w:t xml:space="preserve">, ein modales Systemfenster im Blazor-Ereignis</w:t>
            </w:r>
          </w:p>
        </w:tc>
      </w:tr>
      <w:tr>
        <w:tc>
          <w:tcPr>
            <w:tcW w:w="0" w:type="auto"/>
          </w:tcPr>
          <w:p>
            <w:pPr>
              <w:spacing w:after="0" w:line="240" w:lineRule="auto"/>
            </w:pPr>
            <w:r>
              <w:rPr>
                <w:rFonts w:ascii="Consolas" w:hAnsi="Consolas" w:cs="Consolas"/>
                <w:noProof/>
                <w:sz w:val="20"/>
                <w:szCs w:val="20"/>
                <w:shd w:val="clear" w:color="auto" w:fill="EFEFEF"/>
              </w:rPr>
              <w:t xml:space="preserve">WindowsFormsApplication1</w:t>
            </w:r>
          </w:p>
        </w:tc>
        <w:tc>
          <w:tcPr>
            <w:tcW w:w="0" w:type="auto"/>
          </w:tcPr>
          <w:p>
            <w:pPr>
              <w:spacing w:after="0" w:line="240" w:lineRule="auto"/>
            </w:pPr>
            <w:r>
              <w:rPr>
                <w:b/>
              </w:rPr>
              <w:t xml:space="preserve">zwei</w:t>
            </w:r>
            <w:r>
              <w:t xml:space="preserve"> Fensterdateien, die Belegung von </w:t>
            </w:r>
            <w:r>
              <w:rPr>
                <w:rFonts w:ascii="Consolas" w:hAnsi="Consolas" w:cs="Consolas"/>
                <w:noProof/>
                <w:sz w:val="20"/>
                <w:szCs w:val="20"/>
                <w:shd w:val="clear" w:color="auto" w:fill="EFEFEF"/>
              </w:rPr>
              <w:t xml:space="preserve">Gebaeudewege</w:t>
            </w:r>
            <w:r>
              <w:t xml:space="preserve"> in </w:t>
            </w:r>
            <w:r>
              <w:rPr>
                <w:rFonts w:ascii="Consolas" w:hAnsi="Consolas" w:cs="Consolas"/>
                <w:noProof/>
                <w:sz w:val="20"/>
                <w:szCs w:val="20"/>
                <w:shd w:val="clear" w:color="auto" w:fill="EFEFEF"/>
              </w:rPr>
              <w:t xml:space="preserve">Program.Main</w:t>
            </w:r>
            <w:r>
              <w:t xml:space="preserve">, der Migrationsschritt</w:t>
            </w:r>
          </w:p>
        </w:tc>
        <w:tc>
          <w:tcPr>
            <w:tcW w:w="0" w:type="auto"/>
          </w:tcPr>
          <w:p>
            <w:pPr>
              <w:spacing w:after="0" w:line="240" w:lineRule="auto"/>
            </w:pPr>
            <w:r>
              <w:t xml:space="preserve">jede Fachmaske, jeder Rechenweg, jedes Inline-SQL</w:t>
            </w:r>
          </w:p>
        </w:tc>
      </w:tr>
      <w:tr>
        <w:tc>
          <w:tcPr>
            <w:tcW w:w="0" w:type="auto"/>
          </w:tcPr>
          <w:p>
            <w:pPr>
              <w:spacing w:after="0" w:line="240" w:lineRule="auto"/>
            </w:pPr>
            <w:r>
              <w:rPr>
                <w:rFonts w:ascii="Consolas" w:hAnsi="Consolas" w:cs="Consolas"/>
                <w:noProof/>
                <w:sz w:val="20"/>
                <w:szCs w:val="20"/>
                <w:shd w:val="clear" w:color="auto" w:fill="EFEFEF"/>
              </w:rPr>
              <w:t xml:space="preserve">EPOS.iOS</w:t>
            </w:r>
          </w:p>
        </w:tc>
        <w:tc>
          <w:tcPr>
            <w:tcW w:w="0" w:type="auto"/>
          </w:tcPr>
          <w:p>
            <w:pPr>
              <w:spacing w:after="0" w:line="240" w:lineRule="auto"/>
            </w:pPr>
            <w:r>
              <w:t xml:space="preserve">neun Adapter unverändert, zwei Einträge im Dateifilter, eine Zeile je Maske in der Navigationsübersetzung</w:t>
            </w:r>
          </w:p>
        </w:tc>
        <w:tc>
          <w:tcPr>
            <w:tcW w:w="0" w:type="auto"/>
          </w:tcPr>
          <w:p>
            <w:pPr>
              <w:spacing w:after="0" w:line="240" w:lineRule="auto"/>
            </w:pPr>
            <w:r>
              <w:t xml:space="preserve">nichts Fachliches</w:t>
            </w:r>
          </w:p>
        </w:tc>
      </w:tr>
      <w:tr>
        <w:tc>
          <w:tcPr>
            <w:tcW w:w="0" w:type="auto"/>
          </w:tcPr>
          <w:p>
            <w:pPr>
              <w:spacing w:after="0" w:line="240" w:lineRule="auto"/>
            </w:pPr>
            <w:r>
              <w:rPr>
                <w:rFonts w:ascii="Consolas" w:hAnsi="Consolas" w:cs="Consolas"/>
                <w:noProof/>
                <w:sz w:val="20"/>
                <w:szCs w:val="20"/>
                <w:shd w:val="clear" w:color="auto" w:fill="EFEFEF"/>
              </w:rPr>
              <w:t xml:space="preserve">EPOS.Referenzlauf</w:t>
            </w:r>
            <w:r>
              <w:t xml:space="preserve">, </w:t>
            </w:r>
            <w:r>
              <w:rPr>
                <w:rFonts w:ascii="Consolas" w:hAnsi="Consolas" w:cs="Consolas"/>
                <w:noProof/>
                <w:sz w:val="20"/>
                <w:szCs w:val="20"/>
                <w:shd w:val="clear" w:color="auto" w:fill="EFEFEF"/>
              </w:rPr>
              <w:t xml:space="preserve">Referenzlauf</w:t>
            </w:r>
          </w:p>
        </w:tc>
        <w:tc>
          <w:tcPr>
            <w:tcW w:w="0" w:type="auto"/>
          </w:tcPr>
          <w:p>
            <w:pPr>
              <w:spacing w:after="0" w:line="240" w:lineRule="auto"/>
            </w:pPr>
            <w:r>
              <w:t xml:space="preserve">drei bedingte Vektordateien je Gebäude, Skalare mit Gebäudepräfix</w:t>
            </w:r>
          </w:p>
        </w:tc>
        <w:tc>
          <w:tcPr>
            <w:tcW w:w="0" w:type="auto"/>
          </w:tcPr>
          <w:p>
            <w:pPr>
              <w:spacing w:after="0" w:line="240" w:lineRule="auto"/>
            </w:pPr>
            <w:r>
              <w:t xml:space="preserve">—</w:t>
            </w:r>
          </w:p>
        </w:tc>
      </w:tr>
      <w:tr>
        <w:tc>
          <w:tcPr>
            <w:tcW w:w="0" w:type="auto"/>
          </w:tcPr>
          <w:p>
            <w:pPr>
              <w:spacing w:after="0" w:line="240" w:lineRule="auto"/>
            </w:pPr>
            <w:r>
              <w:rPr>
                <w:rFonts w:ascii="Consolas" w:hAnsi="Consolas" w:cs="Consolas"/>
                <w:noProof/>
                <w:sz w:val="20"/>
                <w:szCs w:val="20"/>
                <w:shd w:val="clear" w:color="auto" w:fill="EFEFEF"/>
              </w:rPr>
              <w:t xml:space="preserve">SpeicherEngine</w:t>
            </w:r>
            <w:r>
              <w:t xml:space="preserve">, </w:t>
            </w:r>
            <w:r>
              <w:rPr>
                <w:rFonts w:ascii="Consolas" w:hAnsi="Consolas" w:cs="Consolas"/>
                <w:noProof/>
                <w:sz w:val="20"/>
                <w:szCs w:val="20"/>
                <w:shd w:val="clear" w:color="auto" w:fill="EFEFEF"/>
              </w:rPr>
              <w:t xml:space="preserve">SpeicherPlanung</w:t>
            </w:r>
            <w:r>
              <w:t xml:space="preserve">, </w:t>
            </w:r>
            <w:r>
              <w:rPr>
                <w:rFonts w:ascii="Consolas" w:hAnsi="Consolas" w:cs="Consolas"/>
                <w:noProof/>
                <w:sz w:val="20"/>
                <w:szCs w:val="20"/>
                <w:shd w:val="clear" w:color="auto" w:fill="EFEFEF"/>
              </w:rPr>
              <w:t xml:space="preserve">KiKern</w:t>
            </w:r>
          </w:p>
        </w:tc>
        <w:tc>
          <w:tcPr>
            <w:tcW w:w="0" w:type="auto"/>
          </w:tcPr>
          <w:p>
            <w:pPr>
              <w:spacing w:after="0" w:line="240" w:lineRule="auto"/>
            </w:pPr>
            <w:r>
              <w:t xml:space="preserve">nichts</w:t>
            </w:r>
          </w:p>
        </w:tc>
        <w:tc>
          <w:tcPr>
            <w:tcW w:w="0" w:type="auto"/>
          </w:tcPr>
          <w:p>
            <w:pPr>
              <w:spacing w:after="0" w:line="240" w:lineRule="auto"/>
            </w:pPr>
            <w:r>
              <w:t xml:space="preserve">—</w:t>
            </w:r>
          </w:p>
        </w:tc>
      </w:tr>
    </w:tbl>
    <w:p>
      <w:pPr>
        <w:spacing w:after="120"/>
      </w:pPr>
    </w:p>
    <w:p>
      <w:r>
        <w:rPr>
          <w:b/>
        </w:rPr>
        <w:t xml:space="preserve">Eine Asymmetrie, die die Architektur kennen muss:</w:t>
      </w:r>
      <w:r>
        <w:t xml:space="preserve"> </w:t>
      </w:r>
      <w:r>
        <w:rPr>
          <w:rFonts w:ascii="Consolas" w:hAnsi="Consolas" w:cs="Consolas"/>
          <w:noProof/>
          <w:sz w:val="20"/>
          <w:szCs w:val="20"/>
          <w:shd w:val="clear" w:color="auto" w:fill="EFEFEF"/>
        </w:rPr>
        <w:t xml:space="preserve">SchemaMigration</w:t>
      </w:r>
      <w:r>
        <w:t xml:space="preserve"> liegt in der Windows-Schale, die Definitionen im Kern; iOS migriert nicht, sondern kopiert eine Seed-Datenbank, die den Zielstand schon trägt. Eine neue Tabelle braucht deshalb </w:t>
      </w:r>
      <w:r>
        <w:rPr>
          <w:b/>
        </w:rPr>
        <w:t xml:space="preserve">drei</w:t>
      </w:r>
      <w:r>
        <w:t xml:space="preserve"> Eintragungen, nicht eine.</w:t>
      </w:r>
    </w:p>
    <w:p>
      <w:pPr>
        <w:pStyle w:val="Diagrammbild"/>
      </w:pPr>
      <w:r>
        <w:drawing>
          <wp:inline xmlns:wp="http://schemas.openxmlformats.org/drawingml/2006/wordprocessingDrawing" distT="0" distB="0" distL="0" distR="0">
            <wp:extent cx="6120130" cy="3683553"/>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3.png"/>
                    <pic:cNvPicPr/>
                  </pic:nvPicPr>
                  <pic:blipFill>
                    <a:blip xmlns:r="http://schemas.openxmlformats.org/officeDocument/2006/relationships" r:embed="R972134d9378842b6"/>
                    <a:stretch>
                      <a:fillRect/>
                    </a:stretch>
                  </pic:blipFill>
                  <pic:spPr>
                    <a:xfrm>
                      <a:off x="0" y="0"/>
                      <a:ext cx="6120130" cy="3683553"/>
                    </a:xfrm>
                    <a:prstGeom prst="rect">
                      <a:avLst/>
                    </a:prstGeom>
                  </pic:spPr>
                </pic:pic>
              </a:graphicData>
            </a:graphic>
          </wp:inline>
        </w:drawing>
      </w:r>
    </w:p>
    <w:p>
      <w:pPr>
        <w:pStyle w:val="Bildunterschrift"/>
      </w:pPr>
      <w:r>
        <w:rPr>
          <w:i/>
          <w:iCs/>
        </w:rPr>
        <w:t xml:space="preserve">Bild 3: 3.1 Schichten und Abhängigkeitsregel</w:t>
      </w:r>
    </w:p>
    <w:p>
      <w:pPr>
        <w:pStyle w:val="Heading2"/>
      </w:pPr>
      <w:r>
        <w:t xml:space="preserve">3.2 Kernklassen der Gebäudesimulation</w:t>
      </w:r>
    </w:p>
    <w:p>
      <w:r>
        <w:t xml:space="preserve">Die Physik liegt in </w:t>
      </w:r>
      <w:r>
        <w:rPr>
          <w:b/>
        </w:rPr>
        <w:t xml:space="preserve">einer</w:t>
      </w:r>
      <w:r>
        <w:t xml:space="preserve"> Ablage, </w:t>
      </w:r>
      <w:r>
        <w:rPr>
          <w:rFonts w:ascii="Consolas" w:hAnsi="Consolas" w:cs="Consolas"/>
          <w:noProof/>
          <w:sz w:val="20"/>
          <w:szCs w:val="20"/>
          <w:shd w:val="clear" w:color="auto" w:fill="EFEFEF"/>
        </w:rPr>
        <w:t xml:space="preserve">EPOS.Kern/Allgemein/Simulation/Gebaeude/</w:t>
      </w:r>
      <w:r>
        <w:t xml:space="preserve">, mit </w:t>
      </w:r>
      <w:r>
        <w:rPr>
          <w:b/>
        </w:rPr>
        <w:t xml:space="preserve">vierzehn Bausteinen</w:t>
      </w:r>
      <w:r>
        <w:t xml:space="preserve">, davon neun bis Stufe G1; durchgehend </w:t>
      </w:r>
      <w:r>
        <w:rPr>
          <w:rFonts w:ascii="Consolas" w:hAnsi="Consolas" w:cs="Consolas"/>
          <w:noProof/>
          <w:sz w:val="20"/>
          <w:szCs w:val="20"/>
          <w:shd w:val="clear" w:color="auto" w:fill="EFEFEF"/>
        </w:rPr>
        <w:t xml:space="preserve">double</w:t>
      </w:r>
      <w:r>
        <w:t xml:space="preserve">, Zustand je Instanz. Der Ordner liegt damit von selbst unter dem Wächter, der </w:t>
      </w:r>
      <w:r>
        <w:rPr>
          <w:rFonts w:ascii="Consolas" w:hAnsi="Consolas" w:cs="Consolas"/>
          <w:noProof/>
          <w:sz w:val="20"/>
          <w:szCs w:val="20"/>
          <w:shd w:val="clear" w:color="auto" w:fill="EFEFEF"/>
        </w:rPr>
        <w:t xml:space="preserve">float</w:t>
      </w:r>
      <w:r>
        <w:t xml:space="preserve"> und </w:t>
      </w:r>
      <w:r>
        <w:rPr>
          <w:rFonts w:ascii="Consolas" w:hAnsi="Consolas" w:cs="Consolas"/>
          <w:noProof/>
          <w:sz w:val="20"/>
          <w:szCs w:val="20"/>
          <w:shd w:val="clear" w:color="auto" w:fill="EFEFEF"/>
        </w:rPr>
        <w:t xml:space="preserve">MathF</w:t>
      </w:r>
      <w:r>
        <w:t xml:space="preserve"> unterhalb von </w:t>
      </w:r>
      <w:r>
        <w:rPr>
          <w:rFonts w:ascii="Consolas" w:hAnsi="Consolas" w:cs="Consolas"/>
          <w:noProof/>
          <w:sz w:val="20"/>
          <w:szCs w:val="20"/>
          <w:shd w:val="clear" w:color="auto" w:fill="EFEFEF"/>
        </w:rPr>
        <w:t xml:space="preserve">Simulation/</w:t>
      </w:r>
      <w:r>
        <w:t xml:space="preserve"> verbietet.</w:t>
      </w:r>
    </w:p>
    <w:p>
      <w:r>
        <w:rPr>
          <w:b/>
        </w:rPr>
        <w:t xml:space="preserve">Der Altweg liegt nicht in dieser Ablage</w:t>
      </w:r>
      <w:r>
        <w:t xml:space="preserve"> (E20). Der Tagesbilanz-Weg wandert </w:t>
      </w:r>
      <w:r>
        <w:rPr>
          <w:b/>
        </w:rPr>
        <w:t xml:space="preserve">Zeichen für Zeichen</w:t>
      </w:r>
      <w:r>
        <w:t xml:space="preserve"> nach </w:t>
      </w:r>
      <w:r>
        <w:rPr>
          <w:rFonts w:ascii="Consolas" w:hAnsi="Consolas" w:cs="Consolas"/>
          <w:noProof/>
          <w:sz w:val="20"/>
          <w:szCs w:val="20"/>
          <w:shd w:val="clear" w:color="auto" w:fill="EFEFEF"/>
        </w:rPr>
        <w:t xml:space="preserve">EPOS.Kern/Allgemein/Simulation/Altweg/</w:t>
      </w:r>
      <w:r>
        <w:t xml:space="preserve">, bekommt dort keine neue Funktion mehr — nur noch Fehlerbehebung — und bleibt </w:t>
      </w:r>
      <w:r>
        <w:rPr>
          <w:b/>
        </w:rPr>
        <w:t xml:space="preserve">dauerhaft</w:t>
      </w:r>
      <w:r>
        <w:t xml:space="preserve"> als eingefrorener Bestandsweg (E23). Kein Baustein aus </w:t>
      </w:r>
      <w:r>
        <w:rPr>
          <w:rFonts w:ascii="Consolas" w:hAnsi="Consolas" w:cs="Consolas"/>
          <w:noProof/>
          <w:sz w:val="20"/>
          <w:szCs w:val="20"/>
          <w:shd w:val="clear" w:color="auto" w:fill="EFEFEF"/>
        </w:rPr>
        <w:t xml:space="preserve">Gebaeude/</w:t>
      </w:r>
      <w:r>
        <w:t xml:space="preserve"> ruft ihn, und er ruft keinen; was beide brauchen, liefert der modellfreie Vorbereitungsschritt der Fassade. Auf der </w:t>
      </w:r>
      <w:r>
        <w:rPr>
          <w:b/>
        </w:rPr>
        <w:t xml:space="preserve">Kälteseite gibt es ihn gar nicht</w:t>
      </w:r>
      <w:r>
        <w:t xml:space="preserve"> (E21): Ein Gebäude auf dem Altweg führt Kältebedarf 0 mit ausdrücklichem Hinweis, nicht mit einer stillen Null.</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Baustein</w:t>
            </w:r>
          </w:p>
        </w:tc>
        <w:tc>
          <w:tcPr>
            <w:tcW w:w="0" w:type="auto"/>
            <w:shd w:val="clear" w:color="auto" w:fill="D9D9D9"/>
          </w:tcPr>
          <w:p>
            <w:pPr>
              <w:spacing w:after="0" w:line="240" w:lineRule="auto"/>
              <w:rPr>
                <w:b/>
              </w:rPr>
            </w:pPr>
            <w:r>
              <w:rPr>
                <w:b/>
              </w:rPr>
              <w:t xml:space="preserve">Ort</w:t>
            </w:r>
          </w:p>
        </w:tc>
        <w:tc>
          <w:tcPr>
            <w:tcW w:w="0" w:type="auto"/>
            <w:shd w:val="clear" w:color="auto" w:fill="D9D9D9"/>
          </w:tcPr>
          <w:p>
            <w:pPr>
              <w:spacing w:after="0" w:line="240" w:lineRule="auto"/>
              <w:rPr>
                <w:b/>
              </w:rPr>
            </w:pPr>
            <w:r>
              <w:rPr>
                <w:b/>
              </w:rPr>
              <w:t xml:space="preserve">Aufgabe</w:t>
            </w:r>
          </w:p>
        </w:tc>
        <w:tc>
          <w:tcPr>
            <w:tcW w:w="0" w:type="auto"/>
            <w:shd w:val="clear" w:color="auto" w:fill="D9D9D9"/>
          </w:tcPr>
          <w:p>
            <w:pPr>
              <w:spacing w:after="0" w:line="240" w:lineRule="auto"/>
              <w:rPr>
                <w:b/>
              </w:rPr>
            </w:pPr>
            <w:r>
              <w:rPr>
                <w:b/>
              </w:rPr>
              <w:t xml:space="preserve">Stufe</w:t>
            </w:r>
          </w:p>
        </w:tc>
      </w:tr>
      <w:tr>
        <w:tc>
          <w:tcPr>
            <w:tcW w:w="0" w:type="auto"/>
          </w:tcPr>
          <w:p>
            <w:pPr>
              <w:spacing w:after="0" w:line="240" w:lineRule="auto"/>
            </w:pPr>
            <w:r>
              <w:rPr>
                <w:rFonts w:ascii="Consolas" w:hAnsi="Consolas" w:cs="Consolas"/>
                <w:noProof/>
                <w:sz w:val="20"/>
                <w:szCs w:val="20"/>
                <w:shd w:val="clear" w:color="auto" w:fill="EFEFEF"/>
              </w:rPr>
              <w:t xml:space="preserve">Zonenmodell2K</w:t>
            </w:r>
            <w:r>
              <w:t xml:space="preserve"> (Name nach der Norm)</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der Löser einer Zone: baut die Systemmatrix einmal, rechnet je Blockstunde einen Schritt; Zustand sind zwei </w:t>
            </w:r>
            <w:r>
              <w:rPr>
                <w:rFonts w:ascii="Consolas" w:hAnsi="Consolas" w:cs="Consolas"/>
                <w:noProof/>
                <w:sz w:val="20"/>
                <w:szCs w:val="20"/>
                <w:shd w:val="clear" w:color="auto" w:fill="EFEFEF"/>
              </w:rPr>
              <w:t xml:space="preserve">double</w:t>
            </w:r>
          </w:p>
        </w:tc>
        <w:tc>
          <w:tcPr>
            <w:tcW w:w="0" w:type="auto"/>
          </w:tcPr>
          <w:p>
            <w:pPr>
              <w:spacing w:after="0" w:line="240" w:lineRule="auto"/>
            </w:pPr>
            <w:r>
              <w:t xml:space="preserve">G0</w:t>
            </w:r>
          </w:p>
        </w:tc>
      </w:tr>
      <w:tr>
        <w:tc>
          <w:tcPr>
            <w:tcW w:w="0" w:type="auto"/>
          </w:tcPr>
          <w:p>
            <w:pPr>
              <w:spacing w:after="0" w:line="240" w:lineRule="auto"/>
            </w:pPr>
            <w:r>
              <w:rPr>
                <w:rFonts w:ascii="Consolas" w:hAnsi="Consolas" w:cs="Consolas"/>
                <w:noProof/>
                <w:sz w:val="20"/>
                <w:szCs w:val="20"/>
                <w:shd w:val="clear" w:color="auto" w:fill="EFEFEF"/>
              </w:rPr>
              <w:t xml:space="preserve">Stundenrand</w:t>
            </w:r>
          </w:p>
        </w:tc>
        <w:tc>
          <w:tcPr>
            <w:tcW w:w="0" w:type="auto"/>
          </w:tcPr>
          <w:p>
            <w:pPr>
              <w:spacing w:after="0" w:line="240" w:lineRule="auto"/>
            </w:pPr>
            <w:r>
              <w:t xml:space="preserve">in </w:t>
            </w:r>
            <w:r>
              <w:rPr>
                <w:rFonts w:ascii="Consolas" w:hAnsi="Consolas" w:cs="Consolas"/>
                <w:noProof/>
                <w:sz w:val="20"/>
                <w:szCs w:val="20"/>
                <w:shd w:val="clear" w:color="auto" w:fill="EFEFEF"/>
              </w:rPr>
              <w:t xml:space="preserve">Zonenmodell2K.cs</w:t>
            </w:r>
          </w:p>
        </w:tc>
        <w:tc>
          <w:tcPr>
            <w:tcW w:w="0" w:type="auto"/>
          </w:tcPr>
          <w:p>
            <w:pPr>
              <w:spacing w:after="0" w:line="240" w:lineRule="auto"/>
            </w:pPr>
            <w:r>
              <w:t xml:space="preserve">der Vertrag hinein: Außen- und Äquivalenttemperatur, Soll- und Höchstwert, die drei Lasten, Leistungsgrenze, Strahlungsanteil der Heizung</w:t>
            </w:r>
          </w:p>
        </w:tc>
        <w:tc>
          <w:tcPr>
            <w:tcW w:w="0" w:type="auto"/>
          </w:tcPr>
          <w:p>
            <w:pPr>
              <w:spacing w:after="0" w:line="240" w:lineRule="auto"/>
            </w:pPr>
            <w:r>
              <w:t xml:space="preserve">G0</w:t>
            </w:r>
          </w:p>
        </w:tc>
      </w:tr>
      <w:tr>
        <w:tc>
          <w:tcPr>
            <w:tcW w:w="0" w:type="auto"/>
          </w:tcPr>
          <w:p>
            <w:pPr>
              <w:spacing w:after="0" w:line="240" w:lineRule="auto"/>
            </w:pPr>
            <w:r>
              <w:rPr>
                <w:rFonts w:ascii="Consolas" w:hAnsi="Consolas" w:cs="Consolas"/>
                <w:noProof/>
                <w:sz w:val="20"/>
                <w:szCs w:val="20"/>
                <w:shd w:val="clear" w:color="auto" w:fill="EFEFEF"/>
              </w:rPr>
              <w:t xml:space="preserve">Stundenergebnis</w:t>
            </w:r>
          </w:p>
        </w:tc>
        <w:tc>
          <w:tcPr>
            <w:tcW w:w="0" w:type="auto"/>
          </w:tcPr>
          <w:p>
            <w:pPr>
              <w:spacing w:after="0" w:line="240" w:lineRule="auto"/>
            </w:pPr>
            <w:r>
              <w:t xml:space="preserve">in </w:t>
            </w:r>
            <w:r>
              <w:rPr>
                <w:rFonts w:ascii="Consolas" w:hAnsi="Consolas" w:cs="Consolas"/>
                <w:noProof/>
                <w:sz w:val="20"/>
                <w:szCs w:val="20"/>
                <w:shd w:val="clear" w:color="auto" w:fill="EFEFEF"/>
              </w:rPr>
              <w:t xml:space="preserve">Zonenmodell2K.cs</w:t>
            </w:r>
          </w:p>
        </w:tc>
        <w:tc>
          <w:tcPr>
            <w:tcW w:w="0" w:type="auto"/>
          </w:tcPr>
          <w:p>
            <w:pPr>
              <w:spacing w:after="0" w:line="240" w:lineRule="auto"/>
            </w:pPr>
            <w:r>
              <w:t xml:space="preserve">der Vertrag heraus: Heiz- und Kühlleistung als </w:t>
            </w:r>
            <w:r>
              <w:rPr>
                <w:b/>
              </w:rPr>
              <w:t xml:space="preserve">Blockmittel</w:t>
            </w:r>
            <w:r>
              <w:t xml:space="preserve">, Luft- und operative Temperatur, die beiden Endzustände</w:t>
            </w:r>
          </w:p>
        </w:tc>
        <w:tc>
          <w:tcPr>
            <w:tcW w:w="0" w:type="auto"/>
          </w:tcPr>
          <w:p>
            <w:pPr>
              <w:spacing w:after="0" w:line="240" w:lineRule="auto"/>
            </w:pPr>
            <w:r>
              <w:t xml:space="preserve">G0</w:t>
            </w:r>
          </w:p>
        </w:tc>
      </w:tr>
      <w:tr>
        <w:tc>
          <w:tcPr>
            <w:tcW w:w="0" w:type="auto"/>
          </w:tcPr>
          <w:p>
            <w:pPr>
              <w:spacing w:after="0" w:line="240" w:lineRule="auto"/>
            </w:pPr>
            <w:r>
              <w:rPr>
                <w:rFonts w:ascii="Consolas" w:hAnsi="Consolas" w:cs="Consolas"/>
                <w:noProof/>
                <w:sz w:val="20"/>
                <w:szCs w:val="20"/>
                <w:shd w:val="clear" w:color="auto" w:fill="EFEFEF"/>
              </w:rPr>
              <w:t xml:space="preserve">ErsatzparameterRC</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rPr>
                <w:rFonts w:ascii="Consolas" w:hAnsi="Consolas" w:cs="Consolas"/>
                <w:noProof/>
                <w:sz w:val="20"/>
                <w:szCs w:val="20"/>
                <w:shd w:val="clear" w:color="auto" w:fill="EFEFEF"/>
              </w:rPr>
              <w:t xml:space="preserve">record</w:t>
            </w:r>
            <w:r>
              <w:t xml:space="preserve"> mit den reduzierten RC-Größen; zwei Fabrikwege </w:t>
            </w:r>
            <w:r>
              <w:rPr>
                <w:rFonts w:ascii="Consolas" w:hAnsi="Consolas" w:cs="Consolas"/>
                <w:noProof/>
                <w:sz w:val="20"/>
                <w:szCs w:val="20"/>
                <w:shd w:val="clear" w:color="auto" w:fill="EFEFEF"/>
              </w:rPr>
              <w:t xml:space="preserve">AusKlassenweg</w:t>
            </w:r>
            <w:r>
              <w:t xml:space="preserve"> und </w:t>
            </w:r>
            <w:r>
              <w:rPr>
                <w:rFonts w:ascii="Consolas" w:hAnsi="Consolas" w:cs="Consolas"/>
                <w:noProof/>
                <w:sz w:val="20"/>
                <w:szCs w:val="20"/>
                <w:shd w:val="clear" w:color="auto" w:fill="EFEFEF"/>
              </w:rPr>
              <w:t xml:space="preserve">AusBauteilweg</w:t>
            </w:r>
            <w:r>
              <w:t xml:space="preserve">; harte Prüfungen mit benanntem Fehler statt stillem Rückfall</w:t>
            </w:r>
          </w:p>
        </w:tc>
        <w:tc>
          <w:tcPr>
            <w:tcW w:w="0" w:type="auto"/>
          </w:tcPr>
          <w:p>
            <w:pPr>
              <w:spacing w:after="0" w:line="240" w:lineRule="auto"/>
            </w:pPr>
            <w:r>
              <w:t xml:space="preserve">G0 · G3</w:t>
            </w:r>
          </w:p>
        </w:tc>
      </w:tr>
      <w:tr>
        <w:tc>
          <w:tcPr>
            <w:tcW w:w="0" w:type="auto"/>
          </w:tcPr>
          <w:p>
            <w:pPr>
              <w:spacing w:after="0" w:line="240" w:lineRule="auto"/>
            </w:pPr>
            <w:r>
              <w:rPr>
                <w:rFonts w:ascii="Consolas" w:hAnsi="Consolas" w:cs="Consolas"/>
                <w:noProof/>
                <w:sz w:val="20"/>
                <w:szCs w:val="20"/>
                <w:shd w:val="clear" w:color="auto" w:fill="EFEFEF"/>
              </w:rPr>
              <w:t xml:space="preserve">Bauteilreduktion</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Kettenmatrix je Bauteil über </w:t>
            </w:r>
            <w:r>
              <w:rPr>
                <w:rFonts w:ascii="Consolas" w:hAnsi="Consolas" w:cs="Consolas"/>
                <w:noProof/>
                <w:sz w:val="20"/>
                <w:szCs w:val="20"/>
                <w:shd w:val="clear" w:color="auto" w:fill="EFEFEF"/>
              </w:rPr>
              <w:t xml:space="preserve">System.Numerics.Complex</w:t>
            </w:r>
          </w:p>
        </w:tc>
        <w:tc>
          <w:tcPr>
            <w:tcW w:w="0" w:type="auto"/>
          </w:tcPr>
          <w:p>
            <w:pPr>
              <w:spacing w:after="0" w:line="240" w:lineRule="auto"/>
            </w:pPr>
            <w:r>
              <w:t xml:space="preserve">G0 (leerer Platz) · G3</w:t>
            </w:r>
          </w:p>
        </w:tc>
      </w:tr>
      <w:tr>
        <w:tc>
          <w:tcPr>
            <w:tcW w:w="0" w:type="auto"/>
          </w:tcPr>
          <w:p>
            <w:pPr>
              <w:spacing w:after="0" w:line="240" w:lineRule="auto"/>
            </w:pPr>
            <w:r>
              <w:rPr>
                <w:rFonts w:ascii="Consolas" w:hAnsi="Consolas" w:cs="Consolas"/>
                <w:noProof/>
                <w:sz w:val="20"/>
                <w:szCs w:val="20"/>
                <w:shd w:val="clear" w:color="auto" w:fill="EFEFEF"/>
              </w:rPr>
              <w:t xml:space="preserve">GebaeudeKlimaweg</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bereitet die Klimareihen auf: Zeitbezug der Sonnengeometrie, Azimutzuordnung der vier Fensterrichtungen, Erdreichtemperatur, Wochenendkalender</w:t>
            </w:r>
          </w:p>
        </w:tc>
        <w:tc>
          <w:tcPr>
            <w:tcW w:w="0" w:type="auto"/>
          </w:tcPr>
          <w:p>
            <w:pPr>
              <w:spacing w:after="0" w:line="240" w:lineRule="auto"/>
            </w:pPr>
            <w:r>
              <w:t xml:space="preserve">G1</w:t>
            </w:r>
          </w:p>
        </w:tc>
      </w:tr>
      <w:tr>
        <w:tc>
          <w:tcPr>
            <w:tcW w:w="0" w:type="auto"/>
          </w:tcPr>
          <w:p>
            <w:pPr>
              <w:spacing w:after="0" w:line="240" w:lineRule="auto"/>
            </w:pPr>
            <w:r>
              <w:rPr>
                <w:rFonts w:ascii="Consolas" w:hAnsi="Consolas" w:cs="Consolas"/>
                <w:noProof/>
                <w:sz w:val="20"/>
                <w:szCs w:val="20"/>
                <w:shd w:val="clear" w:color="auto" w:fill="EFEFEF"/>
              </w:rPr>
              <w:t xml:space="preserve">GebaeudeModellEingang</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die 8 760 Randbedingungen samt </w:t>
            </w:r>
            <w:r>
              <w:rPr>
                <w:rFonts w:ascii="Consolas" w:hAnsi="Consolas" w:cs="Consolas"/>
                <w:noProof/>
                <w:sz w:val="20"/>
                <w:szCs w:val="20"/>
                <w:shd w:val="clear" w:color="auto" w:fill="EFEFEF"/>
              </w:rPr>
              <w:t xml:space="preserve">ErsatzparameterRC</w:t>
            </w:r>
            <w:r>
              <w:t xml:space="preserve"> und dem Schalter </w:t>
            </w:r>
            <w:r>
              <w:rPr>
                <w:rFonts w:ascii="Consolas" w:hAnsi="Consolas" w:cs="Consolas"/>
                <w:noProof/>
                <w:sz w:val="20"/>
                <w:szCs w:val="20"/>
                <w:shd w:val="clear" w:color="auto" w:fill="EFEFEF"/>
              </w:rPr>
              <w:t xml:space="preserve">Pruefmodus</w:t>
            </w:r>
            <w:r>
              <w:t xml:space="preserve">; die statische Fabrik </w:t>
            </w:r>
            <w:r>
              <w:rPr>
                <w:rFonts w:ascii="Consolas" w:hAnsi="Consolas" w:cs="Consolas"/>
                <w:noProof/>
                <w:sz w:val="20"/>
                <w:szCs w:val="20"/>
                <w:shd w:val="clear" w:color="auto" w:fill="EFEFEF"/>
              </w:rPr>
              <w:t xml:space="preserve">Bauen</w:t>
            </w:r>
            <w:r>
              <w:t xml:space="preserve"> ist der Eingangsbauer und die eine Stelle, an der </w:t>
            </w:r>
            <w:r>
              <w:rPr>
                <w:rFonts w:ascii="Consolas" w:hAnsi="Consolas" w:cs="Consolas"/>
                <w:noProof/>
                <w:sz w:val="20"/>
                <w:szCs w:val="20"/>
                <w:shd w:val="clear" w:color="auto" w:fill="EFEFEF"/>
              </w:rPr>
              <w:t xml:space="preserve">GebaeudeKlimaweg</w:t>
            </w:r>
            <w:r>
              <w:t xml:space="preserve"> gerufen wird</w:t>
            </w:r>
          </w:p>
        </w:tc>
        <w:tc>
          <w:tcPr>
            <w:tcW w:w="0" w:type="auto"/>
          </w:tcPr>
          <w:p>
            <w:pPr>
              <w:spacing w:after="0" w:line="240" w:lineRule="auto"/>
            </w:pPr>
            <w:r>
              <w:t xml:space="preserve">G1</w:t>
            </w:r>
          </w:p>
        </w:tc>
      </w:tr>
      <w:tr>
        <w:tc>
          <w:tcPr>
            <w:tcW w:w="0" w:type="auto"/>
          </w:tcPr>
          <w:p>
            <w:pPr>
              <w:spacing w:after="0" w:line="240" w:lineRule="auto"/>
            </w:pPr>
            <w:r>
              <w:rPr>
                <w:rFonts w:ascii="Consolas" w:hAnsi="Consolas" w:cs="Consolas"/>
                <w:noProof/>
                <w:sz w:val="20"/>
                <w:szCs w:val="20"/>
                <w:shd w:val="clear" w:color="auto" w:fill="EFEFEF"/>
              </w:rPr>
              <w:t xml:space="preserve">GebaeudeModellErgebnis</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Reihen und Kennzahlen eines Gebäudes; </w:t>
            </w:r>
            <w:r>
              <w:rPr>
                <w:b/>
              </w:rPr>
              <w:t xml:space="preserve">die Einheit steht im Namen</w:t>
            </w:r>
            <w:r>
              <w:t xml:space="preserve"> — </w:t>
            </w:r>
            <w:r>
              <w:rPr>
                <w:rFonts w:ascii="Consolas" w:hAnsi="Consolas" w:cs="Consolas"/>
                <w:noProof/>
                <w:sz w:val="20"/>
                <w:szCs w:val="20"/>
                <w:shd w:val="clear" w:color="auto" w:fill="EFEFEF"/>
              </w:rPr>
              <w:t xml:space="preserve">HeizlastW</w:t>
            </w:r>
            <w:r>
              <w:t xml:space="preserve"> in Watt, Zeitreihen kWh, Jahressummen MWh, Leistungen kW</w:t>
            </w:r>
          </w:p>
        </w:tc>
        <w:tc>
          <w:tcPr>
            <w:tcW w:w="0" w:type="auto"/>
          </w:tcPr>
          <w:p>
            <w:pPr>
              <w:spacing w:after="0" w:line="240" w:lineRule="auto"/>
            </w:pPr>
            <w:r>
              <w:t xml:space="preserve">G1</w:t>
            </w:r>
          </w:p>
        </w:tc>
      </w:tr>
      <w:tr>
        <w:tc>
          <w:tcPr>
            <w:tcW w:w="0" w:type="auto"/>
          </w:tcPr>
          <w:p>
            <w:pPr>
              <w:spacing w:after="0" w:line="240" w:lineRule="auto"/>
            </w:pPr>
            <w:r>
              <w:rPr>
                <w:rFonts w:ascii="Consolas" w:hAnsi="Consolas" w:cs="Consolas"/>
                <w:noProof/>
                <w:sz w:val="20"/>
                <w:szCs w:val="20"/>
                <w:shd w:val="clear" w:color="auto" w:fill="EFEFEF"/>
              </w:rPr>
              <w:t xml:space="preserve">Gebaeudepruefung</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die Prüfungen zwischen Geschwistern: Flächensumme, geschlossene Hülle, Trennflächenbilanz, Nachbar existiert, Luftstrombilanz, Zonenzahl; liefert Meldungsschlüssel mit Präfix </w:t>
            </w:r>
            <w:r>
              <w:rPr>
                <w:rFonts w:ascii="Consolas" w:hAnsi="Consolas" w:cs="Consolas"/>
                <w:noProof/>
                <w:sz w:val="20"/>
                <w:szCs w:val="20"/>
                <w:shd w:val="clear" w:color="auto" w:fill="EFEFEF"/>
              </w:rPr>
              <w:t xml:space="preserve">GEBP_</w:t>
            </w:r>
          </w:p>
        </w:tc>
        <w:tc>
          <w:tcPr>
            <w:tcW w:w="0" w:type="auto"/>
          </w:tcPr>
          <w:p>
            <w:pPr>
              <w:spacing w:after="0" w:line="240" w:lineRule="auto"/>
            </w:pPr>
            <w:r>
              <w:t xml:space="preserve">G1 · G6</w:t>
            </w:r>
          </w:p>
        </w:tc>
      </w:tr>
      <w:tr>
        <w:tc>
          <w:tcPr>
            <w:tcW w:w="0" w:type="auto"/>
          </w:tcPr>
          <w:p>
            <w:pPr>
              <w:spacing w:after="0" w:line="240" w:lineRule="auto"/>
            </w:pPr>
            <w:r>
              <w:rPr>
                <w:rFonts w:ascii="Consolas" w:hAnsi="Consolas" w:cs="Consolas"/>
                <w:noProof/>
                <w:sz w:val="20"/>
                <w:szCs w:val="20"/>
                <w:shd w:val="clear" w:color="auto" w:fill="EFEFEF"/>
              </w:rPr>
              <w:t xml:space="preserve">Zonenkopplung</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der Durchlauf über die Zonen </w:t>
            </w:r>
            <w:r>
              <w:rPr>
                <w:b/>
              </w:rPr>
              <w:t xml:space="preserve">einer</w:t>
            </w:r>
            <w:r>
              <w:t xml:space="preserve"> Stunde in fester Reihenfolge, mit Abbruchmaßen und Höchstzahl</w:t>
            </w:r>
          </w:p>
        </w:tc>
        <w:tc>
          <w:tcPr>
            <w:tcW w:w="0" w:type="auto"/>
          </w:tcPr>
          <w:p>
            <w:pPr>
              <w:spacing w:after="0" w:line="240" w:lineRule="auto"/>
            </w:pPr>
            <w:r>
              <w:t xml:space="preserve">G6</w:t>
            </w:r>
          </w:p>
        </w:tc>
      </w:tr>
      <w:tr>
        <w:tc>
          <w:tcPr>
            <w:tcW w:w="0" w:type="auto"/>
          </w:tcPr>
          <w:p>
            <w:pPr>
              <w:spacing w:after="0" w:line="240" w:lineRule="auto"/>
            </w:pPr>
            <w:r>
              <w:rPr>
                <w:rFonts w:ascii="Consolas" w:hAnsi="Consolas" w:cs="Consolas"/>
                <w:noProof/>
                <w:sz w:val="20"/>
                <w:szCs w:val="20"/>
                <w:shd w:val="clear" w:color="auto" w:fill="EFEFEF"/>
              </w:rPr>
              <w:t xml:space="preserve">ZonenEingang</w:t>
            </w:r>
            <w:r>
              <w:t xml:space="preserve">, </w:t>
            </w:r>
            <w:r>
              <w:rPr>
                <w:rFonts w:ascii="Consolas" w:hAnsi="Consolas" w:cs="Consolas"/>
                <w:noProof/>
                <w:sz w:val="20"/>
                <w:szCs w:val="20"/>
                <w:shd w:val="clear" w:color="auto" w:fill="EFEFEF"/>
              </w:rPr>
              <w:t xml:space="preserve">ZonenErgebnis</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Randbedingungen und Ergebnis je Zone; der Eingang führt sie als geordnete Liste, das Ergebnis summiert die Gebäudesumme</w:t>
            </w:r>
          </w:p>
        </w:tc>
        <w:tc>
          <w:tcPr>
            <w:tcW w:w="0" w:type="auto"/>
          </w:tcPr>
          <w:p>
            <w:pPr>
              <w:spacing w:after="0" w:line="240" w:lineRule="auto"/>
            </w:pPr>
            <w:r>
              <w:t xml:space="preserve">G6</w:t>
            </w:r>
          </w:p>
        </w:tc>
      </w:tr>
      <w:tr>
        <w:tc>
          <w:tcPr>
            <w:tcW w:w="0" w:type="auto"/>
          </w:tcPr>
          <w:p>
            <w:pPr>
              <w:spacing w:after="0" w:line="240" w:lineRule="auto"/>
            </w:pPr>
            <w:r>
              <w:rPr>
                <w:rFonts w:ascii="Consolas" w:hAnsi="Consolas" w:cs="Consolas"/>
                <w:noProof/>
                <w:sz w:val="20"/>
                <w:szCs w:val="20"/>
                <w:shd w:val="clear" w:color="auto" w:fill="EFEFEF"/>
              </w:rPr>
              <w:t xml:space="preserve">Zonengeometrie</w:t>
            </w:r>
            <w:r>
              <w:t xml:space="preserve">, </w:t>
            </w:r>
            <w:r>
              <w:rPr>
                <w:rFonts w:ascii="Consolas" w:hAnsi="Consolas" w:cs="Consolas"/>
                <w:noProof/>
                <w:sz w:val="20"/>
                <w:szCs w:val="20"/>
                <w:shd w:val="clear" w:color="auto" w:fill="EFEFEF"/>
              </w:rPr>
              <w:t xml:space="preserve">Zonenumriss</w:t>
            </w:r>
          </w:p>
        </w:tc>
        <w:tc>
          <w:tcPr>
            <w:tcW w:w="0" w:type="auto"/>
          </w:tcPr>
          <w:p>
            <w:pPr>
              <w:spacing w:after="0" w:line="240" w:lineRule="auto"/>
            </w:pPr>
            <w:r>
              <w:rPr>
                <w:rFonts w:ascii="Consolas" w:hAnsi="Consolas" w:cs="Consolas"/>
                <w:noProof/>
                <w:sz w:val="20"/>
                <w:szCs w:val="20"/>
                <w:shd w:val="clear" w:color="auto" w:fill="EFEFEF"/>
              </w:rPr>
              <w:t xml:space="preserve">Simulation/Gebaeude/</w:t>
            </w:r>
          </w:p>
        </w:tc>
        <w:tc>
          <w:tcPr>
            <w:tcW w:w="0" w:type="auto"/>
          </w:tcPr>
          <w:p>
            <w:pPr>
              <w:spacing w:after="0" w:line="240" w:lineRule="auto"/>
            </w:pPr>
            <w:r>
              <w:t xml:space="preserve">das </w:t>
            </w:r>
            <w:r>
              <w:rPr>
                <w:b/>
              </w:rPr>
              <w:t xml:space="preserve">Zonengeometrie-Modell</w:t>
            </w:r>
            <w:r>
              <w:t xml:space="preserve"> nach </w:t>
            </w:r>
            <w:r>
              <w:rPr>
                <w:b/>
              </w:rPr>
              <w:t xml:space="preserve">E11</w:t>
            </w:r>
            <w:r>
              <w:t xml:space="preserve">: je Zone ein Grundrisspolygon, eine Höhe, ein Geschoss und die Zuordnung der Bauteile zu den Polygonkanten, zu Boden und zu Decke. Zwei Fabrikwege wie bei </w:t>
            </w:r>
            <w:r>
              <w:rPr>
                <w:rFonts w:ascii="Consolas" w:hAnsi="Consolas" w:cs="Consolas"/>
                <w:noProof/>
                <w:sz w:val="20"/>
                <w:szCs w:val="20"/>
                <w:shd w:val="clear" w:color="auto" w:fill="EFEFEF"/>
              </w:rPr>
              <w:t xml:space="preserve">ErsatzparameterRC</w:t>
            </w:r>
            <w:r>
              <w:t xml:space="preserve">: </w:t>
            </w:r>
            <w:r>
              <w:rPr>
                <w:rFonts w:ascii="Consolas" w:hAnsi="Consolas" w:cs="Consolas"/>
                <w:noProof/>
                <w:sz w:val="20"/>
                <w:szCs w:val="20"/>
                <w:shd w:val="clear" w:color="auto" w:fill="EFEFEF"/>
              </w:rPr>
              <w:t xml:space="preserve">AusRaumgrenzen</w:t>
            </w:r>
            <w:r>
              <w:t xml:space="preserve"> (mit IFC, aus den Raumgrenzen) und </w:t>
            </w:r>
            <w:r>
              <w:rPr>
                <w:rFonts w:ascii="Consolas" w:hAnsi="Consolas" w:cs="Consolas"/>
                <w:noProof/>
                <w:sz w:val="20"/>
                <w:szCs w:val="20"/>
                <w:shd w:val="clear" w:color="auto" w:fill="EFEFEF"/>
              </w:rPr>
              <w:t xml:space="preserve">AusFlaechen</w:t>
            </w:r>
            <w:r>
              <w:t xml:space="preserve"> (ohne IFC, aus Zonenfläche und dem Seitenverhältnis der Bauteilgruppen). </w:t>
            </w:r>
            <w:r>
              <w:rPr>
                <w:b/>
              </w:rPr>
              <w:t xml:space="preserve">Eine Quelle, drei Abnehmer:</w:t>
            </w:r>
            <w:r>
              <w:t xml:space="preserve"> Ansicht, gbXML-Export, IFC-Export</w:t>
            </w:r>
          </w:p>
        </w:tc>
        <w:tc>
          <w:tcPr>
            <w:tcW w:w="0" w:type="auto"/>
          </w:tcPr>
          <w:p>
            <w:pPr>
              <w:spacing w:after="0" w:line="240" w:lineRule="auto"/>
            </w:pPr>
            <w:r>
              <w:t xml:space="preserve">G6c</w:t>
            </w:r>
          </w:p>
        </w:tc>
      </w:tr>
    </w:tbl>
    <w:p>
      <w:pPr>
        <w:spacing w:after="120"/>
      </w:pPr>
    </w:p>
    <w:p>
      <w:r>
        <w:t xml:space="preserve">Vier Festlegungen folgen aus dem Bestand: </w:t>
      </w:r>
      <w:r>
        <w:rPr>
          <w:b/>
        </w:rPr>
        <w:t xml:space="preserve">zwei Fabrikwege, ein Record</w:t>
      </w:r>
      <w:r>
        <w:t xml:space="preserve"> — Klassenweg und Bauteilweg sind Fabrikmethoden desselben </w:t>
      </w:r>
      <w:r>
        <w:rPr>
          <w:rFonts w:ascii="Consolas" w:hAnsi="Consolas" w:cs="Consolas"/>
          <w:noProof/>
          <w:sz w:val="20"/>
          <w:szCs w:val="20"/>
          <w:shd w:val="clear" w:color="auto" w:fill="EFEFEF"/>
        </w:rPr>
        <w:t xml:space="preserve">ErsatzparameterRC</w:t>
      </w:r>
      <w:r>
        <w:t xml:space="preserve">, sonst gäbe es zwei Wahrheiten über dieselben Größen; </w:t>
      </w:r>
      <w:r>
        <w:rPr>
          <w:rFonts w:ascii="Consolas" w:hAnsi="Consolas" w:cs="Consolas"/>
          <w:b/>
          <w:noProof/>
          <w:sz w:val="20"/>
          <w:szCs w:val="20"/>
          <w:shd w:val="clear" w:color="auto" w:fill="EFEFEF"/>
        </w:rPr>
        <w:t xml:space="preserve">Zuruecksetzen</w:t>
      </w:r>
      <w:r>
        <w:rPr>
          <w:b/>
        </w:rPr>
        <w:t xml:space="preserve"> ist Pflicht</w:t>
      </w:r>
      <w:r>
        <w:t xml:space="preserve">, weil ein Verbrauchsgebäude zweimal gerechnet wird; </w:t>
      </w:r>
      <w:r>
        <w:rPr>
          <w:b/>
        </w:rPr>
        <w:t xml:space="preserve">die Einheit im Namen ist bewacht, aber nur halb</w:t>
      </w:r>
      <w:r>
        <w:t xml:space="preserve"> — die neuen Ergebnisklassen müssen namentlich und </w:t>
      </w:r>
      <w:r>
        <w:rPr>
          <w:b/>
        </w:rPr>
        <w:t xml:space="preserve">mit Unterordner</w:t>
      </w:r>
      <w:r>
        <w:t xml:space="preserve"> in die Wächterliste; und der Vertrag des Lösers steht in derselben Datei wie der Löser.</w:t>
      </w:r>
    </w:p>
    <w:p>
      <w:pPr>
        <w:pStyle w:val="Diagrammbild"/>
      </w:pPr>
      <w:r>
        <w:drawing>
          <wp:inline xmlns:wp="http://schemas.openxmlformats.org/drawingml/2006/wordprocessingDrawing" distT="0" distB="0" distL="0" distR="0">
            <wp:extent cx="6120130" cy="2842035"/>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4.png"/>
                    <pic:cNvPicPr/>
                  </pic:nvPicPr>
                  <pic:blipFill>
                    <a:blip xmlns:r="http://schemas.openxmlformats.org/officeDocument/2006/relationships" r:embed="R4c2df93bd98943e3"/>
                    <a:stretch>
                      <a:fillRect/>
                    </a:stretch>
                  </pic:blipFill>
                  <pic:spPr>
                    <a:xfrm>
                      <a:off x="0" y="0"/>
                      <a:ext cx="6120130" cy="2842035"/>
                    </a:xfrm>
                    <a:prstGeom prst="rect">
                      <a:avLst/>
                    </a:prstGeom>
                  </pic:spPr>
                </pic:pic>
              </a:graphicData>
            </a:graphic>
          </wp:inline>
        </w:drawing>
      </w:r>
    </w:p>
    <w:p>
      <w:pPr>
        <w:pStyle w:val="Bildunterschrift"/>
      </w:pPr>
      <w:r>
        <w:rPr>
          <w:i/>
          <w:iCs/>
        </w:rPr>
        <w:t xml:space="preserve">Bild 4: 3.2 Kernklassen der Gebäudesimulation</w:t>
      </w:r>
    </w:p>
    <w:p>
      <w:pPr>
        <w:pStyle w:val="Heading2"/>
      </w:pPr>
      <w:r>
        <w:t xml:space="preserve">3.3 Nähte und Plattform</w:t>
      </w:r>
    </w:p>
    <w:p>
      <w:r>
        <w:t xml:space="preserve">Drei benannte Nähte tragen alles Plattform- und Formatgebundene, dazu die vierte, vorhandene für Fortschritt und Abbruch.</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Naht</w:t>
            </w:r>
          </w:p>
        </w:tc>
        <w:tc>
          <w:tcPr>
            <w:tcW w:w="0" w:type="auto"/>
            <w:shd w:val="clear" w:color="auto" w:fill="D9D9D9"/>
          </w:tcPr>
          <w:p>
            <w:pPr>
              <w:spacing w:after="0" w:line="240" w:lineRule="auto"/>
              <w:rPr>
                <w:b/>
              </w:rPr>
            </w:pPr>
            <w:r>
              <w:rPr>
                <w:b/>
              </w:rPr>
              <w:t xml:space="preserve">Vertrag</w:t>
            </w:r>
          </w:p>
        </w:tc>
        <w:tc>
          <w:tcPr>
            <w:tcW w:w="0" w:type="auto"/>
            <w:shd w:val="clear" w:color="auto" w:fill="D9D9D9"/>
          </w:tcPr>
          <w:p>
            <w:pPr>
              <w:spacing w:after="0" w:line="240" w:lineRule="auto"/>
              <w:rPr>
                <w:b/>
              </w:rPr>
            </w:pPr>
            <w:r>
              <w:rPr>
                <w:b/>
              </w:rPr>
              <w:t xml:space="preserve">Windows</w:t>
            </w:r>
          </w:p>
        </w:tc>
        <w:tc>
          <w:tcPr>
            <w:tcW w:w="0" w:type="auto"/>
            <w:shd w:val="clear" w:color="auto" w:fill="D9D9D9"/>
          </w:tcPr>
          <w:p>
            <w:pPr>
              <w:spacing w:after="0" w:line="240" w:lineRule="auto"/>
              <w:rPr>
                <w:b/>
              </w:rPr>
            </w:pPr>
            <w:r>
              <w:rPr>
                <w:b/>
              </w:rPr>
              <w:t xml:space="preserve">iOS</w:t>
            </w:r>
          </w:p>
        </w:tc>
        <w:tc>
          <w:tcPr>
            <w:tcW w:w="0" w:type="auto"/>
            <w:shd w:val="clear" w:color="auto" w:fill="D9D9D9"/>
          </w:tcPr>
          <w:p>
            <w:pPr>
              <w:spacing w:after="0" w:line="240" w:lineRule="auto"/>
              <w:rPr>
                <w:b/>
              </w:rPr>
            </w:pPr>
            <w:r>
              <w:rPr>
                <w:b/>
              </w:rPr>
              <w:t xml:space="preserve">Ohne Belegung</w:t>
            </w:r>
          </w:p>
        </w:tc>
      </w:tr>
      <w:tr>
        <w:tc>
          <w:tcPr>
            <w:tcW w:w="0" w:type="auto"/>
          </w:tcPr>
          <w:p>
            <w:pPr>
              <w:spacing w:after="0" w:line="240" w:lineRule="auto"/>
            </w:pPr>
            <w:r>
              <w:rPr>
                <w:rFonts w:ascii="Consolas" w:hAnsi="Consolas" w:cs="Consolas"/>
                <w:noProof/>
                <w:sz w:val="20"/>
                <w:szCs w:val="20"/>
                <w:shd w:val="clear" w:color="auto" w:fill="EFEFEF"/>
              </w:rPr>
              <w:t xml:space="preserve">Gebaeudewege</w:t>
            </w:r>
          </w:p>
        </w:tc>
        <w:tc>
          <w:tcPr>
            <w:tcW w:w="0" w:type="auto"/>
          </w:tcPr>
          <w:p>
            <w:pPr>
              <w:spacing w:after="0" w:line="240" w:lineRule="auto"/>
            </w:pPr>
            <w:r>
              <w:t xml:space="preserve">zwei statische Haken: </w:t>
            </w:r>
            <w:r>
              <w:rPr>
                <w:rFonts w:ascii="Consolas" w:hAnsi="Consolas" w:cs="Consolas"/>
                <w:noProof/>
                <w:sz w:val="20"/>
                <w:szCs w:val="20"/>
                <w:shd w:val="clear" w:color="auto" w:fill="EFEFEF"/>
              </w:rPr>
              <w:t xml:space="preserve">BrauchwasserGaben</w:t>
            </w:r>
            <w:r>
              <w:t xml:space="preserve">, </w:t>
            </w:r>
            <w:r>
              <w:rPr>
                <w:rFonts w:ascii="Consolas" w:hAnsi="Consolas" w:cs="Consolas"/>
                <w:noProof/>
                <w:sz w:val="20"/>
                <w:szCs w:val="20"/>
                <w:shd w:val="clear" w:color="auto" w:fill="EFEFEF"/>
              </w:rPr>
              <w:t xml:space="preserve">GebaeudetypGaben</w:t>
            </w:r>
          </w:p>
        </w:tc>
        <w:tc>
          <w:tcPr>
            <w:tcW w:w="0" w:type="auto"/>
          </w:tcPr>
          <w:p>
            <w:pPr>
              <w:spacing w:after="0" w:line="240" w:lineRule="auto"/>
            </w:pPr>
            <w:r>
              <w:t xml:space="preserve">belegt in </w:t>
            </w:r>
            <w:r>
              <w:rPr>
                <w:rFonts w:ascii="Consolas" w:hAnsi="Consolas" w:cs="Consolas"/>
                <w:noProof/>
                <w:sz w:val="20"/>
                <w:szCs w:val="20"/>
                <w:shd w:val="clear" w:color="auto" w:fill="EFEFEF"/>
              </w:rPr>
              <w:t xml:space="preserve">Program.Main</w:t>
            </w:r>
          </w:p>
        </w:tc>
        <w:tc>
          <w:tcPr>
            <w:tcW w:w="0" w:type="auto"/>
          </w:tcPr>
          <w:p>
            <w:pPr>
              <w:spacing w:after="0" w:line="240" w:lineRule="auto"/>
            </w:pPr>
            <w:r>
              <w:t xml:space="preserve">lässt leer</w:t>
            </w:r>
          </w:p>
        </w:tc>
        <w:tc>
          <w:tcPr>
            <w:tcW w:w="0" w:type="auto"/>
          </w:tcPr>
          <w:p>
            <w:pPr>
              <w:spacing w:after="0" w:line="240" w:lineRule="auto"/>
            </w:pPr>
            <w:r>
              <w:rPr>
                <w:b/>
              </w:rPr>
              <w:t xml:space="preserve">„Kein Delegat ist kein Knopf"</w:t>
            </w:r>
            <w:r>
              <w:t xml:space="preserve"> — der Dialog zeigt den Knopf nicht, die Kernfunktion bleibt vollständig</w:t>
            </w:r>
          </w:p>
        </w:tc>
      </w:tr>
      <w:tr>
        <w:tc>
          <w:tcPr>
            <w:tcW w:w="0" w:type="auto"/>
          </w:tcPr>
          <w:p>
            <w:pPr>
              <w:spacing w:after="0" w:line="240" w:lineRule="auto"/>
            </w:pPr>
            <w:r>
              <w:rPr>
                <w:rFonts w:ascii="Consolas" w:hAnsi="Consolas" w:cs="Consolas"/>
                <w:noProof/>
                <w:sz w:val="20"/>
                <w:szCs w:val="20"/>
                <w:shd w:val="clear" w:color="auto" w:fill="EFEFEF"/>
              </w:rPr>
              <w:t xml:space="preserve">IGebaeudeLeser</w:t>
            </w:r>
          </w:p>
        </w:tc>
        <w:tc>
          <w:tcPr>
            <w:tcW w:w="0" w:type="auto"/>
          </w:tcPr>
          <w:p>
            <w:pPr>
              <w:spacing w:after="0" w:line="240" w:lineRule="auto"/>
            </w:pPr>
            <w:r>
              <w:rPr>
                <w:rFonts w:ascii="Consolas" w:hAnsi="Consolas" w:cs="Consolas"/>
                <w:noProof/>
                <w:sz w:val="20"/>
                <w:szCs w:val="20"/>
                <w:shd w:val="clear" w:color="auto" w:fill="EFEFEF"/>
              </w:rPr>
              <w:t xml:space="preserve">Lesen(Stream, Profil, IProgress, CancellationToken)</w:t>
            </w:r>
            <w:r>
              <w:t xml:space="preserve"> liefert ein Abbild — </w:t>
            </w:r>
            <w:r>
              <w:rPr>
                <w:b/>
              </w:rPr>
              <w:t xml:space="preserve">Strom statt Pfad</w:t>
            </w:r>
            <w:r>
              <w:t xml:space="preserve"> (auf iOS liefert ihn der Dateiwähler, und der </w:t>
            </w:r>
            <w:r>
              <w:rPr>
                <w:rFonts w:ascii="Consolas" w:hAnsi="Consolas" w:cs="Consolas"/>
                <w:noProof/>
                <w:sz w:val="20"/>
                <w:szCs w:val="20"/>
                <w:shd w:val="clear" w:color="auto" w:fill="EFEFEF"/>
              </w:rPr>
              <w:t xml:space="preserve">.ifczip</w:t>
            </w:r>
            <w:r>
              <w:t xml:space="preserve">-Fall muss in den Behälter hineinsehen), </w:t>
            </w:r>
            <w:r>
              <w:rPr>
                <w:b/>
              </w:rPr>
              <w:t xml:space="preserve">Profil in der Signatur</w:t>
            </w:r>
            <w:r>
              <w:t xml:space="preserve">, weil es Dateifilter, Größengrenze, Schemaanzeige und Zonierungsregeln trägt; zwei Ausprägungen für IFC und gbXML</w:t>
            </w:r>
          </w:p>
        </w:tc>
        <w:tc>
          <w:tcPr>
            <w:tcW w:w="0" w:type="auto"/>
          </w:tcPr>
          <w:p>
            <w:pPr>
              <w:spacing w:after="0" w:line="240" w:lineRule="auto"/>
            </w:pPr>
            <w:r>
              <w:t xml:space="preserve">beide</w:t>
            </w:r>
          </w:p>
        </w:tc>
        <w:tc>
          <w:tcPr>
            <w:tcW w:w="0" w:type="auto"/>
          </w:tcPr>
          <w:p>
            <w:pPr>
              <w:spacing w:after="0" w:line="240" w:lineRule="auto"/>
            </w:pPr>
            <w:r>
              <w:t xml:space="preserve">beide</w:t>
            </w:r>
          </w:p>
        </w:tc>
        <w:tc>
          <w:tcPr>
            <w:tcW w:w="0" w:type="auto"/>
          </w:tcPr>
          <w:p>
            <w:pPr>
              <w:spacing w:after="0" w:line="240" w:lineRule="auto"/>
            </w:pPr>
            <w:r>
              <w:t xml:space="preserve">der Ablauf legt eine Meldung der Stufe </w:t>
            </w:r>
            <w:r>
              <w:rPr>
                <w:b/>
              </w:rPr>
              <w:t xml:space="preserve">Fehler</w:t>
            </w:r>
            <w:r>
              <w:t xml:space="preserve"> und endet — nie eine Ausnahme</w:t>
            </w:r>
          </w:p>
        </w:tc>
      </w:tr>
      <w:tr>
        <w:tc>
          <w:tcPr>
            <w:tcW w:w="0" w:type="auto"/>
          </w:tcPr>
          <w:p>
            <w:pPr>
              <w:spacing w:after="0" w:line="240" w:lineRule="auto"/>
            </w:pPr>
            <w:r>
              <w:rPr>
                <w:rFonts w:ascii="Consolas" w:hAnsi="Consolas" w:cs="Consolas"/>
                <w:noProof/>
                <w:sz w:val="20"/>
                <w:szCs w:val="20"/>
                <w:shd w:val="clear" w:color="auto" w:fill="EFEFEF"/>
              </w:rPr>
              <w:t xml:space="preserve">IGebaeudeSchreiber</w:t>
            </w:r>
          </w:p>
        </w:tc>
        <w:tc>
          <w:tcPr>
            <w:tcW w:w="0" w:type="auto"/>
          </w:tcPr>
          <w:p>
            <w:pPr>
              <w:spacing w:after="0" w:line="240" w:lineRule="auto"/>
            </w:pPr>
            <w:r>
              <w:rPr>
                <w:rFonts w:ascii="Consolas" w:hAnsi="Consolas" w:cs="Consolas"/>
                <w:noProof/>
                <w:sz w:val="20"/>
                <w:szCs w:val="20"/>
                <w:shd w:val="clear" w:color="auto" w:fill="EFEFEF"/>
              </w:rPr>
              <w:t xml:space="preserve">Schreiben(satz, stream, profil)</w:t>
            </w:r>
            <w:r>
              <w:t xml:space="preserve"> liefert eine Bilanz; zwei Ausprägungen</w:t>
            </w:r>
          </w:p>
        </w:tc>
        <w:tc>
          <w:tcPr>
            <w:tcW w:w="0" w:type="auto"/>
          </w:tcPr>
          <w:p>
            <w:pPr>
              <w:spacing w:after="0" w:line="240" w:lineRule="auto"/>
            </w:pPr>
            <w:r>
              <w:t xml:space="preserve">beide</w:t>
            </w:r>
          </w:p>
        </w:tc>
        <w:tc>
          <w:tcPr>
            <w:tcW w:w="0" w:type="auto"/>
          </w:tcPr>
          <w:p>
            <w:pPr>
              <w:spacing w:after="0" w:line="240" w:lineRule="auto"/>
            </w:pPr>
            <w:r>
              <w:t xml:space="preserve">beide (</w:t>
            </w:r>
            <w:r>
              <w:rPr>
                <w:rFonts w:ascii="Consolas" w:hAnsi="Consolas" w:cs="Consolas"/>
                <w:noProof/>
                <w:sz w:val="20"/>
                <w:szCs w:val="20"/>
                <w:shd w:val="clear" w:color="auto" w:fill="EFEFEF"/>
              </w:rPr>
              <w:t xml:space="preserve">Stream</w:t>
            </w:r>
            <w:r>
              <w:t xml:space="preserve">, kein Zielwahldialog nötig)</w:t>
            </w:r>
          </w:p>
        </w:tc>
        <w:tc>
          <w:tcPr>
            <w:tcW w:w="0" w:type="auto"/>
          </w:tcPr>
          <w:p>
            <w:pPr>
              <w:spacing w:after="0" w:line="240" w:lineRule="auto"/>
            </w:pPr>
            <w:r>
              <w:t xml:space="preserve">wie oben</w:t>
            </w:r>
          </w:p>
        </w:tc>
      </w:tr>
      <w:tr>
        <w:tc>
          <w:tcPr>
            <w:tcW w:w="0" w:type="auto"/>
          </w:tcPr>
          <w:p>
            <w:pPr>
              <w:spacing w:after="0" w:line="240" w:lineRule="auto"/>
            </w:pPr>
            <w:r>
              <w:rPr>
                <w:rFonts w:ascii="Consolas" w:hAnsi="Consolas" w:cs="Consolas"/>
                <w:noProof/>
                <w:sz w:val="20"/>
                <w:szCs w:val="20"/>
                <w:shd w:val="clear" w:color="auto" w:fill="EFEFEF"/>
              </w:rPr>
              <w:t xml:space="preserve">Dienste.Datei</w:t>
            </w:r>
            <w:r>
              <w:t xml:space="preserve"> (Bestand)</w:t>
            </w:r>
          </w:p>
        </w:tc>
        <w:tc>
          <w:tcPr>
            <w:tcW w:w="0" w:type="auto"/>
          </w:tcPr>
          <w:p>
            <w:pPr>
              <w:spacing w:after="0" w:line="240" w:lineRule="auto"/>
            </w:pPr>
            <w:r>
              <w:rPr>
                <w:rFonts w:ascii="Consolas" w:hAnsi="Consolas" w:cs="Consolas"/>
                <w:noProof/>
                <w:sz w:val="20"/>
                <w:szCs w:val="20"/>
                <w:shd w:val="clear" w:color="auto" w:fill="EFEFEF"/>
              </w:rPr>
              <w:t xml:space="preserve">IDateiDienst</w:t>
            </w:r>
            <w:r>
              <w:t xml:space="preserve"> trägt </w:t>
            </w:r>
            <w:r>
              <w:rPr>
                <w:b/>
              </w:rPr>
              <w:t xml:space="preserve">sieben Glieder</w:t>
            </w:r>
            <w:r>
              <w:t xml:space="preserve">: Schnittstelle sind die vier synchronen </w:t>
            </w:r>
            <w:r>
              <w:rPr>
                <w:rFonts w:ascii="Consolas" w:hAnsi="Consolas" w:cs="Consolas"/>
                <w:noProof/>
                <w:sz w:val="20"/>
                <w:szCs w:val="20"/>
                <w:shd w:val="clear" w:color="auto" w:fill="EFEFEF"/>
              </w:rPr>
              <w:t xml:space="preserve">DateiOeffnen</w:t>
            </w:r>
            <w:r>
              <w:t xml:space="preserve">, </w:t>
            </w:r>
            <w:r>
              <w:rPr>
                <w:rFonts w:ascii="Consolas" w:hAnsi="Consolas" w:cs="Consolas"/>
                <w:noProof/>
                <w:sz w:val="20"/>
                <w:szCs w:val="20"/>
                <w:shd w:val="clear" w:color="auto" w:fill="EFEFEF"/>
              </w:rPr>
              <w:t xml:space="preserve">DateiSpeichern</w:t>
            </w:r>
            <w:r>
              <w:t xml:space="preserve">, </w:t>
            </w:r>
            <w:r>
              <w:rPr>
                <w:rFonts w:ascii="Consolas" w:hAnsi="Consolas" w:cs="Consolas"/>
                <w:noProof/>
                <w:sz w:val="20"/>
                <w:szCs w:val="20"/>
                <w:shd w:val="clear" w:color="auto" w:fill="EFEFEF"/>
              </w:rPr>
              <w:t xml:space="preserve">OrdnerWaehlen</w:t>
            </w:r>
            <w:r>
              <w:t xml:space="preserve"> und </w:t>
            </w:r>
            <w:r>
              <w:rPr>
                <w:rFonts w:ascii="Consolas" w:hAnsi="Consolas" w:cs="Consolas"/>
                <w:noProof/>
                <w:sz w:val="20"/>
                <w:szCs w:val="20"/>
                <w:shd w:val="clear" w:color="auto" w:fill="EFEFEF"/>
              </w:rPr>
              <w:t xml:space="preserve">MitSystemOeffnen</w:t>
            </w:r>
            <w:r>
              <w:t xml:space="preserve">, die drei Zwillinge </w:t>
            </w:r>
            <w:r>
              <w:rPr>
                <w:rFonts w:ascii="Consolas" w:hAnsi="Consolas" w:cs="Consolas"/>
                <w:noProof/>
                <w:sz w:val="20"/>
                <w:szCs w:val="20"/>
                <w:shd w:val="clear" w:color="auto" w:fill="EFEFEF"/>
              </w:rPr>
              <w:t xml:space="preserve">DateiOeffnenAsync</w:t>
            </w:r>
            <w:r>
              <w:t xml:space="preserve">, </w:t>
            </w:r>
            <w:r>
              <w:rPr>
                <w:rFonts w:ascii="Consolas" w:hAnsi="Consolas" w:cs="Consolas"/>
                <w:noProof/>
                <w:sz w:val="20"/>
                <w:szCs w:val="20"/>
                <w:shd w:val="clear" w:color="auto" w:fill="EFEFEF"/>
              </w:rPr>
              <w:t xml:space="preserve">DateiSpeichernAsync</w:t>
            </w:r>
            <w:r>
              <w:t xml:space="preserve"> und </w:t>
            </w:r>
            <w:r>
              <w:rPr>
                <w:rFonts w:ascii="Consolas" w:hAnsi="Consolas" w:cs="Consolas"/>
                <w:noProof/>
                <w:sz w:val="20"/>
                <w:szCs w:val="20"/>
                <w:shd w:val="clear" w:color="auto" w:fill="EFEFEF"/>
              </w:rPr>
              <w:t xml:space="preserve">OrdnerWaehlenAsync</w:t>
            </w:r>
            <w:r>
              <w:t xml:space="preserve"> sind Standardimplementierungen, die auf sie zurückfallen. Für den Gebäudeimport ist die </w:t>
            </w:r>
            <w:r>
              <w:rPr>
                <w:b/>
              </w:rPr>
              <w:t xml:space="preserve">asynchrone Form Pflicht</w:t>
            </w:r>
            <w:r>
              <w:t xml:space="preserve"> — dass beide Schalen sie überschreiben, ist damit Voraussetzung und keine Zusage der Schnittstelle</w:t>
            </w:r>
          </w:p>
        </w:tc>
        <w:tc>
          <w:tcPr>
            <w:tcW w:w="0" w:type="auto"/>
          </w:tcPr>
          <w:p>
            <w:pPr>
              <w:spacing w:after="0" w:line="240" w:lineRule="auto"/>
            </w:pPr>
            <w:r>
              <w:t xml:space="preserve">Dateiwähler; </w:t>
            </w:r>
            <w:r>
              <w:rPr>
                <w:rFonts w:ascii="Consolas" w:hAnsi="Consolas" w:cs="Consolas"/>
                <w:noProof/>
                <w:sz w:val="20"/>
                <w:szCs w:val="20"/>
                <w:shd w:val="clear" w:color="auto" w:fill="EFEFEF"/>
              </w:rPr>
              <w:t xml:space="preserve">OrdnerWaehlen</w:t>
            </w:r>
            <w:r>
              <w:t xml:space="preserve"> vorhanden</w:t>
            </w:r>
          </w:p>
        </w:tc>
        <w:tc>
          <w:tcPr>
            <w:tcW w:w="0" w:type="auto"/>
          </w:tcPr>
          <w:p>
            <w:pPr>
              <w:spacing w:after="0" w:line="240" w:lineRule="auto"/>
            </w:pPr>
            <w:r>
              <w:t xml:space="preserve">Dateiwähler, Ablage unter </w:t>
            </w:r>
            <w:r>
              <w:rPr>
                <w:rFonts w:ascii="Consolas" w:hAnsi="Consolas" w:cs="Consolas"/>
                <w:noProof/>
                <w:sz w:val="20"/>
                <w:szCs w:val="20"/>
                <w:shd w:val="clear" w:color="auto" w:fill="EFEFEF"/>
              </w:rPr>
              <w:t xml:space="preserve">Documents</w:t>
            </w:r>
            <w:r>
              <w:t xml:space="preserve">, </w:t>
            </w:r>
            <w:r>
              <w:rPr>
                <w:b/>
              </w:rPr>
              <w:t xml:space="preserve">Teilen-Blatt</w:t>
            </w:r>
            <w:r>
              <w:t xml:space="preserve"> statt „Speichern unter…"; </w:t>
            </w:r>
            <w:r>
              <w:rPr>
                <w:rFonts w:ascii="Consolas" w:hAnsi="Consolas" w:cs="Consolas"/>
                <w:noProof/>
                <w:sz w:val="20"/>
                <w:szCs w:val="20"/>
                <w:shd w:val="clear" w:color="auto" w:fill="EFEFEF"/>
              </w:rPr>
              <w:t xml:space="preserve">OrdnerWaehlen</w:t>
            </w:r>
            <w:r>
              <w:t xml:space="preserve"> und sein Zwilling </w:t>
            </w:r>
            <w:r>
              <w:rPr>
                <w:b/>
              </w:rPr>
              <w:t xml:space="preserve">nicht verfügbar</w:t>
            </w:r>
            <w:r>
              <w:t xml:space="preserve"> — ein Zielordner darf keine Voraussetzung eines Ablaufs sein</w:t>
            </w:r>
          </w:p>
        </w:tc>
        <w:tc>
          <w:tcPr>
            <w:tcW w:w="0" w:type="auto"/>
          </w:tcPr>
          <w:p>
            <w:pPr>
              <w:spacing w:after="0" w:line="240" w:lineRule="auto"/>
            </w:pPr>
            <w:r>
              <w:t xml:space="preserve">liefert leer, der Aufrufer tut nichts</w:t>
            </w:r>
          </w:p>
        </w:tc>
      </w:tr>
      <w:tr>
        <w:tc>
          <w:tcPr>
            <w:tcW w:w="0" w:type="auto"/>
          </w:tcPr>
          <w:p>
            <w:pPr>
              <w:spacing w:after="0" w:line="240" w:lineRule="auto"/>
            </w:pPr>
            <w:r>
              <w:t xml:space="preserve">Fortschritt und Abbruch (Bestand)</w:t>
            </w:r>
          </w:p>
        </w:tc>
        <w:tc>
          <w:tcPr>
            <w:tcW w:w="0" w:type="auto"/>
          </w:tcPr>
          <w:p>
            <w:pPr>
              <w:spacing w:after="0" w:line="240" w:lineRule="auto"/>
            </w:pPr>
            <w:r>
              <w:t xml:space="preserve">Melder und Abbruchmarke hinein, Bilanz heraus</w:t>
            </w:r>
          </w:p>
        </w:tc>
        <w:tc>
          <w:tcPr>
            <w:tcW w:w="0" w:type="auto"/>
          </w:tcPr>
          <w:p>
            <w:pPr>
              <w:spacing w:after="0" w:line="240" w:lineRule="auto"/>
            </w:pPr>
            <w:r>
              <w:t xml:space="preserve">Fadenwechsel in der Hülle</w:t>
            </w:r>
          </w:p>
        </w:tc>
        <w:tc>
          <w:tcPr>
            <w:tcW w:w="0" w:type="auto"/>
          </w:tcPr>
          <w:p>
            <w:pPr>
              <w:spacing w:after="0" w:line="240" w:lineRule="auto"/>
            </w:pPr>
            <w:r>
              <w:t xml:space="preserve">derselbe Weg</w:t>
            </w:r>
          </w:p>
        </w:tc>
        <w:tc>
          <w:tcPr>
            <w:tcW w:w="0" w:type="auto"/>
          </w:tcPr>
          <w:p>
            <w:pPr>
              <w:spacing w:after="0" w:line="240" w:lineRule="auto"/>
            </w:pPr>
            <w:r>
              <w:t xml:space="preserve">der Lauf läuft still durch — das ist erlaubt</w:t>
            </w:r>
          </w:p>
        </w:tc>
      </w:tr>
    </w:tbl>
    <w:p>
      <w:pPr>
        <w:spacing w:after="120"/>
      </w:pPr>
    </w:p>
    <w:p>
      <w:r>
        <w:t xml:space="preserve">Drei Regeln gelten für jede dieser Nähte. Ein Delegat, der Oberfläche der Plattform öffnet, wird </w:t>
      </w:r>
      <w:r>
        <w:rPr>
          <w:b/>
        </w:rPr>
        <w:t xml:space="preserve">erwartet und nie synchron ausgewertet</w:t>
      </w:r>
      <w:r>
        <w:t xml:space="preserve"> — synchron stürzt die WebView ab. Die </w:t>
      </w:r>
      <w:r>
        <w:rPr>
          <w:b/>
        </w:rPr>
        <w:t xml:space="preserve">Größengrenze ist kein Glied der Plattformnaht, sondern ein Datum des Profils</w:t>
      </w:r>
      <w:r>
        <w:t xml:space="preserve">: vier Zahlen, nicht eine, und die beiden iOS-Zahlen sind zu messen. Und was je Format verschieden ist — Dateifilter, Größengrenze, Schemaanzeige, Liste der Zonierungsregeln —, steht </w:t>
      </w:r>
      <w:r>
        <w:rPr>
          <w:b/>
        </w:rPr>
        <w:t xml:space="preserve">als Daten im Profil</w:t>
      </w:r>
      <w:r>
        <w:t xml:space="preserve">, nicht im Quelltext des Dialogs; ein Wächter hält Formatnamen aus der Komponente heraus.</w:t>
      </w:r>
    </w:p>
    <w:p>
      <w:r>
        <w:rPr>
          <w:b/>
        </w:rPr>
        <w:t xml:space="preserve">Die iOS-Lage in vier Punkten.</w:t>
      </w:r>
      <w:r>
        <w:t xml:space="preserve"> Die </w:t>
      </w:r>
      <w:r>
        <w:rPr>
          <w:rFonts w:ascii="Consolas" w:hAnsi="Consolas" w:cs="Consolas"/>
          <w:noProof/>
          <w:sz w:val="20"/>
          <w:szCs w:val="20"/>
          <w:shd w:val="clear" w:color="auto" w:fill="EFEFEF"/>
        </w:rPr>
        <w:t xml:space="preserve">AppWurzel</w:t>
      </w:r>
      <w:r>
        <w:t xml:space="preserve"> kennt dreizehn freie Ansichten selbst, die übrigen 25 Maskenschlüssel beantwortet die Plattformhülle — unter Windows mit einem modalen Fenster, auf iOS mit </w:t>
      </w:r>
      <w:r>
        <w:rPr>
          <w:rFonts w:ascii="Consolas" w:hAnsi="Consolas" w:cs="Consolas"/>
          <w:noProof/>
          <w:sz w:val="20"/>
          <w:szCs w:val="20"/>
          <w:shd w:val="clear" w:color="auto" w:fill="EFEFEF"/>
        </w:rPr>
        <w:t xml:space="preserve">false</w:t>
      </w:r>
      <w:r>
        <w:t xml:space="preserve">; Gebäude, Klima und alle Importe sind auf dem iPad deshalb heute unerreichbar, nicht weil die Komponenten fehlen, sondern weil ihre Hüllen in der Windows-Schale liegen. Der Hüllenumzug nach </w:t>
      </w:r>
      <w:r>
        <w:rPr>
          <w:rFonts w:ascii="Consolas" w:hAnsi="Consolas" w:cs="Consolas"/>
          <w:noProof/>
          <w:sz w:val="20"/>
          <w:szCs w:val="20"/>
          <w:shd w:val="clear" w:color="auto" w:fill="EFEFEF"/>
        </w:rPr>
        <w:t xml:space="preserve">EPOS.UI.Daten</w:t>
      </w:r>
      <w:r>
        <w:t xml:space="preserve"> ist damit Vorbedingung. Zonen-, Bauteil- und Importdialog </w:t>
      </w:r>
      <w:r>
        <w:rPr>
          <w:b/>
        </w:rPr>
        <w:t xml:space="preserve">müssen</w:t>
      </w:r>
      <w:r>
        <w:t xml:space="preserve"> Überlagerungen sein, vier Ebenen tief. Und für alles, was iOS nicht kann, steht eine </w:t>
      </w:r>
      <w:r>
        <w:rPr>
          <w:b/>
        </w:rPr>
        <w:t xml:space="preserve">benannte Absage</w:t>
      </w:r>
      <w:r>
        <w:t xml:space="preserve"> statt eines stummen </w:t>
      </w:r>
      <w:r>
        <w:rPr>
          <w:rFonts w:ascii="Consolas" w:hAnsi="Consolas" w:cs="Consolas"/>
          <w:noProof/>
          <w:sz w:val="20"/>
          <w:szCs w:val="20"/>
          <w:shd w:val="clear" w:color="auto" w:fill="EFEFEF"/>
        </w:rPr>
        <w:t xml:space="preserve">false</w:t>
      </w:r>
      <w:r>
        <w:t xml:space="preserve">.</w:t>
      </w:r>
    </w:p>
    <w:p>
      <w:pPr>
        <w:pStyle w:val="Heading2"/>
      </w:pPr>
      <w:r>
        <w:t xml:space="preserve">3.4 Zustand, Fäden und Kultur</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Regel</w:t>
            </w:r>
          </w:p>
        </w:tc>
        <w:tc>
          <w:tcPr>
            <w:tcW w:w="0" w:type="auto"/>
            <w:shd w:val="clear" w:color="auto" w:fill="D9D9D9"/>
          </w:tcPr>
          <w:p>
            <w:pPr>
              <w:spacing w:after="0" w:line="240" w:lineRule="auto"/>
              <w:rPr>
                <w:b/>
              </w:rPr>
            </w:pPr>
            <w:r>
              <w:rPr>
                <w:b/>
              </w:rPr>
              <w:t xml:space="preserve">Ausprägung</w:t>
            </w:r>
          </w:p>
        </w:tc>
        <w:tc>
          <w:tcPr>
            <w:tcW w:w="0" w:type="auto"/>
            <w:shd w:val="clear" w:color="auto" w:fill="D9D9D9"/>
          </w:tcPr>
          <w:p>
            <w:pPr>
              <w:spacing w:after="0" w:line="240" w:lineRule="auto"/>
              <w:rPr>
                <w:b/>
              </w:rPr>
            </w:pPr>
            <w:r>
              <w:rPr>
                <w:b/>
              </w:rPr>
              <w:t xml:space="preserve">Warum</w:t>
            </w:r>
          </w:p>
        </w:tc>
      </w:tr>
      <w:tr>
        <w:tc>
          <w:tcPr>
            <w:tcW w:w="0" w:type="auto"/>
          </w:tcPr>
          <w:p>
            <w:pPr>
              <w:spacing w:after="0" w:line="240" w:lineRule="auto"/>
            </w:pPr>
            <w:r>
              <w:rPr>
                <w:b/>
              </w:rPr>
              <w:t xml:space="preserve">Zustand je Instanz, nichts Statisches</w:t>
            </w:r>
          </w:p>
        </w:tc>
        <w:tc>
          <w:tcPr>
            <w:tcW w:w="0" w:type="auto"/>
          </w:tcPr>
          <w:p>
            <w:pPr>
              <w:spacing w:after="0" w:line="240" w:lineRule="auto"/>
            </w:pPr>
            <w:r>
              <w:t xml:space="preserve">ein Löser entsteht je Gebäude bzw. je Zone und wird je Gebäude verworfen</w:t>
            </w:r>
          </w:p>
        </w:tc>
        <w:tc>
          <w:tcPr>
            <w:tcW w:w="0" w:type="auto"/>
          </w:tcPr>
          <w:p>
            <w:pPr>
              <w:spacing w:after="0" w:line="240" w:lineRule="auto"/>
            </w:pPr>
            <w:r>
              <w:t xml:space="preserve">der Bestand hat genau diese Falle: ein statisches Temperaturfeld, und das Ergebnis hängt an der Zeilenreihenfolge. GB behebt es </w:t>
            </w:r>
            <w:r>
              <w:rPr>
                <w:b/>
              </w:rPr>
              <w:t xml:space="preserve">vor</w:t>
            </w:r>
            <w:r>
              <w:t xml:space="preserve"> der ersten Zeile Stundenmodell</w:t>
            </w:r>
          </w:p>
        </w:tc>
      </w:tr>
      <w:tr>
        <w:tc>
          <w:tcPr>
            <w:tcW w:w="0" w:type="auto"/>
          </w:tcPr>
          <w:p>
            <w:pPr>
              <w:spacing w:after="0" w:line="240" w:lineRule="auto"/>
            </w:pPr>
            <w:r>
              <w:rPr>
                <w:b/>
              </w:rPr>
              <w:t xml:space="preserve">Der Vorlauf gehört in den Löser</w:t>
            </w:r>
          </w:p>
        </w:tc>
        <w:tc>
          <w:tcPr>
            <w:tcW w:w="0" w:type="auto"/>
          </w:tcPr>
          <w:p>
            <w:pPr>
              <w:spacing w:after="0" w:line="240" w:lineRule="auto"/>
            </w:pPr>
            <w:r>
              <w:t xml:space="preserve">der Löser fährt seinen Vorlauf selbst, der Aufrufer sieht ihn nicht</w:t>
            </w:r>
          </w:p>
        </w:tc>
        <w:tc>
          <w:tcPr>
            <w:tcW w:w="0" w:type="auto"/>
          </w:tcPr>
          <w:p>
            <w:pPr>
              <w:spacing w:after="0" w:line="240" w:lineRule="auto"/>
            </w:pPr>
            <w:r>
              <w:t xml:space="preserve">wer ihn außen anhängt, hat wieder einen Zustand, der zwischen Gebäuden reisen kann</w:t>
            </w:r>
          </w:p>
        </w:tc>
      </w:tr>
      <w:tr>
        <w:tc>
          <w:tcPr>
            <w:tcW w:w="0" w:type="auto"/>
          </w:tcPr>
          <w:p>
            <w:pPr>
              <w:spacing w:after="0" w:line="240" w:lineRule="auto"/>
            </w:pPr>
            <w:r>
              <w:rPr>
                <w:b/>
              </w:rPr>
              <w:t xml:space="preserve">Zweimal rechnen muss gehen</w:t>
            </w:r>
          </w:p>
        </w:tc>
        <w:tc>
          <w:tcPr>
            <w:tcW w:w="0" w:type="auto"/>
          </w:tcPr>
          <w:p>
            <w:pPr>
              <w:spacing w:after="0" w:line="240" w:lineRule="auto"/>
            </w:pPr>
            <w:r>
              <w:rPr>
                <w:rFonts w:ascii="Consolas" w:hAnsi="Consolas" w:cs="Consolas"/>
                <w:noProof/>
                <w:sz w:val="20"/>
                <w:szCs w:val="20"/>
                <w:shd w:val="clear" w:color="auto" w:fill="EFEFEF"/>
              </w:rPr>
              <w:t xml:space="preserve">Zuruecksetzen</w:t>
            </w:r>
            <w:r>
              <w:t xml:space="preserve"> vor jedem Lauf; die Verbrauchsrückrechnung ruft den Löser ein zweites Mal</w:t>
            </w:r>
          </w:p>
        </w:tc>
        <w:tc>
          <w:tcPr>
            <w:tcW w:w="0" w:type="auto"/>
          </w:tcPr>
          <w:p>
            <w:pPr>
              <w:spacing w:after="0" w:line="240" w:lineRule="auto"/>
            </w:pPr>
            <w:r>
              <w:t xml:space="preserve">sonst mischt die Verhältnisrechnung zwei Zustände</w:t>
            </w:r>
          </w:p>
        </w:tc>
      </w:tr>
      <w:tr>
        <w:tc>
          <w:tcPr>
            <w:tcW w:w="0" w:type="auto"/>
          </w:tcPr>
          <w:p>
            <w:pPr>
              <w:spacing w:after="0" w:line="240" w:lineRule="auto"/>
            </w:pPr>
            <w:r>
              <w:rPr>
                <w:b/>
              </w:rPr>
              <w:t xml:space="preserve">Der Lauf ist einfädig</w:t>
            </w:r>
          </w:p>
        </w:tc>
        <w:tc>
          <w:tcPr>
            <w:tcW w:w="0" w:type="auto"/>
          </w:tcPr>
          <w:p>
            <w:pPr>
              <w:spacing w:after="0" w:line="240" w:lineRule="auto"/>
            </w:pPr>
            <w:r>
              <w:t xml:space="preserve">kein </w:t>
            </w:r>
            <w:r>
              <w:rPr>
                <w:rFonts w:ascii="Consolas" w:hAnsi="Consolas" w:cs="Consolas"/>
                <w:noProof/>
                <w:sz w:val="20"/>
                <w:szCs w:val="20"/>
                <w:shd w:val="clear" w:color="auto" w:fill="EFEFEF"/>
              </w:rPr>
              <w:t xml:space="preserve">Parallel.For</w:t>
            </w:r>
            <w:r>
              <w:t xml:space="preserve"> über die Gebäude, kein </w:t>
            </w:r>
            <w:r>
              <w:rPr>
                <w:rFonts w:ascii="Consolas" w:hAnsi="Consolas" w:cs="Consolas"/>
                <w:noProof/>
                <w:sz w:val="20"/>
                <w:szCs w:val="20"/>
                <w:shd w:val="clear" w:color="auto" w:fill="EFEFEF"/>
              </w:rPr>
              <w:t xml:space="preserve">Task.Run</w:t>
            </w:r>
            <w:r>
              <w:t xml:space="preserve"> in Kern, Engine und Oberfläche — auch nicht im Codeblock einer </w:t>
            </w:r>
            <w:r>
              <w:rPr>
                <w:rFonts w:ascii="Consolas" w:hAnsi="Consolas" w:cs="Consolas"/>
                <w:noProof/>
                <w:sz w:val="20"/>
                <w:szCs w:val="20"/>
                <w:shd w:val="clear" w:color="auto" w:fill="EFEFEF"/>
              </w:rPr>
              <w:t xml:space="preserve">.razor</w:t>
            </w:r>
          </w:p>
        </w:tc>
        <w:tc>
          <w:tcPr>
            <w:tcW w:w="0" w:type="auto"/>
          </w:tcPr>
          <w:p>
            <w:pPr>
              <w:spacing w:after="0" w:line="240" w:lineRule="auto"/>
            </w:pPr>
            <w:r>
              <w:t xml:space="preserve">das Budget gibt keinen Anlass, und Parallelität widerspräche dem Determinismusversprechen</w:t>
            </w:r>
          </w:p>
        </w:tc>
      </w:tr>
      <w:tr>
        <w:tc>
          <w:tcPr>
            <w:tcW w:w="0" w:type="auto"/>
          </w:tcPr>
          <w:p>
            <w:pPr>
              <w:spacing w:after="0" w:line="240" w:lineRule="auto"/>
            </w:pPr>
            <w:r>
              <w:rPr>
                <w:b/>
              </w:rPr>
              <w:t xml:space="preserve">Fadenwechsel nur in der Hülle</w:t>
            </w:r>
          </w:p>
        </w:tc>
        <w:tc>
          <w:tcPr>
            <w:tcW w:w="0" w:type="auto"/>
          </w:tcPr>
          <w:p>
            <w:pPr>
              <w:spacing w:after="0" w:line="240" w:lineRule="auto"/>
            </w:pPr>
            <w:r>
              <w:t xml:space="preserve">der Importfaden entsteht in der Importhülle, nicht im Ablauf und nicht in der Komponente</w:t>
            </w:r>
          </w:p>
        </w:tc>
        <w:tc>
          <w:tcPr>
            <w:tcW w:w="0" w:type="auto"/>
          </w:tcPr>
          <w:p>
            <w:pPr>
              <w:spacing w:after="0" w:line="240" w:lineRule="auto"/>
            </w:pPr>
            <w:r>
              <w:t xml:space="preserve">ein Faden ohne eigene Kultur liest die prozessweite Vorgabe, und die ist veränderlich</w:t>
            </w:r>
          </w:p>
        </w:tc>
      </w:tr>
      <w:tr>
        <w:tc>
          <w:tcPr>
            <w:tcW w:w="0" w:type="auto"/>
          </w:tcPr>
          <w:p>
            <w:pPr>
              <w:spacing w:after="0" w:line="240" w:lineRule="auto"/>
            </w:pPr>
            <w:r>
              <w:rPr>
                <w:b/>
              </w:rPr>
              <w:t xml:space="preserve">Meldungen über den vorhandenen Kanal</w:t>
            </w:r>
          </w:p>
        </w:tc>
        <w:tc>
          <w:tcPr>
            <w:tcW w:w="0" w:type="auto"/>
          </w:tcPr>
          <w:p>
            <w:pPr>
              <w:spacing w:after="0" w:line="240" w:lineRule="auto"/>
            </w:pPr>
            <w:r>
              <w:t xml:space="preserve">Protokollkanal für Laufwarnungen, Prüfmeldung für Fachprüfungen</w:t>
            </w:r>
          </w:p>
        </w:tc>
        <w:tc>
          <w:tcPr>
            <w:tcW w:w="0" w:type="auto"/>
          </w:tcPr>
          <w:p>
            <w:pPr>
              <w:spacing w:after="0" w:line="240" w:lineRule="auto"/>
            </w:pPr>
            <w:r>
              <w:t xml:space="preserve">keine neue Ausnahmeklasse, keine gewachsene Signatur</w:t>
            </w:r>
          </w:p>
        </w:tc>
      </w:tr>
    </w:tbl>
    <w:p>
      <w:pPr>
        <w:spacing w:after="120"/>
      </w:pPr>
    </w:p>
    <w:p>
      <w:r>
        <w:rPr>
          <w:b/>
        </w:rPr>
        <w:t xml:space="preserve">Der Importfaden, vollständig geregelt</w:t>
      </w:r>
      <w:r>
        <w:t xml:space="preserve"> — er ist der einzige lange Lauf: der Ablauf liest die Datei im Arbeitsfaden und berührt die Datenbank dabei </w:t>
      </w:r>
      <w:r>
        <w:rPr>
          <w:b/>
        </w:rPr>
        <w:t xml:space="preserve">nicht</w:t>
      </w:r>
      <w:r>
        <w:t xml:space="preserve">; geschrieben wird erst in der Übernahme, auf dem Faden des Aufrufers; bis zu rund </w:t>
      </w:r>
      <w:r>
        <w:rPr>
          <w:b/>
        </w:rPr>
        <w:t xml:space="preserve">3 500</w:t>
      </w:r>
      <w:r>
        <w:t xml:space="preserve"> Zeilen je Zonenprojekt gehen in </w:t>
      </w:r>
      <w:r>
        <w:rPr>
          <w:b/>
        </w:rPr>
        <w:t xml:space="preserve">einer</w:t>
      </w:r>
      <w:r>
        <w:t xml:space="preserve"> Transaktion hinein; der Abbruch wirkt im Lese- und im Prüfschritt, der Schreibschritt ist nicht abbrechbar; und solange die Übernahme läuft, steht kein Schließkreuz und Esc schließt nicht.</w:t>
      </w:r>
    </w:p>
    <w:p>
      <w:pPr>
        <w:pStyle w:val="Heading2"/>
      </w:pPr>
      <w:r>
        <w:t xml:space="preserve">3.5 Wächter</w:t>
      </w:r>
    </w:p>
    <w:p>
      <w:r>
        <w:t xml:space="preserve">Fünfzehn prüfbare Sätze haben heute einen Wächter: keine Parallelität in Kern und Oberfläche; wer eine Kultur setzt, stellt sie zurück; wer die Testdatenbank benutzt, trägt die Sammelmarke; kein </w:t>
      </w:r>
      <w:r>
        <w:rPr>
          <w:rFonts w:ascii="Consolas" w:hAnsi="Consolas" w:cs="Consolas"/>
          <w:noProof/>
          <w:sz w:val="20"/>
          <w:szCs w:val="20"/>
          <w:shd w:val="clear" w:color="auto" w:fill="EFEFEF"/>
        </w:rPr>
        <w:t xml:space="preserve">float</w:t>
      </w:r>
      <w:r>
        <w:t xml:space="preserve"> unterhalb von </w:t>
      </w:r>
      <w:r>
        <w:rPr>
          <w:rFonts w:ascii="Consolas" w:hAnsi="Consolas" w:cs="Consolas"/>
          <w:noProof/>
          <w:sz w:val="20"/>
          <w:szCs w:val="20"/>
          <w:shd w:val="clear" w:color="auto" w:fill="EFEFEF"/>
        </w:rPr>
        <w:t xml:space="preserve">Simulation/</w:t>
      </w:r>
      <w:r>
        <w:t xml:space="preserve">; jede Jahressumme trägt ihre Einheit im Namen; kein Faktor 1 000 auf einer Energiemenge in Anzeige und Hüllen; jede Marke, auf die eine Rechnung zusteuert, vergleicht über den Rechenrand; Datenzugriff nur über </w:t>
      </w:r>
      <w:r>
        <w:rPr>
          <w:rFonts w:ascii="Consolas" w:hAnsi="Consolas" w:cs="Consolas"/>
          <w:noProof/>
          <w:sz w:val="20"/>
          <w:szCs w:val="20"/>
          <w:shd w:val="clear" w:color="auto" w:fill="EFEFEF"/>
        </w:rPr>
        <w:t xml:space="preserve">DataRepository</w:t>
      </w:r>
      <w:r>
        <w:t xml:space="preserve"> mit </w:t>
      </w:r>
      <w:r>
        <w:rPr>
          <w:rFonts w:ascii="Consolas" w:hAnsi="Consolas" w:cs="Consolas"/>
          <w:noProof/>
          <w:sz w:val="20"/>
          <w:szCs w:val="20"/>
          <w:shd w:val="clear" w:color="auto" w:fill="EFEFEF"/>
        </w:rPr>
        <w:t xml:space="preserve">?</w:t>
      </w:r>
      <w:r>
        <w:t xml:space="preserve">-Parametern; jeder Gaben-Schlüssel trifft ein </w:t>
      </w:r>
      <w:r>
        <w:rPr>
          <w:rFonts w:ascii="Consolas" w:hAnsi="Consolas" w:cs="Consolas"/>
          <w:noProof/>
          <w:sz w:val="20"/>
          <w:szCs w:val="20"/>
          <w:shd w:val="clear" w:color="auto" w:fill="EFEFEF"/>
        </w:rPr>
        <w:t xml:space="preserve">[Parameter]</w:t>
      </w:r>
      <w:r>
        <w:t xml:space="preserve">; kein modales Systemfenster im Blazor-Ereignis; jeder Dialogkopf trägt das Schließkreuz beim Titel; kein CSS-Nesting und keine verlorene Klammer; keine Arbeitsordner und Datenbankkopien im Repositorium; jeder relative Verweis hat ein Ziel; </w:t>
      </w:r>
      <w:r>
        <w:rPr>
          <w:b/>
        </w:rPr>
        <w:t xml:space="preserve">und jede neue Fachtabelle ist </w:t>
      </w:r>
      <w:r>
        <w:rPr>
          <w:rFonts w:ascii="Consolas" w:hAnsi="Consolas" w:cs="Consolas"/>
          <w:b/>
          <w:noProof/>
          <w:sz w:val="20"/>
          <w:szCs w:val="20"/>
          <w:shd w:val="clear" w:color="auto" w:fill="EFEFEF"/>
        </w:rPr>
        <w:t xml:space="preserve">STRICT</w:t>
      </w:r>
      <w:r>
        <w:rPr>
          <w:b/>
        </w:rPr>
        <w:t xml:space="preserve">, ihr Schlüssel </w:t>
      </w:r>
      <w:r>
        <w:rPr>
          <w:rFonts w:ascii="Consolas" w:hAnsi="Consolas" w:cs="Consolas"/>
          <w:b/>
          <w:noProof/>
          <w:sz w:val="20"/>
          <w:szCs w:val="20"/>
          <w:shd w:val="clear" w:color="auto" w:fill="EFEFEF"/>
        </w:rPr>
        <w:t xml:space="preserve">INTEGER PRIMARY KEY AUTOINCREMENT</w:t>
      </w:r>
      <w:r>
        <w:rPr>
          <w:b/>
        </w:rPr>
        <w:t xml:space="preserve">, jede </w:t>
      </w:r>
      <w:r>
        <w:rPr>
          <w:rFonts w:ascii="Consolas" w:hAnsi="Consolas" w:cs="Consolas"/>
          <w:b/>
          <w:noProof/>
          <w:sz w:val="20"/>
          <w:szCs w:val="20"/>
          <w:shd w:val="clear" w:color="auto" w:fill="EFEFEF"/>
        </w:rPr>
        <w:t xml:space="preserve">CREATE</w:t>
      </w:r>
      <w:r>
        <w:rPr>
          <w:b/>
        </w:rPr>
        <w:t xml:space="preserve">-Anweisung und jeder Index tragen </w:t>
      </w:r>
      <w:r>
        <w:rPr>
          <w:rFonts w:ascii="Consolas" w:hAnsi="Consolas" w:cs="Consolas"/>
          <w:b/>
          <w:noProof/>
          <w:sz w:val="20"/>
          <w:szCs w:val="20"/>
          <w:shd w:val="clear" w:color="auto" w:fill="EFEFEF"/>
        </w:rPr>
        <w:t xml:space="preserve">IF NOT EXISTS</w:t>
      </w:r>
      <w:r>
        <w:rPr>
          <w:b/>
        </w:rPr>
        <w:t xml:space="preserve">, Textlängen stehen als </w:t>
      </w:r>
      <w:r>
        <w:rPr>
          <w:rFonts w:ascii="Consolas" w:hAnsi="Consolas" w:cs="Consolas"/>
          <w:b/>
          <w:noProof/>
          <w:sz w:val="20"/>
          <w:szCs w:val="20"/>
          <w:shd w:val="clear" w:color="auto" w:fill="EFEFEF"/>
        </w:rPr>
        <w:t xml:space="preserve">CHECK (length(...))</w:t>
      </w:r>
      <w:r>
        <w:rPr>
          <w:b/>
        </w:rPr>
        <w:t xml:space="preserve">.</w:t>
      </w:r>
    </w:p>
    <w:p>
      <w:r>
        <w:rPr>
          <w:b/>
        </w:rPr>
        <w:t xml:space="preserve">Drei Wächter kommen hinzu, ein vorhandener bekommt neue Einträge:</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Neu</w:t>
            </w:r>
          </w:p>
        </w:tc>
        <w:tc>
          <w:tcPr>
            <w:tcW w:w="0" w:type="auto"/>
            <w:shd w:val="clear" w:color="auto" w:fill="D9D9D9"/>
          </w:tcPr>
          <w:p>
            <w:pPr>
              <w:spacing w:after="0" w:line="240" w:lineRule="auto"/>
              <w:rPr>
                <w:b/>
              </w:rPr>
            </w:pPr>
            <w:r>
              <w:rPr>
                <w:b/>
              </w:rPr>
              <w:t xml:space="preserve">Was er prüft</w:t>
            </w:r>
          </w:p>
        </w:tc>
        <w:tc>
          <w:tcPr>
            <w:tcW w:w="0" w:type="auto"/>
            <w:shd w:val="clear" w:color="auto" w:fill="D9D9D9"/>
          </w:tcPr>
          <w:p>
            <w:pPr>
              <w:spacing w:after="0" w:line="240" w:lineRule="auto"/>
              <w:rPr>
                <w:b/>
              </w:rPr>
            </w:pPr>
            <w:r>
              <w:rPr>
                <w:b/>
              </w:rPr>
              <w:t xml:space="preserve">Warum</w:t>
            </w:r>
          </w:p>
        </w:tc>
      </w:tr>
      <w:tr>
        <w:tc>
          <w:tcPr>
            <w:tcW w:w="0" w:type="auto"/>
          </w:tcPr>
          <w:p>
            <w:pPr>
              <w:spacing w:after="0" w:line="240" w:lineRule="auto"/>
            </w:pPr>
            <w:r>
              <w:rPr>
                <w:b/>
              </w:rPr>
              <w:t xml:space="preserve">Sichtquellen-Wache</w:t>
            </w:r>
          </w:p>
        </w:tc>
        <w:tc>
          <w:tcPr>
            <w:tcW w:w="0" w:type="auto"/>
          </w:tcPr>
          <w:p>
            <w:pPr>
              <w:spacing w:after="0" w:line="240" w:lineRule="auto"/>
            </w:pPr>
            <w:r>
              <w:t xml:space="preserve">im ganzen Baum steht </w:t>
            </w:r>
            <w:r>
              <w:rPr>
                <w:b/>
              </w:rPr>
              <w:t xml:space="preserve">kein zweites</w:t>
            </w:r>
            <w:r>
              <w:t xml:space="preserve"> </w:t>
            </w:r>
            <w:r>
              <w:rPr>
                <w:rFonts w:ascii="Consolas" w:hAnsi="Consolas" w:cs="Consolas"/>
                <w:noProof/>
                <w:sz w:val="20"/>
                <w:szCs w:val="20"/>
                <w:shd w:val="clear" w:color="auto" w:fill="EFEFEF"/>
              </w:rPr>
              <w:t xml:space="preserve">CREATE VIEW</w:t>
            </w:r>
            <w:r>
              <w:t xml:space="preserve"> für die Projektgebäude-Sicht; ab </w:t>
            </w:r>
            <w:r>
              <w:rPr>
                <w:b/>
              </w:rPr>
              <w:t xml:space="preserve">M3</w:t>
            </w:r>
            <w:r>
              <w:t xml:space="preserve"> ist die Schema-Klasse die einzige Quelle</w:t>
            </w:r>
          </w:p>
        </w:tc>
        <w:tc>
          <w:tcPr>
            <w:tcW w:w="0" w:type="auto"/>
          </w:tcPr>
          <w:p>
            <w:pPr>
              <w:spacing w:after="0" w:line="240" w:lineRule="auto"/>
            </w:pPr>
            <w:r>
              <w:t xml:space="preserve">SQLite kennt kein </w:t>
            </w:r>
            <w:r>
              <w:rPr>
                <w:rFonts w:ascii="Consolas" w:hAnsi="Consolas" w:cs="Consolas"/>
                <w:noProof/>
                <w:sz w:val="20"/>
                <w:szCs w:val="20"/>
                <w:shd w:val="clear" w:color="auto" w:fill="EFEFEF"/>
              </w:rPr>
              <w:t xml:space="preserve">ALTER VIEW</w:t>
            </w:r>
            <w:r>
              <w:t xml:space="preserve">; zwei Quellen laufen beim ersten Nachtrag auseinander, und der Fehler fiele erst im Leser auf</w:t>
            </w:r>
          </w:p>
        </w:tc>
      </w:tr>
      <w:tr>
        <w:tc>
          <w:tcPr>
            <w:tcW w:w="0" w:type="auto"/>
          </w:tcPr>
          <w:p>
            <w:pPr>
              <w:spacing w:after="0" w:line="240" w:lineRule="auto"/>
            </w:pPr>
            <w:r>
              <w:rPr>
                <w:b/>
              </w:rPr>
              <w:t xml:space="preserve">Determinismusprobe</w:t>
            </w:r>
          </w:p>
        </w:tc>
        <w:tc>
          <w:tcPr>
            <w:tcW w:w="0" w:type="auto"/>
          </w:tcPr>
          <w:p>
            <w:pPr>
              <w:spacing w:after="0" w:line="240" w:lineRule="auto"/>
            </w:pPr>
            <w:r>
              <w:t xml:space="preserve">dasselbe Gebäude zweimal gerechnet liefert byte-gleiche Reihen; ein Projekt mit zwei Gebäuden liefert dasselbe Ergebnis in umgekehrter Zeilenreihenfolge. </w:t>
            </w:r>
            <w:r>
              <w:rPr>
                <w:b/>
              </w:rPr>
              <w:t xml:space="preserve">Ab G6c dazu die Geometrie:</w:t>
            </w:r>
            <w:r>
              <w:t xml:space="preserve"> dieselbe Eingabe ergibt dieselben Polygone in derselben Reihenfolge — und damit einen byte-gleichen Export</w:t>
            </w:r>
          </w:p>
        </w:tc>
        <w:tc>
          <w:tcPr>
            <w:tcW w:w="0" w:type="auto"/>
          </w:tcPr>
          <w:p>
            <w:pPr>
              <w:spacing w:after="0" w:line="240" w:lineRule="auto"/>
            </w:pPr>
            <w:r>
              <w:t xml:space="preserve">die Gegenprobe zur statischen Falle des Bestands und zur Pflicht von </w:t>
            </w:r>
            <w:r>
              <w:rPr>
                <w:rFonts w:ascii="Consolas" w:hAnsi="Consolas" w:cs="Consolas"/>
                <w:noProof/>
                <w:sz w:val="20"/>
                <w:szCs w:val="20"/>
                <w:shd w:val="clear" w:color="auto" w:fill="EFEFEF"/>
              </w:rPr>
              <w:t xml:space="preserve">Zuruecksetzen</w:t>
            </w:r>
            <w:r>
              <w:t xml:space="preserve">; für die Geometrie die Bedingung dafür, dass Ansicht und Export dasselbe Gebäude zeigen</w:t>
            </w:r>
          </w:p>
        </w:tc>
      </w:tr>
      <w:tr>
        <w:tc>
          <w:tcPr>
            <w:tcW w:w="0" w:type="auto"/>
          </w:tcPr>
          <w:p>
            <w:pPr>
              <w:spacing w:after="0" w:line="240" w:lineRule="auto"/>
            </w:pPr>
            <w:r>
              <w:rPr>
                <w:b/>
              </w:rPr>
              <w:t xml:space="preserve">Dialogkatalog des Assistenten</w:t>
            </w:r>
            <w:r>
              <w:t xml:space="preserve"> (vorhandener Wächter, neue Einträge)</w:t>
            </w:r>
          </w:p>
        </w:tc>
        <w:tc>
          <w:tcPr>
            <w:tcW w:w="0" w:type="auto"/>
          </w:tcPr>
          <w:p>
            <w:pPr>
              <w:spacing w:after="0" w:line="240" w:lineRule="auto"/>
            </w:pPr>
            <w:r>
              <w:t xml:space="preserve">jede neue Maske steht im Katalog; die Zahl ist namentlich geprüft — mit den fünf neuen Masken bis G6 sind es </w:t>
            </w:r>
            <w:r>
              <w:rPr>
                <w:b/>
              </w:rPr>
              <w:t xml:space="preserve">zwölf</w:t>
            </w:r>
            <w:r>
              <w:t xml:space="preserve">, mit der Exportmaske in G7 </w:t>
            </w:r>
            <w:r>
              <w:rPr>
                <w:b/>
              </w:rPr>
              <w:t xml:space="preserve">dreizehn</w:t>
            </w:r>
          </w:p>
        </w:tc>
        <w:tc>
          <w:tcPr>
            <w:tcW w:w="0" w:type="auto"/>
          </w:tcPr>
          <w:p>
            <w:pPr>
              <w:spacing w:after="0" w:line="240" w:lineRule="auto"/>
            </w:pPr>
            <w:r>
              <w:t xml:space="preserve">eine neue Maske ohne Eintrag macht den Wächter rot — und lässt die Maske ohne Assistenten</w:t>
            </w:r>
          </w:p>
        </w:tc>
      </w:tr>
      <w:tr>
        <w:tc>
          <w:tcPr>
            <w:tcW w:w="0" w:type="auto"/>
          </w:tcPr>
          <w:p>
            <w:pPr>
              <w:spacing w:after="0" w:line="240" w:lineRule="auto"/>
            </w:pPr>
            <w:r>
              <w:rPr>
                <w:b/>
              </w:rPr>
              <w:t xml:space="preserve">Trennflächenwächter</w:t>
            </w:r>
          </w:p>
        </w:tc>
        <w:tc>
          <w:tcPr>
            <w:tcW w:w="0" w:type="auto"/>
          </w:tcPr>
          <w:p>
            <w:pPr>
              <w:spacing w:after="0" w:line="240" w:lineRule="auto"/>
            </w:pPr>
            <w:r>
              <w:t xml:space="preserve">nicht </w:t>
            </w:r>
            <w:r>
              <w:rPr>
                <w:b/>
              </w:rPr>
              <w:t xml:space="preserve">beide</w:t>
            </w:r>
            <w:r>
              <w:t xml:space="preserve"> Zonen führen dieselbe Trennfläche; die Gegenseite entsteht beim Lesen</w:t>
            </w:r>
          </w:p>
        </w:tc>
        <w:tc>
          <w:tcPr>
            <w:tcW w:w="0" w:type="auto"/>
          </w:tcPr>
          <w:p>
            <w:pPr>
              <w:spacing w:after="0" w:line="240" w:lineRule="auto"/>
            </w:pPr>
            <w:r>
              <w:t xml:space="preserve">zwei Zeilen über dieselbe Fläche sind ein Fehler</w:t>
            </w:r>
          </w:p>
        </w:tc>
      </w:tr>
    </w:tbl>
    <w:p>
      <w:pPr>
        <w:spacing w:after="120"/>
      </w:pPr>
    </w:p>
    <w:p>
      <w:r>
        <w:rPr>
          <w:b/>
        </w:rPr>
        <w:t xml:space="preserve">Die drei Stellen, an denen es erfahrungsgemäß schiefgeht:</w:t>
      </w:r>
      <w:r>
        <w:t xml:space="preserve"> eine neue CSV-Datei im Referenzlauf </w:t>
      </w:r>
      <w:r>
        <w:rPr>
          <w:b/>
        </w:rPr>
        <w:t xml:space="preserve">ohne Bedingung</w:t>
      </w:r>
      <w:r>
        <w:t xml:space="preserve">; ein neuer Schlüssel im Parametersatz </w:t>
      </w:r>
      <w:r>
        <w:rPr>
          <w:b/>
        </w:rPr>
        <w:t xml:space="preserve">ohne </w:t>
      </w:r>
      <w:r>
        <w:rPr>
          <w:rFonts w:ascii="Consolas" w:hAnsi="Consolas" w:cs="Consolas"/>
          <w:b/>
          <w:noProof/>
          <w:sz w:val="20"/>
          <w:szCs w:val="20"/>
          <w:shd w:val="clear" w:color="auto" w:fill="EFEFEF"/>
        </w:rPr>
        <w:t xml:space="preserve">[Parameter]</w:t>
      </w:r>
      <w:r>
        <w:t xml:space="preserve">, der sauber übersetzt und beim ersten Zeichnen beim Anwender ausfällt; und eine neue Spalte, die über den Katalogkopierweg mitläuft und dort </w:t>
      </w:r>
      <w:r>
        <w:rPr>
          <w:b/>
        </w:rPr>
        <w:t xml:space="preserve">NULL zu 0 macht</w:t>
      </w:r>
      <w:r>
        <w:t xml:space="preserve">.</w:t>
      </w:r>
    </w:p>
    <w:p>
      <w:r>
        <w:rPr>
          <w:b/>
        </w:rPr>
        <w:t xml:space="preserve">Eine Berichtigung an der Einheitenregel:</w:t>
      </w:r>
      <w:r>
        <w:t xml:space="preserve"> die Hausregel nennt zwei Umrechnungsnähte, der Bestand hat eine dritte im Auskunftscontroller, absichtlich zeichengleich zum Lauf. Die Regel ist auf </w:t>
      </w:r>
      <w:r>
        <w:rPr>
          <w:b/>
        </w:rPr>
        <w:t xml:space="preserve">drei</w:t>
      </w:r>
      <w:r>
        <w:t xml:space="preserve"> Nähte fortzuschreiben, in demselben Merge, in dem der vierte Parameter entsteht; ein zweiter Rechenweg in der Hülle bleibt verboten.</w:t>
      </w:r>
    </w:p>
    <w:p>
      <w:r>
        <w:rPr>
          <w:b/>
        </w:rPr>
        <w:t xml:space="preserve">Einzelheiten:</w:t>
      </w:r>
      <w:r>
        <w:t xml:space="preserve"> </w:t>
      </w:r>
      <w:r>
        <w:rPr>
          <w:rFonts w:ascii="Consolas" w:hAnsi="Consolas" w:cs="Consolas"/>
          <w:noProof/>
          <w:sz w:val="20"/>
          <w:szCs w:val="20"/>
          <w:shd w:val="clear" w:color="auto" w:fill="EFEFEF"/>
        </w:rPr>
        <w:t xml:space="preserve">Dokumentation/aktuell/Softwarearchitektur_Gebaeudesimulation_EPOS-Plan.md</w:t>
      </w:r>
      <w:r>
        <w:t xml:space="preserve"> (Kapitel 1.1 bis 1.8) und </w:t>
      </w:r>
      <w:r>
        <w:rPr>
          <w:rFonts w:ascii="Consolas" w:hAnsi="Consolas" w:cs="Consolas"/>
          <w:noProof/>
          <w:sz w:val="20"/>
          <w:szCs w:val="20"/>
          <w:shd w:val="clear" w:color="auto" w:fill="EFEFEF"/>
        </w:rPr>
        <w:t xml:space="preserve">Dokumentation/aktuell/Gebaeudesimulation/2026-09-15_Befund_T_Softwarearchitektur_Bestand.md</w:t>
      </w:r>
      <w:r>
        <w:t xml:space="preserve">.</w:t>
      </w:r>
    </w:p>
    <w:p>
      <w:pPr>
        <w:pStyle w:val="Trennlinie"/>
      </w:pPr>
    </w:p>
    <w:p>
      <w:pPr>
        <w:pStyle w:val="Heading1"/>
      </w:pPr>
      <w:r>
        <w:t xml:space="preserve">4 Datenmodell</w:t>
      </w:r>
    </w:p>
    <w:p>
      <w:r>
        <w:t xml:space="preserve">Der Bestand steuert bei: </w:t>
      </w:r>
      <w:r>
        <w:rPr>
          <w:rFonts w:ascii="Consolas" w:hAnsi="Consolas" w:cs="Consolas"/>
          <w:noProof/>
          <w:sz w:val="20"/>
          <w:szCs w:val="20"/>
          <w:shd w:val="clear" w:color="auto" w:fill="EFEFEF"/>
        </w:rPr>
        <w:t xml:space="preserve">Tab_Gebaeude</w:t>
      </w:r>
      <w:r>
        <w:t xml:space="preserve"> mit 55 Spalten und dem Katalogzwilling </w:t>
      </w:r>
      <w:r>
        <w:rPr>
          <w:rFonts w:ascii="Consolas" w:hAnsi="Consolas" w:cs="Consolas"/>
          <w:noProof/>
          <w:sz w:val="20"/>
          <w:szCs w:val="20"/>
          <w:shd w:val="clear" w:color="auto" w:fill="EFEFEF"/>
        </w:rPr>
        <w:t xml:space="preserve">Tab_Gebaeude_STAMM</w:t>
      </w:r>
      <w:r>
        <w:t xml:space="preserve">, die Zuordnung </w:t>
      </w:r>
      <w:r>
        <w:rPr>
          <w:rFonts w:ascii="Consolas" w:hAnsi="Consolas" w:cs="Consolas"/>
          <w:noProof/>
          <w:sz w:val="20"/>
          <w:szCs w:val="20"/>
          <w:shd w:val="clear" w:color="auto" w:fill="EFEFEF"/>
        </w:rPr>
        <w:t xml:space="preserve">Z_ProjektGebaeude</w:t>
      </w:r>
      <w:r>
        <w:t xml:space="preserve">, die Sicht </w:t>
      </w:r>
      <w:r>
        <w:rPr>
          <w:rFonts w:ascii="Consolas" w:hAnsi="Consolas" w:cs="Consolas"/>
          <w:noProof/>
          <w:sz w:val="20"/>
          <w:szCs w:val="20"/>
          <w:shd w:val="clear" w:color="auto" w:fill="EFEFEF"/>
        </w:rPr>
        <w:t xml:space="preserve">Abfrage_Projektgebaeude</w:t>
      </w:r>
      <w:r>
        <w:t xml:space="preserve"> mit </w:t>
      </w:r>
      <w:r>
        <w:rPr>
          <w:b/>
        </w:rPr>
        <w:t xml:space="preserve">fester</w:t>
      </w:r>
      <w:r>
        <w:t xml:space="preserve"> 58-Spalten-Liste, </w:t>
      </w:r>
      <w:r>
        <w:rPr>
          <w:rFonts w:ascii="Consolas" w:hAnsi="Consolas" w:cs="Consolas"/>
          <w:noProof/>
          <w:sz w:val="20"/>
          <w:szCs w:val="20"/>
          <w:shd w:val="clear" w:color="auto" w:fill="EFEFEF"/>
        </w:rPr>
        <w:t xml:space="preserve">Tab_Solar</w:t>
      </w:r>
      <w:r>
        <w:t xml:space="preserve"> und </w:t>
      </w:r>
      <w:r>
        <w:rPr>
          <w:rFonts w:ascii="Consolas" w:hAnsi="Consolas" w:cs="Consolas"/>
          <w:noProof/>
          <w:sz w:val="20"/>
          <w:szCs w:val="20"/>
          <w:shd w:val="clear" w:color="auto" w:fill="EFEFEF"/>
        </w:rPr>
        <w:t xml:space="preserve">Tab_Klimadaten</w:t>
      </w:r>
      <w:r>
        <w:t xml:space="preserve"> je Klimaregion, </w:t>
      </w:r>
      <w:r>
        <w:rPr>
          <w:rFonts w:ascii="Consolas" w:hAnsi="Consolas" w:cs="Consolas"/>
          <w:noProof/>
          <w:sz w:val="20"/>
          <w:szCs w:val="20"/>
          <w:shd w:val="clear" w:color="auto" w:fill="EFEFEF"/>
        </w:rPr>
        <w:t xml:space="preserve">Tab_DBTagV</w:t>
      </w:r>
      <w:r>
        <w:t xml:space="preserve"> als einzige Kindtabelle des Gebäudes und die </w:t>
      </w:r>
      <w:r>
        <w:rPr>
          <w:rFonts w:ascii="Consolas" w:hAnsi="Consolas" w:cs="Consolas"/>
          <w:noProof/>
          <w:sz w:val="20"/>
          <w:szCs w:val="20"/>
          <w:shd w:val="clear" w:color="auto" w:fill="EFEFEF"/>
        </w:rPr>
        <w:t xml:space="preserve">Tab_Ergebnis*</w:t>
      </w:r>
      <w:r>
        <w:t xml:space="preserve">-Familie mit ausnahmslos Skalaren je Lauf.</w:t>
      </w:r>
    </w:p>
    <w:p>
      <w:r>
        <w:t xml:space="preserve">Hinzu kommen </w:t>
      </w:r>
      <w:r>
        <w:rPr>
          <w:b/>
        </w:rPr>
        <w:t xml:space="preserve">15 Spalten</w:t>
      </w:r>
      <w:r>
        <w:t xml:space="preserve"> an </w:t>
      </w:r>
      <w:r>
        <w:rPr>
          <w:rFonts w:ascii="Consolas" w:hAnsi="Consolas" w:cs="Consolas"/>
          <w:noProof/>
          <w:sz w:val="20"/>
          <w:szCs w:val="20"/>
          <w:shd w:val="clear" w:color="auto" w:fill="EFEFEF"/>
        </w:rPr>
        <w:t xml:space="preserve">Tab_Gebaeude</w:t>
      </w:r>
      <w:r>
        <w:t xml:space="preserve"> und ihrem Zwilling, </w:t>
      </w:r>
      <w:r>
        <w:rPr>
          <w:b/>
        </w:rPr>
        <w:t xml:space="preserve">drei</w:t>
      </w:r>
      <w:r>
        <w:t xml:space="preserve"> an </w:t>
      </w:r>
      <w:r>
        <w:rPr>
          <w:rFonts w:ascii="Consolas" w:hAnsi="Consolas" w:cs="Consolas"/>
          <w:noProof/>
          <w:sz w:val="20"/>
          <w:szCs w:val="20"/>
          <w:shd w:val="clear" w:color="auto" w:fill="EFEFEF"/>
        </w:rPr>
        <w:t xml:space="preserve">Tab_Solar</w:t>
      </w:r>
      <w:r>
        <w:t xml:space="preserve"> und ihrem Zwilling und </w:t>
      </w:r>
      <w:r>
        <w:rPr>
          <w:b/>
        </w:rPr>
        <w:t xml:space="preserve">elf Tabellen</w:t>
      </w:r>
      <w:r>
        <w:t xml:space="preserve"> — neun für Baustoffe, Aufbauten, Schichten, Zonen, Bauteile und Luftströme, zwei für die Importherkunft — bei </w:t>
      </w:r>
      <w:r>
        <w:rPr>
          <w:b/>
        </w:rPr>
        <w:t xml:space="preserve">genau einem</w:t>
      </w:r>
      <w:r>
        <w:t xml:space="preserve"> Sichtneubau. Das Konzept nennt elf Spalten, das Umsetzungskonzept nach dem Gegenlesen </w:t>
      </w:r>
      <w:r>
        <w:rPr>
          <w:b/>
        </w:rPr>
        <w:t xml:space="preserve">zwölf</w:t>
      </w:r>
      <w:r>
        <w:t xml:space="preserve"> (Kellertemperatur ergänzt) plus </w:t>
      </w:r>
      <w:r>
        <w:rPr>
          <w:b/>
        </w:rPr>
        <w:t xml:space="preserve">drei</w:t>
      </w:r>
      <w:r>
        <w:t xml:space="preserve"> G2-Spalten — zusammen die fünfzehn dieses Papiers, in zwei Schritten, die nach U5/A9 verschmolzen werden.</w:t>
      </w:r>
    </w:p>
    <w:p>
      <w:pPr>
        <w:pStyle w:val="Heading2"/>
      </w:pPr>
      <w:r>
        <w:t xml:space="preserve">4.1 Das Zielmodell in Wellen</w:t>
      </w:r>
    </w:p>
    <w:p>
      <w:r>
        <w:t xml:space="preserve">Eine Schema-Klasse je Tabellenfamilie ist die einzige Quelle für vier Leser — Migrationsschritt, Testdatenbankwerkzeug, Kopierweg und Nachweis. Die Papiernamen GB, M2 bis M4 und S-A bis S-G bleiben die verlässliche Adresse zwischen den Papieren; </w:t>
      </w:r>
      <w:r>
        <w:rPr>
          <w:b/>
        </w:rPr>
        <w:t xml:space="preserve">dieses Kapitel vergibt keine Schrittnummern.</w:t>
      </w:r>
      <w:r>
        <w:t xml:space="preserve"> Die Zahlen 77 und 78 aus den älteren Papieren sind überholt: der Zielstand des SQLite-Zweigs steht heute auf 78 — Schritt 77 ist die Volumenbemessung der Pufferspeicher-Vorlage, Schritt 78 der feste Betrag der PV-Position —, die nächste freie Nummer ist </w:t>
      </w:r>
      <w:r>
        <w:rPr>
          <w:b/>
        </w:rPr>
        <w:t xml:space="preserve">79</w:t>
      </w:r>
      <w:r>
        <w:t xml:space="preserve">. Verbindlich sind Reihenfolge und Inhalt; die Nummer vergibt der Schritt bei seiner Beauftragung.</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Welle</w:t>
            </w:r>
          </w:p>
        </w:tc>
        <w:tc>
          <w:tcPr>
            <w:tcW w:w="0" w:type="auto"/>
            <w:shd w:val="clear" w:color="auto" w:fill="D9D9D9"/>
          </w:tcPr>
          <w:p>
            <w:pPr>
              <w:spacing w:after="0" w:line="240" w:lineRule="auto"/>
              <w:rPr>
                <w:b/>
              </w:rPr>
            </w:pPr>
            <w:r>
              <w:rPr>
                <w:b/>
              </w:rPr>
              <w:t xml:space="preserve">Klasse</w:t>
            </w:r>
          </w:p>
        </w:tc>
        <w:tc>
          <w:tcPr>
            <w:tcW w:w="0" w:type="auto"/>
            <w:shd w:val="clear" w:color="auto" w:fill="D9D9D9"/>
          </w:tcPr>
          <w:p>
            <w:pPr>
              <w:spacing w:after="0" w:line="240" w:lineRule="auto"/>
              <w:rPr>
                <w:b/>
              </w:rPr>
            </w:pPr>
            <w:r>
              <w:rPr>
                <w:b/>
              </w:rPr>
              <w:t xml:space="preserve">Tabellen und Spalten</w:t>
            </w:r>
          </w:p>
        </w:tc>
        <w:tc>
          <w:tcPr>
            <w:tcW w:w="0" w:type="auto"/>
            <w:shd w:val="clear" w:color="auto" w:fill="D9D9D9"/>
          </w:tcPr>
          <w:p>
            <w:pPr>
              <w:spacing w:after="0" w:line="240" w:lineRule="auto"/>
              <w:rPr>
                <w:b/>
              </w:rPr>
            </w:pPr>
            <w:r>
              <w:rPr>
                <w:b/>
              </w:rPr>
              <w:t xml:space="preserve">Ergebnisneutral?</w:t>
            </w:r>
          </w:p>
        </w:tc>
        <w:tc>
          <w:tcPr>
            <w:tcW w:w="0" w:type="auto"/>
            <w:shd w:val="clear" w:color="auto" w:fill="D9D9D9"/>
          </w:tcPr>
          <w:p>
            <w:pPr>
              <w:spacing w:after="0" w:line="240" w:lineRule="auto"/>
              <w:rPr>
                <w:b/>
              </w:rPr>
            </w:pPr>
            <w:r>
              <w:rPr>
                <w:b/>
              </w:rPr>
              <w:t xml:space="preserve">Stufe</w:t>
            </w:r>
          </w:p>
        </w:tc>
      </w:tr>
      <w:tr>
        <w:tc>
          <w:tcPr>
            <w:tcW w:w="0" w:type="auto"/>
          </w:tcPr>
          <w:p>
            <w:pPr>
              <w:spacing w:after="0" w:line="240" w:lineRule="auto"/>
            </w:pPr>
            <w:r>
              <w:rPr>
                <w:b/>
              </w:rPr>
              <w:t xml:space="preserve">GB</w:t>
            </w:r>
          </w:p>
        </w:tc>
        <w:tc>
          <w:tcPr>
            <w:tcW w:w="0" w:type="auto"/>
          </w:tcPr>
          <w:p>
            <w:pPr>
              <w:spacing w:after="0" w:line="240" w:lineRule="auto"/>
            </w:pPr>
            <w:r>
              <w:t xml:space="preserve">—</w:t>
            </w:r>
          </w:p>
        </w:tc>
        <w:tc>
          <w:tcPr>
            <w:tcW w:w="0" w:type="auto"/>
          </w:tcPr>
          <w:p>
            <w:pPr>
              <w:spacing w:after="0" w:line="240" w:lineRule="auto"/>
            </w:pPr>
            <w:r>
              <w:t xml:space="preserve">kein DDL: Instanzzustand statt statischem Feld, Warnungen in der Ferienmaske, Korrektur der Bauweise eines Testgebäudes, Beseitigung der 100-Gebäude-Grenze, Einfrierregel </w:t>
            </w:r>
            <w:r>
              <w:rPr>
                <w:b/>
              </w:rPr>
              <w:t xml:space="preserve">„gesäte Gebäudedaten"</w:t>
            </w:r>
          </w:p>
        </w:tc>
        <w:tc>
          <w:tcPr>
            <w:tcW w:w="0" w:type="auto"/>
          </w:tcPr>
          <w:p>
            <w:pPr>
              <w:spacing w:after="0" w:line="240" w:lineRule="auto"/>
            </w:pPr>
            <w:r>
              <w:rPr>
                <w:b/>
              </w:rPr>
              <w:t xml:space="preserve">nein</w:t>
            </w:r>
            <w:r>
              <w:t xml:space="preserve"> — zwei Referenzprojekte ändern sich</w:t>
            </w:r>
          </w:p>
        </w:tc>
        <w:tc>
          <w:tcPr>
            <w:tcW w:w="0" w:type="auto"/>
          </w:tcPr>
          <w:p>
            <w:pPr>
              <w:spacing w:after="0" w:line="240" w:lineRule="auto"/>
            </w:pPr>
            <w:r>
              <w:t xml:space="preserve">GB</w:t>
            </w:r>
          </w:p>
        </w:tc>
      </w:tr>
      <w:tr>
        <w:tc>
          <w:tcPr>
            <w:tcW w:w="0" w:type="auto"/>
          </w:tcPr>
          <w:p>
            <w:pPr>
              <w:spacing w:after="0" w:line="240" w:lineRule="auto"/>
            </w:pPr>
            <w:r>
              <w:rPr>
                <w:b/>
              </w:rPr>
              <w:t xml:space="preserve">M2</w:t>
            </w:r>
          </w:p>
        </w:tc>
        <w:tc>
          <w:tcPr>
            <w:tcW w:w="0" w:type="auto"/>
          </w:tcPr>
          <w:p>
            <w:pPr>
              <w:spacing w:after="0" w:line="240" w:lineRule="auto"/>
            </w:pPr>
            <w:r>
              <w:t xml:space="preserve">—</w:t>
            </w:r>
          </w:p>
        </w:tc>
        <w:tc>
          <w:tcPr>
            <w:tcW w:w="0" w:type="auto"/>
          </w:tcPr>
          <w:p>
            <w:pPr>
              <w:spacing w:after="0" w:line="240" w:lineRule="auto"/>
            </w:pPr>
            <w:r>
              <w:t xml:space="preserve">kein DDL: Umbenennung des Ostfensterfeldes im Modell, 15 Stellen</w:t>
            </w:r>
          </w:p>
        </w:tc>
        <w:tc>
          <w:tcPr>
            <w:tcW w:w="0" w:type="auto"/>
          </w:tcPr>
          <w:p>
            <w:pPr>
              <w:spacing w:after="0" w:line="240" w:lineRule="auto"/>
            </w:pPr>
            <w:r>
              <w:rPr>
                <w:b/>
              </w:rPr>
              <w:t xml:space="preserve">ja</w:t>
            </w:r>
            <w:r>
              <w:t xml:space="preserve">, byte-gleich</w:t>
            </w:r>
          </w:p>
        </w:tc>
        <w:tc>
          <w:tcPr>
            <w:tcW w:w="0" w:type="auto"/>
          </w:tcPr>
          <w:p>
            <w:pPr>
              <w:spacing w:after="0" w:line="240" w:lineRule="auto"/>
            </w:pPr>
            <w:r>
              <w:t xml:space="preserve">vor G1</w:t>
            </w:r>
          </w:p>
        </w:tc>
      </w:tr>
      <w:tr>
        <w:tc>
          <w:tcPr>
            <w:tcW w:w="0" w:type="auto"/>
          </w:tcPr>
          <w:p>
            <w:pPr>
              <w:spacing w:after="0" w:line="240" w:lineRule="auto"/>
            </w:pPr>
            <w:r>
              <w:rPr>
                <w:b/>
              </w:rPr>
              <w:t xml:space="preserve">M3</w:t>
            </w:r>
          </w:p>
        </w:tc>
        <w:tc>
          <w:tcPr>
            <w:tcW w:w="0" w:type="auto"/>
          </w:tcPr>
          <w:p>
            <w:pPr>
              <w:spacing w:after="0" w:line="240" w:lineRule="auto"/>
            </w:pPr>
            <w:r>
              <w:rPr>
                <w:rFonts w:ascii="Consolas" w:hAnsi="Consolas" w:cs="Consolas"/>
                <w:noProof/>
                <w:sz w:val="20"/>
                <w:szCs w:val="20"/>
                <w:shd w:val="clear" w:color="auto" w:fill="EFEFEF"/>
              </w:rPr>
              <w:t xml:space="preserve">GebaeudeSchema</w:t>
            </w:r>
          </w:p>
        </w:tc>
        <w:tc>
          <w:tcPr>
            <w:tcW w:w="0" w:type="auto"/>
          </w:tcPr>
          <w:p>
            <w:pPr>
              <w:spacing w:after="0" w:line="240" w:lineRule="auto"/>
            </w:pPr>
            <w:r>
              <w:t xml:space="preserve">15 Spalten × 2 Tabellen, Sicht </w:t>
            </w:r>
            <w:r>
              <w:rPr>
                <w:rFonts w:ascii="Consolas" w:hAnsi="Consolas" w:cs="Consolas"/>
                <w:noProof/>
                <w:sz w:val="20"/>
                <w:szCs w:val="20"/>
                <w:shd w:val="clear" w:color="auto" w:fill="EFEFEF"/>
              </w:rPr>
              <w:t xml:space="preserve">DROP</w:t>
            </w:r>
            <w:r>
              <w:t xml:space="preserve"> + </w:t>
            </w:r>
            <w:r>
              <w:rPr>
                <w:rFonts w:ascii="Consolas" w:hAnsi="Consolas" w:cs="Consolas"/>
                <w:noProof/>
                <w:sz w:val="20"/>
                <w:szCs w:val="20"/>
                <w:shd w:val="clear" w:color="auto" w:fill="EFEFEF"/>
              </w:rPr>
              <w:t xml:space="preserve">CREATE</w:t>
            </w:r>
            <w:r>
              <w:t xml:space="preserve">, Leser auf </w:t>
            </w:r>
            <w:r>
              <w:rPr>
                <w:b/>
              </w:rPr>
              <w:t xml:space="preserve">Namenszugriff</w:t>
            </w:r>
            <w:r>
              <w:t xml:space="preserve">, Persistenzwerte, Katalogkopie NULL-erhaltend  — dazu </w:t>
            </w:r>
            <w:r>
              <w:rPr>
                <w:rFonts w:ascii="Consolas" w:hAnsi="Consolas" w:cs="Consolas"/>
                <w:noProof/>
                <w:sz w:val="20"/>
                <w:szCs w:val="20"/>
                <w:shd w:val="clear" w:color="auto" w:fill="EFEFEF"/>
              </w:rPr>
              <w:t xml:space="preserve">RENAME COLUMN Wohnflaeche → Nutzflaeche</w:t>
            </w:r>
            <w:r>
              <w:t xml:space="preserve"> in beiden Gebäudetabellen (E19)</w:t>
            </w:r>
          </w:p>
        </w:tc>
        <w:tc>
          <w:tcPr>
            <w:tcW w:w="0" w:type="auto"/>
          </w:tcPr>
          <w:p>
            <w:pPr>
              <w:spacing w:after="0" w:line="240" w:lineRule="auto"/>
            </w:pPr>
            <w:r>
              <w:rPr>
                <w:b/>
              </w:rPr>
              <w:t xml:space="preserve">ja</w:t>
            </w:r>
            <w:r>
              <w:t xml:space="preserve">, solange kein Leser rechnet</w:t>
            </w:r>
          </w:p>
        </w:tc>
        <w:tc>
          <w:tcPr>
            <w:tcW w:w="0" w:type="auto"/>
          </w:tcPr>
          <w:p>
            <w:pPr>
              <w:spacing w:after="0" w:line="240" w:lineRule="auto"/>
            </w:pPr>
            <w:r>
              <w:t xml:space="preserve">vor G1</w:t>
            </w:r>
          </w:p>
        </w:tc>
      </w:tr>
      <w:tr>
        <w:tc>
          <w:tcPr>
            <w:tcW w:w="0" w:type="auto"/>
          </w:tcPr>
          <w:p>
            <w:pPr>
              <w:spacing w:after="0" w:line="240" w:lineRule="auto"/>
            </w:pPr>
            <w:r>
              <w:rPr>
                <w:b/>
              </w:rPr>
              <w:t xml:space="preserve">S-E</w:t>
            </w:r>
          </w:p>
        </w:tc>
        <w:tc>
          <w:tcPr>
            <w:tcW w:w="0" w:type="auto"/>
          </w:tcPr>
          <w:p>
            <w:pPr>
              <w:spacing w:after="0" w:line="240" w:lineRule="auto"/>
            </w:pPr>
            <w:r>
              <w:t xml:space="preserve">—</w:t>
            </w:r>
          </w:p>
        </w:tc>
        <w:tc>
          <w:tcPr>
            <w:tcW w:w="0" w:type="auto"/>
          </w:tcPr>
          <w:p>
            <w:pPr>
              <w:spacing w:after="0" w:line="240" w:lineRule="auto"/>
            </w:pPr>
            <w:r>
              <w:t xml:space="preserve">kein DDL: Umbau von </w:t>
            </w:r>
            <w:r>
              <w:rPr>
                <w:rFonts w:ascii="Consolas" w:hAnsi="Consolas" w:cs="Consolas"/>
                <w:noProof/>
                <w:sz w:val="20"/>
                <w:szCs w:val="20"/>
                <w:shd w:val="clear" w:color="auto" w:fill="EFEFEF"/>
              </w:rPr>
              <w:t xml:space="preserve">CopyFromStamm</w:t>
            </w:r>
            <w:r>
              <w:t xml:space="preserve">, </w:t>
            </w:r>
            <w:r>
              <w:rPr>
                <w:rFonts w:ascii="Consolas" w:hAnsi="Consolas" w:cs="Consolas"/>
                <w:noProof/>
                <w:sz w:val="20"/>
                <w:szCs w:val="20"/>
                <w:shd w:val="clear" w:color="auto" w:fill="EFEFEF"/>
              </w:rPr>
              <w:t xml:space="preserve">Insert</w:t>
            </w:r>
            <w:r>
              <w:t xml:space="preserve"> und </w:t>
            </w:r>
            <w:r>
              <w:rPr>
                <w:rFonts w:ascii="Consolas" w:hAnsi="Consolas" w:cs="Consolas"/>
                <w:noProof/>
                <w:sz w:val="20"/>
                <w:szCs w:val="20"/>
                <w:shd w:val="clear" w:color="auto" w:fill="EFEFEF"/>
              </w:rPr>
              <w:t xml:space="preserve">Overwrite</w:t>
            </w:r>
            <w:r>
              <w:t xml:space="preserve"> auf NULL-erhaltende Bindung; </w:t>
            </w:r>
            <w:r>
              <w:rPr>
                <w:b/>
              </w:rPr>
              <w:t xml:space="preserve">Sperrpunkt und Bestandteil von M3</w:t>
            </w:r>
            <w:r>
              <w:t xml:space="preserve">, kein eigener Migrationsschritt</w:t>
            </w:r>
          </w:p>
        </w:tc>
        <w:tc>
          <w:tcPr>
            <w:tcW w:w="0" w:type="auto"/>
          </w:tcPr>
          <w:p>
            <w:pPr>
              <w:spacing w:after="0" w:line="240" w:lineRule="auto"/>
            </w:pPr>
            <w:r>
              <w:rPr>
                <w:b/>
              </w:rPr>
              <w:t xml:space="preserve">ja</w:t>
            </w:r>
            <w:r>
              <w:t xml:space="preserve">, byte-gleich</w:t>
            </w:r>
          </w:p>
        </w:tc>
        <w:tc>
          <w:tcPr>
            <w:tcW w:w="0" w:type="auto"/>
          </w:tcPr>
          <w:p>
            <w:pPr>
              <w:spacing w:after="0" w:line="240" w:lineRule="auto"/>
            </w:pPr>
            <w:r>
              <w:t xml:space="preserve">vor G1</w:t>
            </w:r>
          </w:p>
        </w:tc>
      </w:tr>
      <w:tr>
        <w:tc>
          <w:tcPr>
            <w:tcW w:w="0" w:type="auto"/>
          </w:tcPr>
          <w:p>
            <w:pPr>
              <w:spacing w:after="0" w:line="240" w:lineRule="auto"/>
            </w:pPr>
            <w:r>
              <w:rPr>
                <w:b/>
              </w:rPr>
              <w:t xml:space="preserve">M4</w:t>
            </w:r>
          </w:p>
        </w:tc>
        <w:tc>
          <w:tcPr>
            <w:tcW w:w="0" w:type="auto"/>
          </w:tcPr>
          <w:p>
            <w:pPr>
              <w:spacing w:after="0" w:line="240" w:lineRule="auto"/>
            </w:pPr>
            <w:r>
              <w:rPr>
                <w:rFonts w:ascii="Consolas" w:hAnsi="Consolas" w:cs="Consolas"/>
                <w:noProof/>
                <w:sz w:val="20"/>
                <w:szCs w:val="20"/>
                <w:shd w:val="clear" w:color="auto" w:fill="EFEFEF"/>
              </w:rPr>
              <w:t xml:space="preserve">SolarKlimaSchema</w:t>
            </w:r>
          </w:p>
        </w:tc>
        <w:tc>
          <w:tcPr>
            <w:tcW w:w="0" w:type="auto"/>
          </w:tcPr>
          <w:p>
            <w:pPr>
              <w:spacing w:after="0" w:line="240" w:lineRule="auto"/>
            </w:pPr>
            <w:r>
              <w:t xml:space="preserve">3 Spalten × </w:t>
            </w:r>
            <w:r>
              <w:rPr>
                <w:rFonts w:ascii="Consolas" w:hAnsi="Consolas" w:cs="Consolas"/>
                <w:noProof/>
                <w:sz w:val="20"/>
                <w:szCs w:val="20"/>
                <w:shd w:val="clear" w:color="auto" w:fill="EFEFEF"/>
              </w:rPr>
              <w:t xml:space="preserve">Tab_Solar</w:t>
            </w:r>
            <w:r>
              <w:t xml:space="preserve"> und Zwilling, Leseweg der PVGIS-Antwort, Einfrierregel </w:t>
            </w:r>
            <w:r>
              <w:rPr>
                <w:b/>
              </w:rPr>
              <w:t xml:space="preserve">„gesäte Klimareihen"</w:t>
            </w:r>
          </w:p>
        </w:tc>
        <w:tc>
          <w:tcPr>
            <w:tcW w:w="0" w:type="auto"/>
          </w:tcPr>
          <w:p>
            <w:pPr>
              <w:spacing w:after="0" w:line="240" w:lineRule="auto"/>
            </w:pPr>
            <w:r>
              <w:rPr>
                <w:b/>
              </w:rPr>
              <w:t xml:space="preserve">ja</w:t>
            </w:r>
          </w:p>
        </w:tc>
        <w:tc>
          <w:tcPr>
            <w:tcW w:w="0" w:type="auto"/>
          </w:tcPr>
          <w:p>
            <w:pPr>
              <w:spacing w:after="0" w:line="240" w:lineRule="auto"/>
            </w:pPr>
            <w:r>
              <w:t xml:space="preserve">vor G1</w:t>
            </w:r>
          </w:p>
        </w:tc>
      </w:tr>
      <w:tr>
        <w:tc>
          <w:tcPr>
            <w:tcW w:w="0" w:type="auto"/>
          </w:tcPr>
          <w:p>
            <w:pPr>
              <w:spacing w:after="0" w:line="240" w:lineRule="auto"/>
            </w:pPr>
            <w:r>
              <w:rPr>
                <w:b/>
              </w:rPr>
              <w:t xml:space="preserve">S-A</w:t>
            </w:r>
          </w:p>
        </w:tc>
        <w:tc>
          <w:tcPr>
            <w:tcW w:w="0" w:type="auto"/>
          </w:tcPr>
          <w:p>
            <w:pPr>
              <w:spacing w:after="0" w:line="240" w:lineRule="auto"/>
            </w:pPr>
            <w:r>
              <w:rPr>
                <w:rFonts w:ascii="Consolas" w:hAnsi="Consolas" w:cs="Consolas"/>
                <w:noProof/>
                <w:sz w:val="20"/>
                <w:szCs w:val="20"/>
                <w:shd w:val="clear" w:color="auto" w:fill="EFEFEF"/>
              </w:rPr>
              <w:t xml:space="preserve">BaustoffSchema</w:t>
            </w:r>
          </w:p>
        </w:tc>
        <w:tc>
          <w:tcPr>
            <w:tcW w:w="0" w:type="auto"/>
          </w:tcPr>
          <w:p>
            <w:pPr>
              <w:spacing w:after="0" w:line="240" w:lineRule="auto"/>
            </w:pPr>
            <w:r>
              <w:rPr>
                <w:rFonts w:ascii="Consolas" w:hAnsi="Consolas" w:cs="Consolas"/>
                <w:noProof/>
                <w:sz w:val="20"/>
                <w:szCs w:val="20"/>
                <w:shd w:val="clear" w:color="auto" w:fill="EFEFEF"/>
              </w:rPr>
              <w:t xml:space="preserve">Tab_Baustoff_STAMM</w:t>
            </w:r>
            <w:r>
              <w:t xml:space="preserve"> und </w:t>
            </w:r>
            <w:r>
              <w:rPr>
                <w:rFonts w:ascii="Consolas" w:hAnsi="Consolas" w:cs="Consolas"/>
                <w:noProof/>
                <w:sz w:val="20"/>
                <w:szCs w:val="20"/>
                <w:shd w:val="clear" w:color="auto" w:fill="EFEFEF"/>
              </w:rPr>
              <w:t xml:space="preserve">Tab_Baustoff</w:t>
            </w:r>
            <w:r>
              <w:t xml:space="preserve">, Baustoffsaat mit </w:t>
            </w:r>
            <w:r>
              <w:rPr>
                <w:rFonts w:ascii="Consolas" w:hAnsi="Consolas" w:cs="Consolas"/>
                <w:noProof/>
                <w:sz w:val="20"/>
                <w:szCs w:val="20"/>
                <w:shd w:val="clear" w:color="auto" w:fill="EFEFEF"/>
              </w:rPr>
              <w:t xml:space="preserve">ReadOnly = 1</w:t>
            </w:r>
          </w:p>
        </w:tc>
        <w:tc>
          <w:tcPr>
            <w:tcW w:w="0" w:type="auto"/>
          </w:tcPr>
          <w:p>
            <w:pPr>
              <w:spacing w:after="0" w:line="240" w:lineRule="auto"/>
            </w:pPr>
            <w:r>
              <w:rPr>
                <w:b/>
              </w:rPr>
              <w:t xml:space="preserve">ja</w:t>
            </w:r>
          </w:p>
        </w:tc>
        <w:tc>
          <w:tcPr>
            <w:tcW w:w="0" w:type="auto"/>
          </w:tcPr>
          <w:p>
            <w:pPr>
              <w:spacing w:after="0" w:line="240" w:lineRule="auto"/>
            </w:pPr>
            <w:r>
              <w:t xml:space="preserve">G3</w:t>
            </w:r>
          </w:p>
        </w:tc>
      </w:tr>
      <w:tr>
        <w:tc>
          <w:tcPr>
            <w:tcW w:w="0" w:type="auto"/>
          </w:tcPr>
          <w:p>
            <w:pPr>
              <w:spacing w:after="0" w:line="240" w:lineRule="auto"/>
            </w:pPr>
            <w:r>
              <w:rPr>
                <w:b/>
              </w:rPr>
              <w:t xml:space="preserve">S-B</w:t>
            </w:r>
          </w:p>
        </w:tc>
        <w:tc>
          <w:tcPr>
            <w:tcW w:w="0" w:type="auto"/>
          </w:tcPr>
          <w:p>
            <w:pPr>
              <w:spacing w:after="0" w:line="240" w:lineRule="auto"/>
            </w:pPr>
            <w:r>
              <w:rPr>
                <w:rFonts w:ascii="Consolas" w:hAnsi="Consolas" w:cs="Consolas"/>
                <w:noProof/>
                <w:sz w:val="20"/>
                <w:szCs w:val="20"/>
                <w:shd w:val="clear" w:color="auto" w:fill="EFEFEF"/>
              </w:rPr>
              <w:t xml:space="preserve">BauteilaufbauSchema</w:t>
            </w:r>
          </w:p>
        </w:tc>
        <w:tc>
          <w:tcPr>
            <w:tcW w:w="0" w:type="auto"/>
          </w:tcPr>
          <w:p>
            <w:pPr>
              <w:spacing w:after="0" w:line="240" w:lineRule="auto"/>
            </w:pPr>
            <w:r>
              <w:rPr>
                <w:rFonts w:ascii="Consolas" w:hAnsi="Consolas" w:cs="Consolas"/>
                <w:noProof/>
                <w:sz w:val="20"/>
                <w:szCs w:val="20"/>
                <w:shd w:val="clear" w:color="auto" w:fill="EFEFEF"/>
              </w:rPr>
              <w:t xml:space="preserve">Tab_Bauteilaufbau</w:t>
            </w:r>
            <w:r>
              <w:t xml:space="preserve"> und </w:t>
            </w:r>
            <w:r>
              <w:rPr>
                <w:rFonts w:ascii="Consolas" w:hAnsi="Consolas" w:cs="Consolas"/>
                <w:noProof/>
                <w:sz w:val="20"/>
                <w:szCs w:val="20"/>
                <w:shd w:val="clear" w:color="auto" w:fill="EFEFEF"/>
              </w:rPr>
              <w:t xml:space="preserve">Tab_Bauteilschicht</w:t>
            </w:r>
            <w:r>
              <w:t xml:space="preserve"> je mit Zwilling, Index über Aufbau und Reihenfolge</w:t>
            </w:r>
          </w:p>
        </w:tc>
        <w:tc>
          <w:tcPr>
            <w:tcW w:w="0" w:type="auto"/>
          </w:tcPr>
          <w:p>
            <w:pPr>
              <w:spacing w:after="0" w:line="240" w:lineRule="auto"/>
            </w:pPr>
            <w:r>
              <w:rPr>
                <w:b/>
              </w:rPr>
              <w:t xml:space="preserve">ja</w:t>
            </w:r>
          </w:p>
        </w:tc>
        <w:tc>
          <w:tcPr>
            <w:tcW w:w="0" w:type="auto"/>
          </w:tcPr>
          <w:p>
            <w:pPr>
              <w:spacing w:after="0" w:line="240" w:lineRule="auto"/>
            </w:pPr>
            <w:r>
              <w:t xml:space="preserve">G3</w:t>
            </w:r>
          </w:p>
        </w:tc>
      </w:tr>
      <w:tr>
        <w:tc>
          <w:tcPr>
            <w:tcW w:w="0" w:type="auto"/>
          </w:tcPr>
          <w:p>
            <w:pPr>
              <w:spacing w:after="0" w:line="240" w:lineRule="auto"/>
            </w:pPr>
            <w:r>
              <w:rPr>
                <w:b/>
              </w:rPr>
              <w:t xml:space="preserve">S-C</w:t>
            </w:r>
          </w:p>
        </w:tc>
        <w:tc>
          <w:tcPr>
            <w:tcW w:w="0" w:type="auto"/>
          </w:tcPr>
          <w:p>
            <w:pPr>
              <w:spacing w:after="0" w:line="240" w:lineRule="auto"/>
            </w:pPr>
            <w:r>
              <w:rPr>
                <w:rFonts w:ascii="Consolas" w:hAnsi="Consolas" w:cs="Consolas"/>
                <w:noProof/>
                <w:sz w:val="20"/>
                <w:szCs w:val="20"/>
                <w:shd w:val="clear" w:color="auto" w:fill="EFEFEF"/>
              </w:rPr>
              <w:t xml:space="preserve">ZonenSchema.Anweisungen</w:t>
            </w:r>
          </w:p>
        </w:tc>
        <w:tc>
          <w:tcPr>
            <w:tcW w:w="0" w:type="auto"/>
          </w:tcPr>
          <w:p>
            <w:pPr>
              <w:spacing w:after="0" w:line="240" w:lineRule="auto"/>
            </w:pPr>
            <w:r>
              <w:rPr>
                <w:rFonts w:ascii="Consolas" w:hAnsi="Consolas" w:cs="Consolas"/>
                <w:noProof/>
                <w:sz w:val="20"/>
                <w:szCs w:val="20"/>
                <w:shd w:val="clear" w:color="auto" w:fill="EFEFEF"/>
              </w:rPr>
              <w:t xml:space="preserve">Tab_Zone</w:t>
            </w:r>
            <w:r>
              <w:t xml:space="preserve"> und </w:t>
            </w:r>
            <w:r>
              <w:rPr>
                <w:rFonts w:ascii="Consolas" w:hAnsi="Consolas" w:cs="Consolas"/>
                <w:noProof/>
                <w:sz w:val="20"/>
                <w:szCs w:val="20"/>
                <w:shd w:val="clear" w:color="auto" w:fill="EFEFEF"/>
              </w:rPr>
              <w:t xml:space="preserve">Tab_Bauteil</w:t>
            </w:r>
            <w:r>
              <w:t xml:space="preserve">, Indizes über Gebäude/Rang und Zone/Rang</w:t>
            </w:r>
          </w:p>
        </w:tc>
        <w:tc>
          <w:tcPr>
            <w:tcW w:w="0" w:type="auto"/>
          </w:tcPr>
          <w:p>
            <w:pPr>
              <w:spacing w:after="0" w:line="240" w:lineRule="auto"/>
            </w:pPr>
            <w:r>
              <w:rPr>
                <w:b/>
              </w:rPr>
              <w:t xml:space="preserve">ja</w:t>
            </w:r>
            <w:r>
              <w:t xml:space="preserve">, solange kein Rechenweg liest</w:t>
            </w:r>
          </w:p>
        </w:tc>
        <w:tc>
          <w:tcPr>
            <w:tcW w:w="0" w:type="auto"/>
          </w:tcPr>
          <w:p>
            <w:pPr>
              <w:spacing w:after="0" w:line="240" w:lineRule="auto"/>
            </w:pPr>
            <w:r>
              <w:t xml:space="preserve">G3 · G6a</w:t>
            </w:r>
          </w:p>
        </w:tc>
      </w:tr>
      <w:tr>
        <w:tc>
          <w:tcPr>
            <w:tcW w:w="0" w:type="auto"/>
          </w:tcPr>
          <w:p>
            <w:pPr>
              <w:spacing w:after="0" w:line="240" w:lineRule="auto"/>
            </w:pPr>
            <w:r>
              <w:rPr>
                <w:b/>
              </w:rPr>
              <w:t xml:space="preserve">S-D</w:t>
            </w:r>
          </w:p>
        </w:tc>
        <w:tc>
          <w:tcPr>
            <w:tcW w:w="0" w:type="auto"/>
          </w:tcPr>
          <w:p>
            <w:pPr>
              <w:spacing w:after="0" w:line="240" w:lineRule="auto"/>
            </w:pPr>
            <w:r>
              <w:t xml:space="preserve">—</w:t>
            </w:r>
          </w:p>
        </w:tc>
        <w:tc>
          <w:tcPr>
            <w:tcW w:w="0" w:type="auto"/>
          </w:tcPr>
          <w:p>
            <w:pPr>
              <w:spacing w:after="0" w:line="240" w:lineRule="auto"/>
            </w:pPr>
            <w:r>
              <w:t xml:space="preserve">Registerpflege ohne DDL</w:t>
            </w:r>
          </w:p>
        </w:tc>
        <w:tc>
          <w:tcPr>
            <w:tcW w:w="0" w:type="auto"/>
          </w:tcPr>
          <w:p>
            <w:pPr>
              <w:spacing w:after="0" w:line="240" w:lineRule="auto"/>
            </w:pPr>
            <w:r>
              <w:rPr>
                <w:b/>
              </w:rPr>
              <w:t xml:space="preserve">ja</w:t>
            </w:r>
          </w:p>
        </w:tc>
        <w:tc>
          <w:tcPr>
            <w:tcW w:w="0" w:type="auto"/>
          </w:tcPr>
          <w:p>
            <w:pPr>
              <w:spacing w:after="0" w:line="240" w:lineRule="auto"/>
            </w:pPr>
            <w:r>
              <w:t xml:space="preserve">G6a</w:t>
            </w:r>
          </w:p>
        </w:tc>
      </w:tr>
      <w:tr>
        <w:tc>
          <w:tcPr>
            <w:tcW w:w="0" w:type="auto"/>
          </w:tcPr>
          <w:p>
            <w:pPr>
              <w:spacing w:after="0" w:line="240" w:lineRule="auto"/>
            </w:pPr>
            <w:r>
              <w:rPr>
                <w:b/>
              </w:rPr>
              <w:t xml:space="preserve">S-F</w:t>
            </w:r>
          </w:p>
        </w:tc>
        <w:tc>
          <w:tcPr>
            <w:tcW w:w="0" w:type="auto"/>
          </w:tcPr>
          <w:p>
            <w:pPr>
              <w:spacing w:after="0" w:line="240" w:lineRule="auto"/>
            </w:pPr>
            <w:r>
              <w:rPr>
                <w:rFonts w:ascii="Consolas" w:hAnsi="Consolas" w:cs="Consolas"/>
                <w:noProof/>
                <w:sz w:val="20"/>
                <w:szCs w:val="20"/>
                <w:shd w:val="clear" w:color="auto" w:fill="EFEFEF"/>
              </w:rPr>
              <w:t xml:space="preserve">ImportzuordnungSchema</w:t>
            </w:r>
          </w:p>
        </w:tc>
        <w:tc>
          <w:tcPr>
            <w:tcW w:w="0" w:type="auto"/>
          </w:tcPr>
          <w:p>
            <w:pPr>
              <w:spacing w:after="0" w:line="240" w:lineRule="auto"/>
            </w:pPr>
            <w:r>
              <w:rPr>
                <w:rFonts w:ascii="Consolas" w:hAnsi="Consolas" w:cs="Consolas"/>
                <w:noProof/>
                <w:sz w:val="20"/>
                <w:szCs w:val="20"/>
                <w:shd w:val="clear" w:color="auto" w:fill="EFEFEF"/>
              </w:rPr>
              <w:t xml:space="preserve">Tab_Importquelle</w:t>
            </w:r>
            <w:r>
              <w:t xml:space="preserve"> und </w:t>
            </w:r>
            <w:r>
              <w:rPr>
                <w:rFonts w:ascii="Consolas" w:hAnsi="Consolas" w:cs="Consolas"/>
                <w:noProof/>
                <w:sz w:val="20"/>
                <w:szCs w:val="20"/>
                <w:shd w:val="clear" w:color="auto" w:fill="EFEFEF"/>
              </w:rPr>
              <w:t xml:space="preserve">Tab_Importzuordnung</w:t>
            </w:r>
            <w:r>
              <w:t xml:space="preserve">, zwei Indizes; </w:t>
            </w:r>
            <w:r>
              <w:rPr>
                <w:b/>
              </w:rPr>
              <w:t xml:space="preserve">Prüfregel: beide Tabellen sind in der Auslieferungsdatenbank leer</w:t>
            </w:r>
          </w:p>
        </w:tc>
        <w:tc>
          <w:tcPr>
            <w:tcW w:w="0" w:type="auto"/>
          </w:tcPr>
          <w:p>
            <w:pPr>
              <w:spacing w:after="0" w:line="240" w:lineRule="auto"/>
            </w:pPr>
            <w:r>
              <w:rPr>
                <w:b/>
              </w:rPr>
              <w:t xml:space="preserve">ja</w:t>
            </w:r>
          </w:p>
        </w:tc>
        <w:tc>
          <w:tcPr>
            <w:tcW w:w="0" w:type="auto"/>
          </w:tcPr>
          <w:p>
            <w:pPr>
              <w:spacing w:after="0" w:line="240" w:lineRule="auto"/>
            </w:pPr>
            <w:r>
              <w:t xml:space="preserve">G4</w:t>
            </w:r>
          </w:p>
        </w:tc>
      </w:tr>
      <w:tr>
        <w:tc>
          <w:tcPr>
            <w:tcW w:w="0" w:type="auto"/>
          </w:tcPr>
          <w:p>
            <w:pPr>
              <w:spacing w:after="0" w:line="240" w:lineRule="auto"/>
            </w:pPr>
            <w:r>
              <w:rPr>
                <w:b/>
              </w:rPr>
              <w:t xml:space="preserve">S-G</w:t>
            </w:r>
          </w:p>
        </w:tc>
        <w:tc>
          <w:tcPr>
            <w:tcW w:w="0" w:type="auto"/>
          </w:tcPr>
          <w:p>
            <w:pPr>
              <w:spacing w:after="0" w:line="240" w:lineRule="auto"/>
            </w:pPr>
            <w:r>
              <w:rPr>
                <w:rFonts w:ascii="Consolas" w:hAnsi="Consolas" w:cs="Consolas"/>
                <w:noProof/>
                <w:sz w:val="20"/>
                <w:szCs w:val="20"/>
                <w:shd w:val="clear" w:color="auto" w:fill="EFEFEF"/>
              </w:rPr>
              <w:t xml:space="preserve">ZonenSchema.AnweisungenKopplung</w:t>
            </w:r>
          </w:p>
        </w:tc>
        <w:tc>
          <w:tcPr>
            <w:tcW w:w="0" w:type="auto"/>
          </w:tcPr>
          <w:p>
            <w:pPr>
              <w:spacing w:after="0" w:line="240" w:lineRule="auto"/>
            </w:pPr>
            <w:r>
              <w:rPr>
                <w:rFonts w:ascii="Consolas" w:hAnsi="Consolas" w:cs="Consolas"/>
                <w:noProof/>
                <w:sz w:val="20"/>
                <w:szCs w:val="20"/>
                <w:shd w:val="clear" w:color="auto" w:fill="EFEFEF"/>
              </w:rPr>
              <w:t xml:space="preserve">Tab_Zonenluftstrom</w:t>
            </w:r>
            <w:r>
              <w:t xml:space="preserve"> mit </w:t>
            </w:r>
            <w:r>
              <w:rPr>
                <w:rFonts w:ascii="Consolas" w:hAnsi="Consolas" w:cs="Consolas"/>
                <w:noProof/>
                <w:sz w:val="20"/>
                <w:szCs w:val="20"/>
                <w:shd w:val="clear" w:color="auto" w:fill="EFEFEF"/>
              </w:rPr>
              <w:t xml:space="preserve">CHECK</w:t>
            </w:r>
            <w:r>
              <w:t xml:space="preserve"> und eindeutigem Index, </w:t>
            </w:r>
            <w:r>
              <w:rPr>
                <w:rFonts w:ascii="Consolas" w:hAnsi="Consolas" w:cs="Consolas"/>
                <w:noProof/>
                <w:sz w:val="20"/>
                <w:szCs w:val="20"/>
                <w:shd w:val="clear" w:color="auto" w:fill="EFEFEF"/>
              </w:rPr>
              <w:t xml:space="preserve">ID_Nachbarzone</w:t>
            </w:r>
            <w:r>
              <w:t xml:space="preserve"> am Bauteil</w:t>
            </w:r>
          </w:p>
        </w:tc>
        <w:tc>
          <w:tcPr>
            <w:tcW w:w="0" w:type="auto"/>
          </w:tcPr>
          <w:p>
            <w:pPr>
              <w:spacing w:after="0" w:line="240" w:lineRule="auto"/>
            </w:pPr>
            <w:r>
              <w:rPr>
                <w:b/>
              </w:rPr>
              <w:t xml:space="preserve">ja</w:t>
            </w:r>
          </w:p>
        </w:tc>
        <w:tc>
          <w:tcPr>
            <w:tcW w:w="0" w:type="auto"/>
          </w:tcPr>
          <w:p>
            <w:pPr>
              <w:spacing w:after="0" w:line="240" w:lineRule="auto"/>
            </w:pPr>
            <w:r>
              <w:t xml:space="preserve">G6b</w:t>
            </w:r>
          </w:p>
        </w:tc>
      </w:tr>
      <w:tr>
        <w:tc>
          <w:tcPr>
            <w:tcW w:w="0" w:type="auto"/>
          </w:tcPr>
          <w:p>
            <w:pPr>
              <w:spacing w:after="0" w:line="240" w:lineRule="auto"/>
            </w:pPr>
            <w:r>
              <w:rPr>
                <w:b/>
              </w:rPr>
              <w:t xml:space="preserve">G6d</w:t>
            </w:r>
          </w:p>
        </w:tc>
        <w:tc>
          <w:tcPr>
            <w:tcW w:w="0" w:type="auto"/>
          </w:tcPr>
          <w:p>
            <w:pPr>
              <w:spacing w:after="0" w:line="240" w:lineRule="auto"/>
            </w:pPr>
            <w:r>
              <w:t xml:space="preserve">—</w:t>
            </w:r>
          </w:p>
        </w:tc>
        <w:tc>
          <w:tcPr>
            <w:tcW w:w="0" w:type="auto"/>
          </w:tcPr>
          <w:p>
            <w:pPr>
              <w:spacing w:after="0" w:line="240" w:lineRule="auto"/>
            </w:pPr>
            <w:r>
              <w:t xml:space="preserve">kein DDL: Zonendaten in der Testdatenbank säen, Einfrierregel </w:t>
            </w:r>
            <w:r>
              <w:rPr>
                <w:b/>
              </w:rPr>
              <w:t xml:space="preserve">„gesäte Zonendaten"</w:t>
            </w:r>
          </w:p>
        </w:tc>
        <w:tc>
          <w:tcPr>
            <w:tcW w:w="0" w:type="auto"/>
          </w:tcPr>
          <w:p>
            <w:pPr>
              <w:spacing w:after="0" w:line="240" w:lineRule="auto"/>
            </w:pPr>
            <w:r>
              <w:rPr>
                <w:b/>
              </w:rPr>
              <w:t xml:space="preserve">nein</w:t>
            </w:r>
            <w:r>
              <w:t xml:space="preserve"> — das Projekt ändert seine Zahlen</w:t>
            </w:r>
          </w:p>
        </w:tc>
        <w:tc>
          <w:tcPr>
            <w:tcW w:w="0" w:type="auto"/>
          </w:tcPr>
          <w:p>
            <w:pPr>
              <w:spacing w:after="0" w:line="240" w:lineRule="auto"/>
            </w:pPr>
            <w:r>
              <w:t xml:space="preserve">G6d</w:t>
            </w:r>
          </w:p>
        </w:tc>
      </w:tr>
    </w:tbl>
    <w:p>
      <w:pPr>
        <w:spacing w:after="120"/>
      </w:pPr>
    </w:p>
    <w:p>
      <w:r>
        <w:rPr>
          <w:b/>
        </w:rPr>
        <w:t xml:space="preserve">Die Papiernamen sind in allen vier Papieren dieselben:</w:t>
      </w:r>
      <w:r>
        <w:t xml:space="preserve"> </w:t>
      </w:r>
      <w:r>
        <w:rPr>
          <w:b/>
        </w:rPr>
        <w:t xml:space="preserve">S-E</w:t>
      </w:r>
      <w:r>
        <w:t xml:space="preserve"> ist der Umbau von </w:t>
      </w:r>
      <w:r>
        <w:rPr>
          <w:rFonts w:ascii="Consolas" w:hAnsi="Consolas" w:cs="Consolas"/>
          <w:noProof/>
          <w:sz w:val="20"/>
          <w:szCs w:val="20"/>
          <w:shd w:val="clear" w:color="auto" w:fill="EFEFEF"/>
        </w:rPr>
        <w:t xml:space="preserve">CopyFromStamm</w:t>
      </w:r>
      <w:r>
        <w:t xml:space="preserve">, </w:t>
      </w:r>
      <w:r>
        <w:rPr>
          <w:b/>
        </w:rPr>
        <w:t xml:space="preserve">S-F</w:t>
      </w:r>
      <w:r>
        <w:t xml:space="preserve"> die Importzuordnung. Der Kopplungsschritt heißt deshalb </w:t>
      </w:r>
      <w:r>
        <w:rPr>
          <w:b/>
        </w:rPr>
        <w:t xml:space="preserve">S-G</w:t>
      </w:r>
      <w:r>
        <w:t xml:space="preserve"> — hieße er S-E, stünde derselbe Name in drei geltenden Papieren für zwei verschiedene Schritte.</w:t>
      </w:r>
    </w:p>
    <w:p>
      <w:r>
        <w:t xml:space="preserve">Die feste Reihenfolge der Handgriffe: erst Schrittkonstante, Methode und Eintrag in die Schrittliste, dann die Zielversion; innerhalb eines Schritts Tabelle samt Index, dann Verweisspalten, dann Saat, dann Saat-Zuordnung. Jeder Eintrag trägt vier Stücke: Nummer, was der Schritt tut, </w:t>
      </w:r>
      <w:r>
        <w:rPr>
          <w:b/>
        </w:rPr>
        <w:t xml:space="preserve">was ohne ihn schiefginge</w:t>
      </w:r>
      <w:r>
        <w:t xml:space="preserve">, die Methode. Nach jeder neuen SQL-Anweisung läuft der SQL-Dialekt-Prüfer, danach das Testdatenbankwerkzeug.</w:t>
      </w:r>
    </w:p>
    <w:p>
      <w:pPr>
        <w:pStyle w:val="Heading2"/>
      </w:pPr>
      <w:r>
        <w:t xml:space="preserve">4.2 Das Zielmodell im Bild</w:t>
      </w:r>
    </w:p>
    <w:p>
      <w:r>
        <w:t xml:space="preserve">Beide Ausschnitte sind die Bilder des Architekturpapiers, Zeichen für Zeichen; wo eine Zeile auf „2.2" verweist, ist die vollständige Spalten- und Tabellenliste in dessen Kapitel 2.2 gemeint.</w:t>
      </w:r>
    </w:p>
    <w:p>
      <w:pPr>
        <w:pStyle w:val="Diagrammbild"/>
      </w:pPr>
      <w:r>
        <w:drawing>
          <wp:inline xmlns:wp="http://schemas.openxmlformats.org/drawingml/2006/wordprocessingDrawing" distT="0" distB="0" distL="0" distR="0">
            <wp:extent cx="5736532" cy="7920000"/>
            <wp:effectExtent l="0" t="0" r="0" b="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5.png"/>
                    <pic:cNvPicPr/>
                  </pic:nvPicPr>
                  <pic:blipFill>
                    <a:blip xmlns:r="http://schemas.openxmlformats.org/officeDocument/2006/relationships" r:embed="R11ecadd698f14d66"/>
                    <a:stretch>
                      <a:fillRect/>
                    </a:stretch>
                  </pic:blipFill>
                  <pic:spPr>
                    <a:xfrm>
                      <a:off x="0" y="0"/>
                      <a:ext cx="5736532" cy="7920000"/>
                    </a:xfrm>
                    <a:prstGeom prst="rect">
                      <a:avLst/>
                    </a:prstGeom>
                  </pic:spPr>
                </pic:pic>
              </a:graphicData>
            </a:graphic>
          </wp:inline>
        </w:drawing>
      </w:r>
    </w:p>
    <w:p>
      <w:pPr>
        <w:pStyle w:val="Bildunterschrift"/>
      </w:pPr>
      <w:r>
        <w:rPr>
          <w:i/>
          <w:iCs/>
        </w:rPr>
        <w:t xml:space="preserve">Bild 5: 4.2 Das Zielmodell im Bild</w:t>
      </w:r>
    </w:p>
    <w:p>
      <w:r>
        <w:t xml:space="preserve">Der zweite Ausschnitt zeigt Zonenkopplung und Importherkunft:</w:t>
      </w:r>
    </w:p>
    <w:p>
      <w:pPr>
        <w:pStyle w:val="Diagrammbild"/>
      </w:pPr>
      <w:r>
        <w:drawing>
          <wp:inline xmlns:wp="http://schemas.openxmlformats.org/drawingml/2006/wordprocessingDrawing" distT="0" distB="0" distL="0" distR="0">
            <wp:extent cx="6120130" cy="5079708"/>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6.png"/>
                    <pic:cNvPicPr/>
                  </pic:nvPicPr>
                  <pic:blipFill>
                    <a:blip xmlns:r="http://schemas.openxmlformats.org/officeDocument/2006/relationships" r:embed="R23aaa0f730ce49df"/>
                    <a:stretch>
                      <a:fillRect/>
                    </a:stretch>
                  </pic:blipFill>
                  <pic:spPr>
                    <a:xfrm>
                      <a:off x="0" y="0"/>
                      <a:ext cx="6120130" cy="5079708"/>
                    </a:xfrm>
                    <a:prstGeom prst="rect">
                      <a:avLst/>
                    </a:prstGeom>
                  </pic:spPr>
                </pic:pic>
              </a:graphicData>
            </a:graphic>
          </wp:inline>
        </w:drawing>
      </w:r>
    </w:p>
    <w:p>
      <w:pPr>
        <w:pStyle w:val="Bildunterschrift"/>
      </w:pPr>
      <w:r>
        <w:rPr>
          <w:i/>
          <w:iCs/>
        </w:rPr>
        <w:t xml:space="preserve">Bild 6: 4.2 Das Zielmodell im Bild</w:t>
      </w:r>
    </w:p>
    <w:p>
      <w:pPr>
        <w:pStyle w:val="Quote"/>
      </w:pPr>
      <w:r>
        <w:rPr>
          <w:b/>
        </w:rPr>
        <w:t xml:space="preserve">Unverändert bleiben</w:t>
      </w:r>
      <w:r>
        <w:t xml:space="preserve"> </w:t>
      </w:r>
      <w:r>
        <w:rPr>
          <w:rFonts w:ascii="Consolas" w:hAnsi="Consolas" w:cs="Consolas"/>
          <w:noProof/>
          <w:sz w:val="20"/>
          <w:szCs w:val="20"/>
          <w:shd w:val="clear" w:color="auto" w:fill="EFEFEF"/>
        </w:rPr>
        <w:t xml:space="preserve">Tab_Projekt</w:t>
      </w:r>
      <w:r>
        <w:t xml:space="preserve">, </w:t>
      </w:r>
      <w:r>
        <w:rPr>
          <w:rFonts w:ascii="Consolas" w:hAnsi="Consolas" w:cs="Consolas"/>
          <w:noProof/>
          <w:sz w:val="20"/>
          <w:szCs w:val="20"/>
          <w:shd w:val="clear" w:color="auto" w:fill="EFEFEF"/>
        </w:rPr>
        <w:t xml:space="preserve">Z_ProjektGebaeude</w:t>
      </w:r>
      <w:r>
        <w:t xml:space="preserve">, </w:t>
      </w:r>
      <w:r>
        <w:rPr>
          <w:rFonts w:ascii="Consolas" w:hAnsi="Consolas" w:cs="Consolas"/>
          <w:noProof/>
          <w:sz w:val="20"/>
          <w:szCs w:val="20"/>
          <w:shd w:val="clear" w:color="auto" w:fill="EFEFEF"/>
        </w:rPr>
        <w:t xml:space="preserve">Tab_Klimaregion</w:t>
      </w:r>
      <w:r>
        <w:t xml:space="preserve">, </w:t>
      </w:r>
      <w:r>
        <w:rPr>
          <w:rFonts w:ascii="Consolas" w:hAnsi="Consolas" w:cs="Consolas"/>
          <w:noProof/>
          <w:sz w:val="20"/>
          <w:szCs w:val="20"/>
          <w:shd w:val="clear" w:color="auto" w:fill="EFEFEF"/>
        </w:rPr>
        <w:t xml:space="preserve">Tab_Klimadaten</w:t>
      </w:r>
      <w:r>
        <w:t xml:space="preserve">, </w:t>
      </w:r>
      <w:r>
        <w:rPr>
          <w:rFonts w:ascii="Consolas" w:hAnsi="Consolas" w:cs="Consolas"/>
          <w:noProof/>
          <w:sz w:val="20"/>
          <w:szCs w:val="20"/>
          <w:shd w:val="clear" w:color="auto" w:fill="EFEFEF"/>
        </w:rPr>
        <w:t xml:space="preserve">Tab_DBTagV</w:t>
      </w:r>
      <w:r>
        <w:t xml:space="preserve"> und die siebzehn Ergebnistabellen. </w:t>
      </w:r>
      <w:r>
        <w:rPr>
          <w:b/>
        </w:rPr>
        <w:t xml:space="preserve">Keine eigene Kopplungstabelle:</w:t>
      </w:r>
      <w:r>
        <w:t xml:space="preserve"> die Trennfläche ist </w:t>
      </w:r>
      <w:r>
        <w:rPr>
          <w:b/>
        </w:rPr>
        <w:t xml:space="preserve">ein</w:t>
      </w:r>
      <w:r>
        <w:t xml:space="preserve"> Bauteil mit der Randbedingung </w:t>
      </w:r>
      <w:r>
        <w:rPr>
          <w:rFonts w:ascii="Consolas" w:hAnsi="Consolas" w:cs="Consolas"/>
          <w:noProof/>
          <w:sz w:val="20"/>
          <w:szCs w:val="20"/>
          <w:shd w:val="clear" w:color="auto" w:fill="EFEFEF"/>
        </w:rPr>
        <w:t xml:space="preserve">ZONE</w:t>
      </w:r>
      <w:r>
        <w:t xml:space="preserve"> und einer Nachbarzone; eine zweite Tabelle wäre eine zweite Wahrheit über dieselbe Fläche.</w:t>
      </w:r>
    </w:p>
    <w:p>
      <w:pPr>
        <w:pStyle w:val="Heading2"/>
      </w:pPr>
      <w:r>
        <w:t xml:space="preserve">4.3 Regeln des Datenmodells</w:t>
      </w:r>
    </w:p>
    <w:p>
      <w:pPr>
        <w:pStyle w:val="ListBullet"/>
        <w:numPr>
          <w:ilvl w:val="0"/>
          <w:numId w:val="3"/>
        </w:numPr>
      </w:pPr>
      <w:r>
        <w:rPr>
          <w:b/>
        </w:rPr>
        <w:t xml:space="preserve">NULL = Vorgabe.</w:t>
      </w:r>
      <w:r>
        <w:t xml:space="preserve"> Auf den neuen Fachwerten steht kein </w:t>
      </w:r>
      <w:r>
        <w:rPr>
          <w:rFonts w:ascii="Consolas" w:hAnsi="Consolas" w:cs="Consolas"/>
          <w:noProof/>
          <w:sz w:val="20"/>
          <w:szCs w:val="20"/>
          <w:shd w:val="clear" w:color="auto" w:fill="EFEFEF"/>
        </w:rPr>
        <w:t xml:space="preserve">DEFAULT</w:t>
      </w:r>
      <w:r>
        <w:t xml:space="preserve">; die Vorgabe setzt der Eingangsbauer. Das ist erst dann wahr, wenn der Katalogkopierweg </w:t>
      </w:r>
      <w:r>
        <w:rPr>
          <w:b/>
        </w:rPr>
        <w:t xml:space="preserve">NULL-erhaltend</w:t>
      </w:r>
      <w:r>
        <w:t xml:space="preserve"> umgebaut ist — heute bildet er jedes </w:t>
      </w:r>
      <w:r>
        <w:rPr>
          <w:rFonts w:ascii="Consolas" w:hAnsi="Consolas" w:cs="Consolas"/>
          <w:noProof/>
          <w:sz w:val="20"/>
          <w:szCs w:val="20"/>
          <w:shd w:val="clear" w:color="auto" w:fill="EFEFEF"/>
        </w:rPr>
        <w:t xml:space="preserve">DBNull</w:t>
      </w:r>
      <w:r>
        <w:t xml:space="preserve"> auf 0,0 bzw. den leeren Text ab. Die sichtbare Probe darauf: jedes leere Parameterfeld zeigt die Vorgabe als Platzhalter oder als Herleitungszeile. </w:t>
      </w:r>
      <w:r>
        <w:rPr>
          <w:b/>
        </w:rPr>
        <w:t xml:space="preserve">Steht dort eine 0, wo eine Vorgabe stehen müsste, ist der Kopierweg noch der alte.</w:t>
      </w:r>
    </w:p>
    <w:p>
      <w:pPr>
        <w:pStyle w:val="ListBullet"/>
        <w:numPr>
          <w:ilvl w:val="0"/>
          <w:numId w:val="3"/>
        </w:numPr>
      </w:pPr>
      <w:r>
        <w:rPr>
          <w:b/>
        </w:rPr>
        <w:t xml:space="preserve">STRICT und Boolean als 0/1.</w:t>
      </w:r>
      <w:r>
        <w:t xml:space="preserve"> Fachtabellen sind </w:t>
      </w:r>
      <w:r>
        <w:rPr>
          <w:rFonts w:ascii="Consolas" w:hAnsi="Consolas" w:cs="Consolas"/>
          <w:noProof/>
          <w:sz w:val="20"/>
          <w:szCs w:val="20"/>
          <w:shd w:val="clear" w:color="auto" w:fill="EFEFEF"/>
        </w:rPr>
        <w:t xml:space="preserve">STRICT</w:t>
      </w:r>
      <w:r>
        <w:t xml:space="preserve">; Schalter tragen </w:t>
      </w:r>
      <w:r>
        <w:rPr>
          <w:rFonts w:ascii="Consolas" w:hAnsi="Consolas" w:cs="Consolas"/>
          <w:noProof/>
          <w:sz w:val="20"/>
          <w:szCs w:val="20"/>
          <w:shd w:val="clear" w:color="auto" w:fill="EFEFEF"/>
        </w:rPr>
        <w:t xml:space="preserve">CHECK (spalte IN (0,1))</w:t>
      </w:r>
      <w:r>
        <w:t xml:space="preserve">, Wertelisten ein </w:t>
      </w:r>
      <w:r>
        <w:rPr>
          <w:rFonts w:ascii="Consolas" w:hAnsi="Consolas" w:cs="Consolas"/>
          <w:noProof/>
          <w:sz w:val="20"/>
          <w:szCs w:val="20"/>
          <w:shd w:val="clear" w:color="auto" w:fill="EFEFEF"/>
        </w:rPr>
        <w:t xml:space="preserve">CHECK</w:t>
      </w:r>
      <w:r>
        <w:t xml:space="preserve"> mit sprachneutralen Großbuchstabenwerten, deren Persistenzwerte zentral geführt werden.</w:t>
      </w:r>
    </w:p>
    <w:p>
      <w:pPr>
        <w:pStyle w:val="ListBullet"/>
        <w:numPr>
          <w:ilvl w:val="0"/>
          <w:numId w:val="3"/>
        </w:numPr>
      </w:pPr>
      <w:r>
        <w:rPr>
          <w:b/>
        </w:rPr>
        <w:t xml:space="preserve">Kein zweites Datenmodell für den Bestandsweg</w:t>
      </w:r>
      <w:r>
        <w:t xml:space="preserve"> (E20). Es gibt </w:t>
      </w:r>
      <w:r>
        <w:rPr>
          <w:b/>
        </w:rPr>
        <w:t xml:space="preserve">keine zweite Gebäudetabelle</w:t>
      </w:r>
      <w:r>
        <w:t xml:space="preserve">: Der Gebäudespalten-Schritt M3 bringt die VDI-Spalten und die Umbenennung nach E19; Spalten, die </w:t>
      </w:r>
      <w:r>
        <w:rPr>
          <w:b/>
        </w:rPr>
        <w:t xml:space="preserve">nur der Altweg</w:t>
      </w:r>
      <w:r>
        <w:t xml:space="preserve"> liest, werden dort </w:t>
      </w:r>
      <w:r>
        <w:rPr>
          <w:b/>
        </w:rPr>
        <w:t xml:space="preserve">nicht angefasst</w:t>
      </w:r>
      <w:r>
        <w:t xml:space="preserve"> und bleiben </w:t>
      </w:r>
      <w:r>
        <w:rPr>
          <w:b/>
        </w:rPr>
        <w:t xml:space="preserve">dauerhaft</w:t>
      </w:r>
      <w:r>
        <w:t xml:space="preserve"> (E23) — einen Schemaschritt mit </w:t>
      </w:r>
      <w:r>
        <w:rPr>
          <w:rFonts w:ascii="Consolas" w:hAnsi="Consolas" w:cs="Consolas"/>
          <w:noProof/>
          <w:sz w:val="20"/>
          <w:szCs w:val="20"/>
          <w:shd w:val="clear" w:color="auto" w:fill="EFEFEF"/>
        </w:rPr>
        <w:t xml:space="preserve">DROP COLUMN</w:t>
      </w:r>
      <w:r>
        <w:t xml:space="preserve"> gibt es dafür nicht, und die leserlosen Spalten </w:t>
      </w:r>
      <w:r>
        <w:rPr>
          <w:rFonts w:ascii="Consolas" w:hAnsi="Consolas" w:cs="Consolas"/>
          <w:noProof/>
          <w:sz w:val="20"/>
          <w:szCs w:val="20"/>
          <w:shd w:val="clear" w:color="auto" w:fill="EFEFEF"/>
        </w:rPr>
        <w:t xml:space="preserve">WW_Bedarf</w:t>
      </w:r>
      <w:r>
        <w:t xml:space="preserve"> und </w:t>
      </w:r>
      <w:r>
        <w:rPr>
          <w:rFonts w:ascii="Consolas" w:hAnsi="Consolas" w:cs="Consolas"/>
          <w:noProof/>
          <w:sz w:val="20"/>
          <w:szCs w:val="20"/>
          <w:shd w:val="clear" w:color="auto" w:fill="EFEFEF"/>
        </w:rPr>
        <w:t xml:space="preserve">Waermebedarf</w:t>
      </w:r>
      <w:r>
        <w:t xml:space="preserve"> sind ein gewöhnlicher Aufräumpunkt ohne eigene Stufe. Welche Spalte zu welcher Klasse gehört — „nur Altweg", „beide", „nur VDI" —, weist ein eigener Befund je Feld aus; er ist Vorbedingung der Verschiebung.</w:t>
      </w:r>
    </w:p>
    <w:p>
      <w:pPr>
        <w:pStyle w:val="ListBullet"/>
        <w:numPr>
          <w:ilvl w:val="0"/>
          <w:numId w:val="3"/>
        </w:numPr>
      </w:pPr>
      <w:r>
        <w:rPr>
          <w:b/>
        </w:rPr>
        <w:t xml:space="preserve">Neue Beziehungen über IDs</w:t>
      </w:r>
      <w:r>
        <w:t xml:space="preserve">, nie über Textfelder. Der einzige geerbte Textverweis ist die Kanalzuordnung; er bleibt benannter Bestand, kein Umbauauftrag.</w:t>
      </w:r>
    </w:p>
    <w:p>
      <w:pPr>
        <w:pStyle w:val="ListBullet"/>
        <w:numPr>
          <w:ilvl w:val="0"/>
          <w:numId w:val="3"/>
        </w:numPr>
      </w:pPr>
      <w:r>
        <w:rPr>
          <w:b/>
        </w:rPr>
        <w:t xml:space="preserve">Der Sichtneubau ist der Engpass.</w:t>
      </w:r>
      <w:r>
        <w:t xml:space="preserve"> SQLite kennt kein </w:t>
      </w:r>
      <w:r>
        <w:rPr>
          <w:rFonts w:ascii="Consolas" w:hAnsi="Consolas" w:cs="Consolas"/>
          <w:noProof/>
          <w:sz w:val="20"/>
          <w:szCs w:val="20"/>
          <w:shd w:val="clear" w:color="auto" w:fill="EFEFEF"/>
        </w:rPr>
        <w:t xml:space="preserve">ALTER VIEW</w:t>
      </w:r>
      <w:r>
        <w:t xml:space="preserve">; die Sicht wird verworfen und neu gebaut, und ab diesem Schritt ist die Schema-Klasse die </w:t>
      </w:r>
      <w:r>
        <w:rPr>
          <w:b/>
        </w:rPr>
        <w:t xml:space="preserve">einzige</w:t>
      </w:r>
      <w:r>
        <w:t xml:space="preserve"> Quelle ihrer Definition. Die Probe </w:t>
      </w:r>
      <w:r>
        <w:rPr>
          <w:b/>
        </w:rPr>
        <w:t xml:space="preserve">ist</w:t>
      </w:r>
      <w:r>
        <w:t xml:space="preserve"> der Sichtneubau: der Leser liefert alle 58 Bestandsfelder unverändert, und die acht nicht-ASCII-Bezeichner werden buchstabengetreu geschrieben.</w:t>
      </w:r>
    </w:p>
    <w:p>
      <w:pPr>
        <w:pStyle w:val="ListBullet"/>
        <w:numPr>
          <w:ilvl w:val="0"/>
          <w:numId w:val="3"/>
        </w:numPr>
      </w:pPr>
      <w:r>
        <w:rPr>
          <w:b/>
        </w:rPr>
        <w:t xml:space="preserve">Herkunft auf drei Ebenen.</w:t>
      </w:r>
      <w:r>
        <w:t xml:space="preserve"> Je </w:t>
      </w:r>
      <w:r>
        <w:rPr>
          <w:b/>
        </w:rPr>
        <w:t xml:space="preserve">Feld</w:t>
      </w:r>
      <w:r>
        <w:t xml:space="preserve"> lebt sie nur im Importlauf und wird bewusst </w:t>
      </w:r>
      <w:r>
        <w:rPr>
          <w:b/>
        </w:rPr>
        <w:t xml:space="preserve">nicht</w:t>
      </w:r>
      <w:r>
        <w:t xml:space="preserve"> persistiert; je </w:t>
      </w:r>
      <w:r>
        <w:rPr>
          <w:b/>
        </w:rPr>
        <w:t xml:space="preserve">Zeile</w:t>
      </w:r>
      <w:r>
        <w:t xml:space="preserve"> steht sie dauerhaft an Zone, Bauteil, Aufbau und Baustoff; je </w:t>
      </w:r>
      <w:r>
        <w:rPr>
          <w:b/>
        </w:rPr>
        <w:t xml:space="preserve">Paarung</w:t>
      </w:r>
      <w:r>
        <w:t xml:space="preserve"> steht sie in der Importzuordnung. </w:t>
      </w:r>
      <w:r>
        <w:rPr>
          <w:rFonts w:ascii="Consolas" w:hAnsi="Consolas" w:cs="Consolas"/>
          <w:noProof/>
          <w:sz w:val="20"/>
          <w:szCs w:val="20"/>
          <w:shd w:val="clear" w:color="auto" w:fill="EFEFEF"/>
        </w:rPr>
        <w:t xml:space="preserve">Tab_Gebaeude</w:t>
      </w:r>
      <w:r>
        <w:t xml:space="preserve"> bekommt sie </w:t>
      </w:r>
      <w:r>
        <w:rPr>
          <w:b/>
        </w:rPr>
        <w:t xml:space="preserve">nicht</w:t>
      </w:r>
      <w:r>
        <w:t xml:space="preserve"> — es hat einen Katalogzwilling, an dem eine Importherkunft nichts bedeutet, und jede weitere Gebäudespalte wäre ein weiterer Sichtneubau.</w:t>
      </w:r>
    </w:p>
    <w:p>
      <w:pPr>
        <w:pStyle w:val="ListBullet"/>
        <w:numPr>
          <w:ilvl w:val="0"/>
          <w:numId w:val="3"/>
        </w:numPr>
      </w:pPr>
      <w:r>
        <w:rPr>
          <w:b/>
        </w:rPr>
        <w:t xml:space="preserve">Die Kaskadenrettung steht dort, wo das Löschen steht.</w:t>
      </w:r>
      <w:r>
        <w:t xml:space="preserve"> Der Gebäude-Schreibweg des Bestands löscht möglicherweise und legt neu an; dann räumt jeder gewöhnliche Speichervorgang die Kinder ab. Der Weg ist </w:t>
      </w:r>
      <w:r>
        <w:rPr>
          <w:b/>
        </w:rPr>
        <w:t xml:space="preserve">vor G3 zu messen</w:t>
      </w:r>
      <w:r>
        <w:t xml:space="preserve">, und die Rettung liegt im Schreibweg des Gebäudes, nicht im Import- oder Zonencontroller, der den Löschweg nicht kennt. Der </w:t>
      </w:r>
      <w:r>
        <w:rPr>
          <w:b/>
        </w:rPr>
        <w:t xml:space="preserve">Zonenschreibweg</w:t>
      </w:r>
      <w:r>
        <w:t xml:space="preserve"> selbst arbeitet dagegen nach </w:t>
      </w:r>
      <w:r>
        <w:rPr>
          <w:b/>
        </w:rPr>
        <w:t xml:space="preserve">A6 mit „Ändern statt Löschen"</w:t>
      </w:r>
      <w:r>
        <w:t xml:space="preserve">: Abgleich über die Ids in der Reihenfolge Entfernen → Ändern → Anlegen, alles in </w:t>
      </w:r>
      <w:r>
        <w:rPr>
          <w:b/>
        </w:rPr>
        <w:t xml:space="preserve">einer</w:t>
      </w:r>
      <w:r>
        <w:t xml:space="preserve"> Transaktion — nur so bleiben die Ids stehen, an denen Importzuordnung und Luftstromtabelle hängen.</w:t>
      </w:r>
    </w:p>
    <w:p>
      <w:pPr>
        <w:pStyle w:val="ListBullet"/>
        <w:numPr>
          <w:ilvl w:val="0"/>
          <w:numId w:val="3"/>
        </w:numPr>
      </w:pPr>
      <w:r>
        <w:rPr>
          <w:b/>
        </w:rPr>
        <w:t xml:space="preserve">Vier Pflegewege je neuer Tabelle:</w:t>
      </w:r>
      <w:r>
        <w:t xml:space="preserve"> Migrationsschritt, Auslieferungsvorlage (Kindkataloge ohne </w:t>
      </w:r>
      <w:r>
        <w:rPr>
          <w:rFonts w:ascii="Consolas" w:hAnsi="Consolas" w:cs="Consolas"/>
          <w:noProof/>
          <w:sz w:val="20"/>
          <w:szCs w:val="20"/>
          <w:shd w:val="clear" w:color="auto" w:fill="EFEFEF"/>
        </w:rPr>
        <w:t xml:space="preserve">ReadOnly</w:t>
      </w:r>
      <w:r>
        <w:t xml:space="preserve"> namentlich führen und auf „nicht leer" prüfen), Reduzierskript der Testdatenbank (Eltern zuerst, acht neue Löschzeilen) und das Projektduplizieren mit dreistufiger Kindkette von Hand.</w:t>
      </w:r>
    </w:p>
    <w:p>
      <w:pPr>
        <w:pStyle w:val="Heading2"/>
      </w:pPr>
      <w:r>
        <w:t xml:space="preserve">4.4 Einfrierplan</w:t>
      </w:r>
    </w:p>
    <w:p>
      <w:r>
        <w:t xml:space="preserve">Drei Schritte berühren die Referenzbasis, und alle drei sind begründet. Alle Tabellen-, Saat- und Sichtschritte dazwischen sind ergebnisneutral — </w:t>
      </w:r>
      <w:r>
        <w:rPr>
          <w:b/>
        </w:rPr>
        <w:t xml:space="preserve">und das ist je Schritt zu belegen, nicht zu behaupten.</w:t>
      </w:r>
    </w:p>
    <w:p>
      <w:pPr>
        <w:pStyle w:val="Diagrammbild"/>
      </w:pPr>
      <w:r>
        <w:drawing>
          <wp:inline xmlns:wp="http://schemas.openxmlformats.org/drawingml/2006/wordprocessingDrawing" distT="0" distB="0" distL="0" distR="0">
            <wp:extent cx="6005687" cy="7920000"/>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7.png"/>
                    <pic:cNvPicPr/>
                  </pic:nvPicPr>
                  <pic:blipFill>
                    <a:blip xmlns:r="http://schemas.openxmlformats.org/officeDocument/2006/relationships" r:embed="R0b6c2569f103495b"/>
                    <a:stretch>
                      <a:fillRect/>
                    </a:stretch>
                  </pic:blipFill>
                  <pic:spPr>
                    <a:xfrm>
                      <a:off x="0" y="0"/>
                      <a:ext cx="6005687" cy="7920000"/>
                    </a:xfrm>
                    <a:prstGeom prst="rect">
                      <a:avLst/>
                    </a:prstGeom>
                  </pic:spPr>
                </pic:pic>
              </a:graphicData>
            </a:graphic>
          </wp:inline>
        </w:drawing>
      </w:r>
    </w:p>
    <w:p>
      <w:pPr>
        <w:pStyle w:val="Bildunterschrift"/>
      </w:pPr>
      <w:r>
        <w:rPr>
          <w:i/>
          <w:iCs/>
        </w:rPr>
        <w:t xml:space="preserve">Bild 7: 4.4 Einfrierplan</w:t>
      </w:r>
    </w:p>
    <w:p>
      <w:r>
        <w:t xml:space="preserve">Das Umsetzungskonzept nennt zwei Einfrierschritte (GB und G1+G2), weil es bei G5 endet; mit dem Mehrzonenmodell kommt </w:t>
      </w:r>
      <w:r>
        <w:rPr>
          <w:b/>
        </w:rPr>
        <w:t xml:space="preserve">G6d</w:t>
      </w:r>
      <w:r>
        <w:t xml:space="preserve"> als dritter hinzu. Ein vierter aus einer Stufe GA entfällt: Der Altweg bleibt (</w:t>
      </w:r>
      <w:r>
        <w:rPr>
          <w:b/>
        </w:rPr>
        <w:t xml:space="preserve">E23</w:t>
      </w:r>
      <w:r>
        <w:t xml:space="preserve">).</w:t>
      </w:r>
    </w:p>
    <w:tbl>
      <w:tblPr>
        <w:tblStyle w:val="TableGrid"/>
        <w:tblW w:w="5000" w:type="pct"/>
        <w:tblLayout w:type="autofit"/>
        <w:tblLook w:val="04A0" w:firstRow="true" w:lastRow="false" w:firstColumn="false" w:lastColumn="false" w:noHBand="false" w:noVBand="true"/>
      </w:tblPr>
      <w:tblGrid>
        <w:gridCol w:w="4819"/>
        <w:gridCol w:w="4819"/>
      </w:tblGrid>
      <w:tr>
        <w:trPr>
          <w:tblHeader/>
        </w:trPr>
        <w:tc>
          <w:tcPr>
            <w:tcW w:w="0" w:type="auto"/>
            <w:shd w:val="clear" w:color="auto" w:fill="D9D9D9"/>
          </w:tcPr>
          <w:p>
            <w:pPr>
              <w:spacing w:after="0" w:line="240" w:lineRule="auto"/>
              <w:rPr>
                <w:b/>
              </w:rPr>
            </w:pPr>
            <w:r>
              <w:rPr>
                <w:b/>
              </w:rPr>
              <w:t xml:space="preserve">Schritt</w:t>
            </w:r>
          </w:p>
        </w:tc>
        <w:tc>
          <w:tcPr>
            <w:tcW w:w="0" w:type="auto"/>
            <w:shd w:val="clear" w:color="auto" w:fill="D9D9D9"/>
          </w:tcPr>
          <w:p>
            <w:pPr>
              <w:spacing w:after="0" w:line="240" w:lineRule="auto"/>
              <w:rPr>
                <w:b/>
              </w:rPr>
            </w:pPr>
            <w:r>
              <w:rPr>
                <w:b/>
              </w:rPr>
              <w:t xml:space="preserve">Nachweis, der zu führen ist</w:t>
            </w:r>
          </w:p>
        </w:tc>
      </w:tr>
      <w:tr>
        <w:tc>
          <w:tcPr>
            <w:tcW w:w="0" w:type="auto"/>
          </w:tcPr>
          <w:p>
            <w:pPr>
              <w:spacing w:after="0" w:line="240" w:lineRule="auto"/>
            </w:pPr>
            <w:r>
              <w:rPr>
                <w:b/>
              </w:rPr>
              <w:t xml:space="preserve">GB</w:t>
            </w:r>
          </w:p>
        </w:tc>
        <w:tc>
          <w:tcPr>
            <w:tcW w:w="0" w:type="auto"/>
          </w:tcPr>
          <w:p>
            <w:pPr>
              <w:spacing w:after="0" w:line="240" w:lineRule="auto"/>
            </w:pPr>
            <w:r>
              <w:t xml:space="preserve">Lauf, Vergleich, Begründung, grüner Kern-Lauf; die zwei betroffenen Projekte namentlich mit alter und neuer Zahl. Diese Basis ist die </w:t>
            </w:r>
            <w:r>
              <w:rPr>
                <w:b/>
              </w:rPr>
              <w:t xml:space="preserve">letzte reine Bestandsbasis</w:t>
            </w:r>
          </w:p>
        </w:tc>
      </w:tr>
      <w:tr>
        <w:tc>
          <w:tcPr>
            <w:tcW w:w="0" w:type="auto"/>
          </w:tcPr>
          <w:p>
            <w:pPr>
              <w:spacing w:after="0" w:line="240" w:lineRule="auto"/>
            </w:pPr>
            <w:r>
              <w:rPr>
                <w:b/>
              </w:rPr>
              <w:t xml:space="preserve">M2</w:t>
            </w:r>
          </w:p>
        </w:tc>
        <w:tc>
          <w:tcPr>
            <w:tcW w:w="0" w:type="auto"/>
          </w:tcPr>
          <w:p>
            <w:pPr>
              <w:spacing w:after="0" w:line="240" w:lineRule="auto"/>
            </w:pPr>
            <w:r>
              <w:t xml:space="preserve">byte-gleich gegen die GB-Basis; eigener Merge, weil jede der 15 Stellen in die solaren Gewinne mündet</w:t>
            </w:r>
          </w:p>
        </w:tc>
      </w:tr>
      <w:tr>
        <w:tc>
          <w:tcPr>
            <w:tcW w:w="0" w:type="auto"/>
          </w:tcPr>
          <w:p>
            <w:pPr>
              <w:spacing w:after="0" w:line="240" w:lineRule="auto"/>
            </w:pPr>
            <w:r>
              <w:rPr>
                <w:b/>
              </w:rPr>
              <w:t xml:space="preserve">M3</w:t>
            </w:r>
          </w:p>
        </w:tc>
        <w:tc>
          <w:tcPr>
            <w:tcW w:w="0" w:type="auto"/>
          </w:tcPr>
          <w:p>
            <w:pPr>
              <w:spacing w:after="0" w:line="240" w:lineRule="auto"/>
            </w:pPr>
            <w:r>
              <w:t xml:space="preserve">byte-gleich; die Probe </w:t>
            </w:r>
            <w:r>
              <w:rPr>
                <w:b/>
              </w:rPr>
              <w:t xml:space="preserve">ist</w:t>
            </w:r>
            <w:r>
              <w:t xml:space="preserve"> der Sichtneubau; SQL-Dialekt-Prüfer grün</w:t>
            </w:r>
          </w:p>
        </w:tc>
      </w:tr>
      <w:tr>
        <w:tc>
          <w:tcPr>
            <w:tcW w:w="0" w:type="auto"/>
          </w:tcPr>
          <w:p>
            <w:pPr>
              <w:spacing w:after="0" w:line="240" w:lineRule="auto"/>
            </w:pPr>
            <w:r>
              <w:rPr>
                <w:b/>
              </w:rPr>
              <w:t xml:space="preserve">M4</w:t>
            </w:r>
          </w:p>
        </w:tc>
        <w:tc>
          <w:tcPr>
            <w:tcW w:w="0" w:type="auto"/>
          </w:tcPr>
          <w:p>
            <w:pPr>
              <w:spacing w:after="0" w:line="240" w:lineRule="auto"/>
            </w:pPr>
            <w:r>
              <w:t xml:space="preserve">byte-gleich; die Importprobe gegen die eingefrorene PVGIS-Antwort liefert dieselben Strahlungsreihen; </w:t>
            </w:r>
            <w:r>
              <w:rPr>
                <w:b/>
              </w:rPr>
              <w:t xml:space="preserve">Einfrierregel „gesäte Klimareihen" eingetragen</w:t>
            </w:r>
          </w:p>
        </w:tc>
      </w:tr>
      <w:tr>
        <w:tc>
          <w:tcPr>
            <w:tcW w:w="0" w:type="auto"/>
          </w:tcPr>
          <w:p>
            <w:pPr>
              <w:spacing w:after="0" w:line="240" w:lineRule="auto"/>
            </w:pPr>
            <w:r>
              <w:rPr>
                <w:b/>
              </w:rPr>
              <w:t xml:space="preserve">Verschiebung des Altwegs</w:t>
            </w:r>
            <w:r>
              <w:t xml:space="preserve"> (erster Schritt von G1)</w:t>
            </w:r>
          </w:p>
        </w:tc>
        <w:tc>
          <w:tcPr>
            <w:tcW w:w="0" w:type="auto"/>
          </w:tcPr>
          <w:p>
            <w:pPr>
              <w:spacing w:after="0" w:line="240" w:lineRule="auto"/>
            </w:pPr>
            <w:r>
              <w:rPr>
                <w:b/>
              </w:rPr>
              <w:t xml:space="preserve">byte-gleich</w:t>
            </w:r>
            <w:r>
              <w:t xml:space="preserve">, geführt: derselbe Quelltext in </w:t>
            </w:r>
            <w:r>
              <w:rPr>
                <w:rFonts w:ascii="Consolas" w:hAnsi="Consolas" w:cs="Consolas"/>
                <w:noProof/>
                <w:sz w:val="20"/>
                <w:szCs w:val="20"/>
                <w:shd w:val="clear" w:color="auto" w:fill="EFEFEF"/>
              </w:rPr>
              <w:t xml:space="preserve">Altweg/</w:t>
            </w:r>
            <w:r>
              <w:t xml:space="preserve">, Fassade und modellfreier Vorbereitungsschritt darum — der Nachweis läuft </w:t>
            </w:r>
            <w:r>
              <w:rPr>
                <w:b/>
              </w:rPr>
              <w:t xml:space="preserve">vor</w:t>
            </w:r>
            <w:r>
              <w:t xml:space="preserve"> der Anbindung des VDI-Wegs</w:t>
            </w:r>
          </w:p>
        </w:tc>
      </w:tr>
      <w:tr>
        <w:tc>
          <w:tcPr>
            <w:tcW w:w="0" w:type="auto"/>
          </w:tcPr>
          <w:p>
            <w:pPr>
              <w:spacing w:after="0" w:line="240" w:lineRule="auto"/>
            </w:pPr>
            <w:r>
              <w:rPr>
                <w:b/>
              </w:rPr>
              <w:t xml:space="preserve">G1 + G2</w:t>
            </w:r>
          </w:p>
        </w:tc>
        <w:tc>
          <w:tcPr>
            <w:tcW w:w="0" w:type="auto"/>
          </w:tcPr>
          <w:p>
            <w:pPr>
              <w:spacing w:after="0" w:line="240" w:lineRule="auto"/>
            </w:pPr>
            <w:r>
              <w:t xml:space="preserve">alle dreizehn Projekte ändern sich, Basis vollständig neu; dazu der </w:t>
            </w:r>
            <w:r>
              <w:rPr>
                <w:b/>
              </w:rPr>
              <w:t xml:space="preserve">Rückweg-Test</w:t>
            </w:r>
            <w:r>
              <w:t xml:space="preserve"> auf einer gitignorierten Arbeitskopie, die alle Gebäude auf den Altweg setzt; Diagrammproben grün; Sichtabnahme Windows</w:t>
            </w:r>
          </w:p>
        </w:tc>
      </w:tr>
      <w:tr>
        <w:tc>
          <w:tcPr>
            <w:tcW w:w="0" w:type="auto"/>
          </w:tcPr>
          <w:p>
            <w:pPr>
              <w:spacing w:after="0" w:line="240" w:lineRule="auto"/>
            </w:pPr>
            <w:r>
              <w:rPr>
                <w:b/>
              </w:rPr>
              <w:t xml:space="preserve">S-A bis S-G</w:t>
            </w:r>
          </w:p>
        </w:tc>
        <w:tc>
          <w:tcPr>
            <w:tcW w:w="0" w:type="auto"/>
          </w:tcPr>
          <w:p>
            <w:pPr>
              <w:spacing w:after="0" w:line="240" w:lineRule="auto"/>
            </w:pPr>
            <w:r>
              <w:t xml:space="preserve">je Schritt Zeilenzahl, Dateigröße, Tabellenzahl, Projektzahl und der Satz, dass der Referenzlauf byte-gleich ist — </w:t>
            </w:r>
            <w:r>
              <w:rPr>
                <w:b/>
              </w:rPr>
              <w:t xml:space="preserve">weil kein Leser die neuen Tabellen liest</w:t>
            </w:r>
          </w:p>
        </w:tc>
      </w:tr>
      <w:tr>
        <w:tc>
          <w:tcPr>
            <w:tcW w:w="0" w:type="auto"/>
          </w:tcPr>
          <w:p>
            <w:pPr>
              <w:spacing w:after="0" w:line="240" w:lineRule="auto"/>
            </w:pPr>
            <w:r>
              <w:rPr>
                <w:b/>
              </w:rPr>
              <w:t xml:space="preserve">G6d</w:t>
            </w:r>
          </w:p>
        </w:tc>
        <w:tc>
          <w:tcPr>
            <w:tcW w:w="0" w:type="auto"/>
          </w:tcPr>
          <w:p>
            <w:pPr>
              <w:spacing w:after="0" w:line="240" w:lineRule="auto"/>
            </w:pPr>
            <w:r>
              <w:t xml:space="preserve">grüner Kern-Lauf, neue Basis begründet; </w:t>
            </w:r>
            <w:r>
              <w:rPr>
                <w:b/>
              </w:rPr>
              <w:t xml:space="preserve">Einfrierregel „gesäte Zonendaten" eingetragen</w:t>
            </w:r>
          </w:p>
        </w:tc>
      </w:tr>
    </w:tbl>
    <w:p>
      <w:pPr>
        <w:spacing w:after="120"/>
      </w:pPr>
    </w:p>
    <w:p>
      <w:r>
        <w:rPr>
          <w:b/>
        </w:rPr>
        <w:t xml:space="preserve">Die drei neuen Einfrierregeln heißen nach ihrem Gegenstand, nicht nach einer Ordnungszahl</w:t>
      </w:r>
      <w:r>
        <w:t xml:space="preserve"> — M4 läuft lange vor G6d, und wer durchzählte, müsste die Zahlen später umhängen. Einzutragen sind sie an </w:t>
      </w:r>
      <w:r>
        <w:rPr>
          <w:b/>
        </w:rPr>
        <w:t xml:space="preserve">beiden</w:t>
      </w:r>
      <w:r>
        <w:t xml:space="preserve"> Orten, in </w:t>
      </w:r>
      <w:r>
        <w:rPr>
          <w:rFonts w:ascii="Consolas" w:hAnsi="Consolas" w:cs="Consolas"/>
          <w:noProof/>
          <w:sz w:val="20"/>
          <w:szCs w:val="20"/>
          <w:shd w:val="clear" w:color="auto" w:fill="EFEFEF"/>
        </w:rPr>
        <w:t xml:space="preserve">Referenzlaeufe/LIESMICH.md</w:t>
      </w:r>
      <w:r>
        <w:t xml:space="preserve"> und im Abschnitt „Regressionsnetz" der </w:t>
      </w:r>
      <w:r>
        <w:rPr>
          <w:rFonts w:ascii="Consolas" w:hAnsi="Consolas" w:cs="Consolas"/>
          <w:noProof/>
          <w:sz w:val="20"/>
          <w:szCs w:val="20"/>
          <w:shd w:val="clear" w:color="auto" w:fill="EFEFEF"/>
        </w:rPr>
        <w:t xml:space="preserve">CLAUDE.md</w:t>
      </w:r>
      <w:r>
        <w:t xml:space="preserve">: </w:t>
      </w:r>
      <w:r>
        <w:rPr>
          <w:b/>
        </w:rPr>
        <w:t xml:space="preserve">„gesäte Gebäudedaten"</w:t>
      </w:r>
      <w:r>
        <w:t xml:space="preserve"> (mit GB) über Bauweise, U-Werte, Flächen, Sollwerte, Luftwechselrate und Fensterdurchlassgrad sowie ab G1 die fünfzehn neuen Spalten; </w:t>
      </w:r>
      <w:r>
        <w:rPr>
          <w:b/>
        </w:rPr>
        <w:t xml:space="preserve">„gesäte Klimareihen"</w:t>
      </w:r>
      <w:r>
        <w:t xml:space="preserve"> (mit M4, eine Empfehlung des Architekturentwurfs) über Gegenstrahlung, Windgeschwindigkeit und Luftfeuchte der Referenzregionen — ohne sie verschöbe ein späterer PVGIS-Neuimport die Basis still, sobald der Klimaweg die Spalten liest; und </w:t>
      </w:r>
      <w:r>
        <w:rPr>
          <w:b/>
        </w:rPr>
        <w:t xml:space="preserve">„gesäte Zonendaten"</w:t>
      </w:r>
      <w:r>
        <w:t xml:space="preserve"> (mit G6d) über Zonen-, Bauteil-, Schicht- und Luftstromzeilen des umgestellten Referenzprojekts.</w:t>
      </w:r>
    </w:p>
    <w:p>
      <w:r>
        <w:rPr>
          <w:b/>
        </w:rPr>
        <w:t xml:space="preserve">Einzelheiten:</w:t>
      </w:r>
      <w:r>
        <w:t xml:space="preserve"> </w:t>
      </w:r>
      <w:r>
        <w:rPr>
          <w:rFonts w:ascii="Consolas" w:hAnsi="Consolas" w:cs="Consolas"/>
          <w:noProof/>
          <w:sz w:val="20"/>
          <w:szCs w:val="20"/>
          <w:shd w:val="clear" w:color="auto" w:fill="EFEFEF"/>
        </w:rPr>
        <w:t xml:space="preserve">Dokumentation/aktuell/Softwarearchitektur_Gebaeudesimulation_EPOS-Plan.md</w:t>
      </w:r>
      <w:r>
        <w:t xml:space="preserve"> (Kapitel 2), </w:t>
      </w:r>
      <w:r>
        <w:rPr>
          <w:rFonts w:ascii="Consolas" w:hAnsi="Consolas" w:cs="Consolas"/>
          <w:noProof/>
          <w:sz w:val="20"/>
          <w:szCs w:val="20"/>
          <w:shd w:val="clear" w:color="auto" w:fill="EFEFEF"/>
        </w:rPr>
        <w:t xml:space="preserve">Dokumentation/aktuell/Konzept_Mehrzonenmodell_IFC_EPOS-Plan.md</w:t>
      </w:r>
      <w:r>
        <w:t xml:space="preserve"> (Kapitel 4) und </w:t>
      </w:r>
      <w:r>
        <w:rPr>
          <w:rFonts w:ascii="Consolas" w:hAnsi="Consolas" w:cs="Consolas"/>
          <w:noProof/>
          <w:sz w:val="20"/>
          <w:szCs w:val="20"/>
          <w:shd w:val="clear" w:color="auto" w:fill="EFEFEF"/>
        </w:rPr>
        <w:t xml:space="preserve">Dokumentation/aktuell/Gebaeudesimulation/2026-09-15_Befund_V_Datenmodell_Architektur.md</w:t>
      </w:r>
      <w:r>
        <w:t xml:space="preserve">.</w:t>
      </w:r>
    </w:p>
    <w:p>
      <w:pPr>
        <w:pStyle w:val="Trennlinie"/>
      </w:pPr>
    </w:p>
    <w:p>
      <w:pPr>
        <w:pStyle w:val="Heading1"/>
      </w:pPr>
      <w:r>
        <w:t xml:space="preserve">5 Dialogführung</w:t>
      </w:r>
    </w:p>
    <w:p>
      <w:pPr>
        <w:pStyle w:val="Heading2"/>
      </w:pPr>
      <w:r>
        <w:t xml:space="preserve">5.1 Navigation und Maskenschlüssel</w:t>
      </w:r>
    </w:p>
    <w:p>
      <w:r>
        <w:t xml:space="preserve">Zum Gebäude führen genau zwei Klickwege, und beide bleiben: die Kachel „Gebäude" im Startseiten-Reiter </w:t>
      </w:r>
      <w:r>
        <w:rPr>
          <w:i/>
        </w:rPr>
        <w:t xml:space="preserve">Wärmebedarf</w:t>
      </w:r>
      <w:r>
        <w:t xml:space="preserve"> und </w:t>
      </w:r>
      <w:r>
        <w:rPr>
          <w:i/>
        </w:rPr>
        <w:t xml:space="preserve">Administration → Gebäude → Bearbeiten</w:t>
      </w:r>
      <w:r>
        <w:t xml:space="preserve">. Beide öffnen </w:t>
      </w:r>
      <w:r>
        <w:rPr>
          <w:b/>
        </w:rPr>
        <w:t xml:space="preserve">dieselbe</w:t>
      </w:r>
      <w:r>
        <w:t xml:space="preserve"> Komponente, der zweite in der Betriebsart Verwaltung. </w:t>
      </w:r>
      <w:r>
        <w:rPr>
          <w:b/>
        </w:rPr>
        <w:t xml:space="preserve">Ein eigener Einstieg „Gebäudemodell rechnen" entsteht nicht</w:t>
      </w:r>
      <w:r>
        <w:t xml:space="preserve"> — das Kachelregister ist gedeckelt, und der Weg gehört als Knopf </w:t>
      </w:r>
      <w:r>
        <w:rPr>
          <w:b/>
        </w:rPr>
        <w:t xml:space="preserve">in</w:t>
      </w:r>
      <w:r>
        <w:t xml:space="preserve"> den Gebäudedialog.</w:t>
      </w:r>
    </w:p>
    <w:p>
      <w:r>
        <w:t xml:space="preserve">Je neuem Maskenschlüssel sind </w:t>
      </w:r>
      <w:r>
        <w:rPr>
          <w:b/>
        </w:rPr>
        <w:t xml:space="preserve">vier</w:t>
      </w:r>
      <w:r>
        <w:t xml:space="preserve"> Stellen zu pflegen: die Konstante (sprachneutraler ASCII-Schlüssel in Großschreibung), der Fall in der Anwendungswurzel oder in der Plattformhülle, die Zeile in der Menuetabelle — </w:t>
      </w:r>
      <w:r>
        <w:rPr>
          <w:b/>
        </w:rPr>
        <w:t xml:space="preserve">das Menü ist Daten, kein Code</w:t>
      </w:r>
      <w:r>
        <w:t xml:space="preserve">, und ein Untermenü mit nur einem Punkt ist verboten —, und </w:t>
      </w:r>
      <w:r>
        <w:rPr>
          <w:b/>
        </w:rPr>
        <w:t xml:space="preserve">eine Zeile je Maske</w:t>
      </w:r>
      <w:r>
        <w:t xml:space="preserve"> in der iOS-Navigationsübersetzung.</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Maske</w:t>
            </w:r>
          </w:p>
        </w:tc>
        <w:tc>
          <w:tcPr>
            <w:tcW w:w="0" w:type="auto"/>
            <w:shd w:val="clear" w:color="auto" w:fill="D9D9D9"/>
          </w:tcPr>
          <w:p>
            <w:pPr>
              <w:spacing w:after="0" w:line="240" w:lineRule="auto"/>
              <w:rPr>
                <w:b/>
              </w:rPr>
            </w:pPr>
            <w:r>
              <w:rPr>
                <w:b/>
              </w:rPr>
              <w:t xml:space="preserve">Schlüssel</w:t>
            </w:r>
          </w:p>
        </w:tc>
        <w:tc>
          <w:tcPr>
            <w:tcW w:w="0" w:type="auto"/>
            <w:shd w:val="clear" w:color="auto" w:fill="D9D9D9"/>
          </w:tcPr>
          <w:p>
            <w:pPr>
              <w:spacing w:after="0" w:line="240" w:lineRule="auto"/>
              <w:rPr>
                <w:b/>
              </w:rPr>
            </w:pPr>
            <w:r>
              <w:rPr>
                <w:b/>
              </w:rPr>
              <w:t xml:space="preserve">Menüzeile</w:t>
            </w:r>
          </w:p>
        </w:tc>
        <w:tc>
          <w:tcPr>
            <w:tcW w:w="0" w:type="auto"/>
            <w:shd w:val="clear" w:color="auto" w:fill="D9D9D9"/>
          </w:tcPr>
          <w:p>
            <w:pPr>
              <w:spacing w:after="0" w:line="240" w:lineRule="auto"/>
              <w:rPr>
                <w:b/>
              </w:rPr>
            </w:pPr>
            <w:r>
              <w:rPr>
                <w:b/>
              </w:rPr>
              <w:t xml:space="preserve">Begründung</w:t>
            </w:r>
          </w:p>
        </w:tc>
      </w:tr>
      <w:tr>
        <w:tc>
          <w:tcPr>
            <w:tcW w:w="0" w:type="auto"/>
          </w:tcPr>
          <w:p>
            <w:pPr>
              <w:spacing w:after="0" w:line="240" w:lineRule="auto"/>
            </w:pPr>
            <w:r>
              <w:t xml:space="preserve">Baustoffkatalog</w:t>
            </w:r>
          </w:p>
        </w:tc>
        <w:tc>
          <w:tcPr>
            <w:tcW w:w="0" w:type="auto"/>
          </w:tcPr>
          <w:p>
            <w:pPr>
              <w:spacing w:after="0" w:line="240" w:lineRule="auto"/>
            </w:pPr>
            <w:r>
              <w:t xml:space="preserve">neu</w:t>
            </w:r>
          </w:p>
        </w:tc>
        <w:tc>
          <w:tcPr>
            <w:tcW w:w="0" w:type="auto"/>
          </w:tcPr>
          <w:p>
            <w:pPr>
              <w:spacing w:after="0" w:line="240" w:lineRule="auto"/>
            </w:pPr>
            <w:r>
              <w:rPr>
                <w:i/>
              </w:rPr>
              <w:t xml:space="preserve">Administration → Bauteilkatalog → Baustoffe</w:t>
            </w:r>
          </w:p>
        </w:tc>
        <w:tc>
          <w:tcPr>
            <w:tcW w:w="0" w:type="auto"/>
          </w:tcPr>
          <w:p>
            <w:pPr>
              <w:spacing w:after="0" w:line="240" w:lineRule="auto"/>
            </w:pPr>
            <w:r>
              <w:t xml:space="preserve">eigener Katalogeditor wie jeder andere Katalog</w:t>
            </w:r>
          </w:p>
        </w:tc>
      </w:tr>
      <w:tr>
        <w:tc>
          <w:tcPr>
            <w:tcW w:w="0" w:type="auto"/>
          </w:tcPr>
          <w:p>
            <w:pPr>
              <w:spacing w:after="0" w:line="240" w:lineRule="auto"/>
            </w:pPr>
            <w:r>
              <w:t xml:space="preserve">Bauteilaufbau-Katalog</w:t>
            </w:r>
          </w:p>
        </w:tc>
        <w:tc>
          <w:tcPr>
            <w:tcW w:w="0" w:type="auto"/>
          </w:tcPr>
          <w:p>
            <w:pPr>
              <w:spacing w:after="0" w:line="240" w:lineRule="auto"/>
            </w:pPr>
            <w:r>
              <w:t xml:space="preserve">neu</w:t>
            </w:r>
          </w:p>
        </w:tc>
        <w:tc>
          <w:tcPr>
            <w:tcW w:w="0" w:type="auto"/>
          </w:tcPr>
          <w:p>
            <w:pPr>
              <w:spacing w:after="0" w:line="240" w:lineRule="auto"/>
            </w:pPr>
            <w:r>
              <w:rPr>
                <w:i/>
              </w:rPr>
              <w:t xml:space="preserve">Administration → Bauteilkatalog → Bauteilaufbauten</w:t>
            </w:r>
          </w:p>
        </w:tc>
        <w:tc>
          <w:tcPr>
            <w:tcW w:w="0" w:type="auto"/>
          </w:tcPr>
          <w:p>
            <w:pPr>
              <w:spacing w:after="0" w:line="240" w:lineRule="auto"/>
            </w:pPr>
            <w:r>
              <w:rPr>
                <w:b/>
              </w:rPr>
              <w:t xml:space="preserve">die zwei Kataloge müssen gemeinsam eingehängt werden</w:t>
            </w:r>
          </w:p>
        </w:tc>
      </w:tr>
      <w:tr>
        <w:tc>
          <w:tcPr>
            <w:tcW w:w="0" w:type="auto"/>
          </w:tcPr>
          <w:p>
            <w:pPr>
              <w:spacing w:after="0" w:line="240" w:lineRule="auto"/>
            </w:pPr>
            <w:r>
              <w:t xml:space="preserve">Zonendialog, Bauteildialog</w:t>
            </w:r>
          </w:p>
        </w:tc>
        <w:tc>
          <w:tcPr>
            <w:tcW w:w="0" w:type="auto"/>
          </w:tcPr>
          <w:p>
            <w:pPr>
              <w:spacing w:after="0" w:line="240" w:lineRule="auto"/>
            </w:pPr>
            <w:r>
              <w:rPr>
                <w:b/>
              </w:rPr>
              <w:t xml:space="preserve">keiner</w:t>
            </w:r>
          </w:p>
        </w:tc>
        <w:tc>
          <w:tcPr>
            <w:tcW w:w="0" w:type="auto"/>
          </w:tcPr>
          <w:p>
            <w:pPr>
              <w:spacing w:after="0" w:line="240" w:lineRule="auto"/>
            </w:pPr>
            <w:r>
              <w:t xml:space="preserve">keine</w:t>
            </w:r>
          </w:p>
        </w:tc>
        <w:tc>
          <w:tcPr>
            <w:tcW w:w="0" w:type="auto"/>
          </w:tcPr>
          <w:p>
            <w:pPr>
              <w:spacing w:after="0" w:line="240" w:lineRule="auto"/>
            </w:pPr>
            <w:r>
              <w:t xml:space="preserve">Überlagerungen </w:t>
            </w:r>
            <w:r>
              <w:rPr>
                <w:b/>
              </w:rPr>
              <w:t xml:space="preserve">im</w:t>
            </w:r>
            <w:r>
              <w:t xml:space="preserve"> Gebäudedialog; ein Schlüssel wäre ein zweites Fenster</w:t>
            </w:r>
          </w:p>
        </w:tc>
      </w:tr>
      <w:tr>
        <w:tc>
          <w:tcPr>
            <w:tcW w:w="0" w:type="auto"/>
          </w:tcPr>
          <w:p>
            <w:pPr>
              <w:spacing w:after="0" w:line="240" w:lineRule="auto"/>
            </w:pPr>
            <w:r>
              <w:t xml:space="preserve">Gebäudeimport (IFC, gbXML)</w:t>
            </w:r>
          </w:p>
        </w:tc>
        <w:tc>
          <w:tcPr>
            <w:tcW w:w="0" w:type="auto"/>
          </w:tcPr>
          <w:p>
            <w:pPr>
              <w:spacing w:after="0" w:line="240" w:lineRule="auto"/>
            </w:pPr>
            <w:r>
              <w:rPr>
                <w:b/>
              </w:rPr>
              <w:t xml:space="preserve">offen</w:t>
            </w:r>
          </w:p>
        </w:tc>
        <w:tc>
          <w:tcPr>
            <w:tcW w:w="0" w:type="auto"/>
          </w:tcPr>
          <w:p>
            <w:pPr>
              <w:spacing w:after="0" w:line="240" w:lineRule="auto"/>
            </w:pPr>
            <w:r>
              <w:t xml:space="preserve">offen</w:t>
            </w:r>
          </w:p>
        </w:tc>
        <w:tc>
          <w:tcPr>
            <w:tcW w:w="0" w:type="auto"/>
          </w:tcPr>
          <w:p>
            <w:pPr>
              <w:spacing w:after="0" w:line="240" w:lineRule="auto"/>
            </w:pPr>
            <w:r>
              <w:t xml:space="preserve">Empfehlung: </w:t>
            </w:r>
            <w:r>
              <w:rPr>
                <w:b/>
              </w:rPr>
              <w:t xml:space="preserve">keiner</w:t>
            </w:r>
            <w:r>
              <w:t xml:space="preserve"> — Überlagerung, aufgemacht über zwei Knöpfe in der Katalogleiste, je mit eigenem Profil und der Regel „kein Delegat, kein Knopf"</w:t>
            </w:r>
          </w:p>
        </w:tc>
      </w:tr>
      <w:tr>
        <w:tc>
          <w:tcPr>
            <w:tcW w:w="0" w:type="auto"/>
          </w:tcPr>
          <w:p>
            <w:pPr>
              <w:spacing w:after="0" w:line="240" w:lineRule="auto"/>
            </w:pPr>
            <w:r>
              <w:t xml:space="preserve">Gebäudeexport (G7)</w:t>
            </w:r>
          </w:p>
        </w:tc>
        <w:tc>
          <w:tcPr>
            <w:tcW w:w="0" w:type="auto"/>
          </w:tcPr>
          <w:p>
            <w:pPr>
              <w:spacing w:after="0" w:line="240" w:lineRule="auto"/>
            </w:pPr>
            <w:r>
              <w:rPr>
                <w:b/>
              </w:rPr>
              <w:t xml:space="preserve">offen</w:t>
            </w:r>
          </w:p>
        </w:tc>
        <w:tc>
          <w:tcPr>
            <w:tcW w:w="0" w:type="auto"/>
          </w:tcPr>
          <w:p>
            <w:pPr>
              <w:spacing w:after="0" w:line="240" w:lineRule="auto"/>
            </w:pPr>
            <w:r>
              <w:t xml:space="preserve">offen</w:t>
            </w:r>
          </w:p>
        </w:tc>
        <w:tc>
          <w:tcPr>
            <w:tcW w:w="0" w:type="auto"/>
          </w:tcPr>
          <w:p>
            <w:pPr>
              <w:spacing w:after="0" w:line="240" w:lineRule="auto"/>
            </w:pPr>
            <w:r>
              <w:t xml:space="preserve">Empfehlung: </w:t>
            </w:r>
            <w:r>
              <w:rPr>
                <w:b/>
              </w:rPr>
              <w:t xml:space="preserve">keiner</w:t>
            </w:r>
            <w:r>
              <w:t xml:space="preserve">, aus demselben Grund; Einstieg zusätzlich dort, wo die Ergebnisse liegen</w:t>
            </w:r>
          </w:p>
        </w:tc>
      </w:tr>
    </w:tbl>
    <w:p>
      <w:pPr>
        <w:spacing w:after="120"/>
      </w:pPr>
    </w:p>
    <w:p>
      <w:pPr>
        <w:pStyle w:val="Diagrammbild"/>
      </w:pPr>
      <w:r>
        <w:drawing>
          <wp:inline xmlns:wp="http://schemas.openxmlformats.org/drawingml/2006/wordprocessingDrawing" distT="0" distB="0" distL="0" distR="0">
            <wp:extent cx="6120130" cy="2027293"/>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8.png"/>
                    <pic:cNvPicPr/>
                  </pic:nvPicPr>
                  <pic:blipFill>
                    <a:blip xmlns:r="http://schemas.openxmlformats.org/officeDocument/2006/relationships" r:embed="Rf7fac3ae7a6e479f"/>
                    <a:stretch>
                      <a:fillRect/>
                    </a:stretch>
                  </pic:blipFill>
                  <pic:spPr>
                    <a:xfrm>
                      <a:off x="0" y="0"/>
                      <a:ext cx="6120130" cy="2027293"/>
                    </a:xfrm>
                    <a:prstGeom prst="rect">
                      <a:avLst/>
                    </a:prstGeom>
                  </pic:spPr>
                </pic:pic>
              </a:graphicData>
            </a:graphic>
          </wp:inline>
        </w:drawing>
      </w:r>
    </w:p>
    <w:p>
      <w:pPr>
        <w:pStyle w:val="Bildunterschrift"/>
      </w:pPr>
      <w:r>
        <w:rPr>
          <w:i/>
          <w:iCs/>
        </w:rPr>
        <w:t xml:space="preserve">Bild 8: 5.1 Navigation und Maskenschlüssel</w:t>
      </w:r>
    </w:p>
    <w:p>
      <w:pPr>
        <w:pStyle w:val="Heading2"/>
      </w:pPr>
      <w:r>
        <w:t xml:space="preserve">5.2 Masken je Stufe</w:t>
      </w:r>
    </w:p>
    <w:p>
      <w:r>
        <w:t xml:space="preserve">Fünf Bestandsmasken im Soll, </w:t>
      </w:r>
      <w:r>
        <w:rPr>
          <w:b/>
        </w:rPr>
        <w:t xml:space="preserve">sechs</w:t>
      </w:r>
      <w:r>
        <w:t xml:space="preserve"> neue — fünf bis G6 und die Exportmaske mit G7; dazu </w:t>
      </w:r>
      <w:r>
        <w:rPr>
          <w:b/>
        </w:rPr>
        <w:t xml:space="preserve">eine eingebettete Ansicht ohne eigenen Maskenschlüssel</w:t>
      </w:r>
      <w:r>
        <w:t xml:space="preserve">.</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Maske</w:t>
            </w:r>
          </w:p>
        </w:tc>
        <w:tc>
          <w:tcPr>
            <w:tcW w:w="0" w:type="auto"/>
            <w:shd w:val="clear" w:color="auto" w:fill="D9D9D9"/>
          </w:tcPr>
          <w:p>
            <w:pPr>
              <w:spacing w:after="0" w:line="240" w:lineRule="auto"/>
              <w:rPr>
                <w:b/>
              </w:rPr>
            </w:pPr>
            <w:r>
              <w:rPr>
                <w:b/>
              </w:rPr>
              <w:t xml:space="preserve">Art</w:t>
            </w:r>
          </w:p>
        </w:tc>
        <w:tc>
          <w:tcPr>
            <w:tcW w:w="0" w:type="auto"/>
            <w:shd w:val="clear" w:color="auto" w:fill="D9D9D9"/>
          </w:tcPr>
          <w:p>
            <w:pPr>
              <w:spacing w:after="0" w:line="240" w:lineRule="auto"/>
              <w:rPr>
                <w:b/>
              </w:rPr>
            </w:pPr>
            <w:r>
              <w:rPr>
                <w:b/>
              </w:rPr>
              <w:t xml:space="preserve">Was sich ändert</w:t>
            </w:r>
          </w:p>
        </w:tc>
        <w:tc>
          <w:tcPr>
            <w:tcW w:w="0" w:type="auto"/>
            <w:shd w:val="clear" w:color="auto" w:fill="D9D9D9"/>
          </w:tcPr>
          <w:p>
            <w:pPr>
              <w:spacing w:after="0" w:line="240" w:lineRule="auto"/>
              <w:rPr>
                <w:b/>
              </w:rPr>
            </w:pPr>
            <w:r>
              <w:rPr>
                <w:b/>
              </w:rPr>
              <w:t xml:space="preserve">Stufe</w:t>
            </w:r>
          </w:p>
        </w:tc>
      </w:tr>
      <w:tr>
        <w:tc>
          <w:tcPr>
            <w:tcW w:w="0" w:type="auto"/>
          </w:tcPr>
          <w:p>
            <w:pPr>
              <w:spacing w:after="0" w:line="240" w:lineRule="auto"/>
            </w:pPr>
            <w:r>
              <w:t xml:space="preserve">Gebäudedialog (Wirt)</w:t>
            </w:r>
          </w:p>
        </w:tc>
        <w:tc>
          <w:tcPr>
            <w:tcW w:w="0" w:type="auto"/>
          </w:tcPr>
          <w:p>
            <w:pPr>
              <w:spacing w:after="0" w:line="240" w:lineRule="auto"/>
            </w:pPr>
            <w:r>
              <w:t xml:space="preserve">Ansicht mit Speichernleiste</w:t>
            </w:r>
          </w:p>
        </w:tc>
        <w:tc>
          <w:tcPr>
            <w:tcW w:w="0" w:type="auto"/>
          </w:tcPr>
          <w:p>
            <w:pPr>
              <w:spacing w:after="0" w:line="240" w:lineRule="auto"/>
            </w:pPr>
            <w:r>
              <w:t xml:space="preserve">Spalte „Rechenweg" in der Projektliste, zwei leise Kennzahlen im Detailblock, zwei Importknöpfe in der Katalogleiste</w:t>
            </w:r>
          </w:p>
        </w:tc>
        <w:tc>
          <w:tcPr>
            <w:tcW w:w="0" w:type="auto"/>
          </w:tcPr>
          <w:p>
            <w:pPr>
              <w:spacing w:after="0" w:line="240" w:lineRule="auto"/>
            </w:pPr>
            <w:r>
              <w:t xml:space="preserve">G1 · G4</w:t>
            </w:r>
          </w:p>
        </w:tc>
      </w:tr>
      <w:tr>
        <w:tc>
          <w:tcPr>
            <w:tcW w:w="0" w:type="auto"/>
          </w:tcPr>
          <w:p>
            <w:pPr>
              <w:spacing w:after="0" w:line="240" w:lineRule="auto"/>
            </w:pPr>
            <w:r>
              <w:t xml:space="preserve">Gebäude-Katalogeditor</w:t>
            </w:r>
          </w:p>
        </w:tc>
        <w:tc>
          <w:tcPr>
            <w:tcW w:w="0" w:type="auto"/>
          </w:tcPr>
          <w:p>
            <w:pPr>
              <w:spacing w:after="0" w:line="240" w:lineRule="auto"/>
            </w:pPr>
            <w:r>
              <w:t xml:space="preserve">Überlagerung, vier Reiter</w:t>
            </w:r>
          </w:p>
        </w:tc>
        <w:tc>
          <w:tcPr>
            <w:tcW w:w="0" w:type="auto"/>
          </w:tcPr>
          <w:p>
            <w:pPr>
              <w:spacing w:after="0" w:line="240" w:lineRule="auto"/>
            </w:pPr>
            <w:r>
              <w:rPr>
                <w:b/>
              </w:rPr>
              <w:t xml:space="preserve">ein</w:t>
            </w:r>
            <w:r>
              <w:t xml:space="preserve"> Schreibweg, Reiter 3 „Hülle und Rechenweg" </w:t>
            </w:r>
            <w:r>
              <w:rPr>
                <w:b/>
              </w:rPr>
              <w:t xml:space="preserve">in VDI-Struktur</w:t>
            </w:r>
            <w:r>
              <w:t xml:space="preserve"> samt eingeklapptem Abschnitt „Tagesbilanz (Bestandsweg)" bei einem Altweg-Gebäude, Reiter 4 „Zonen", der Knopf „Gebäude als eine Zone übernehmen"</w:t>
            </w:r>
          </w:p>
        </w:tc>
        <w:tc>
          <w:tcPr>
            <w:tcW w:w="0" w:type="auto"/>
          </w:tcPr>
          <w:p>
            <w:pPr>
              <w:spacing w:after="0" w:line="240" w:lineRule="auto"/>
            </w:pPr>
            <w:r>
              <w:t xml:space="preserve">G1 · G3 · G6</w:t>
            </w:r>
          </w:p>
        </w:tc>
      </w:tr>
      <w:tr>
        <w:tc>
          <w:tcPr>
            <w:tcW w:w="0" w:type="auto"/>
          </w:tcPr>
          <w:p>
            <w:pPr>
              <w:spacing w:after="0" w:line="240" w:lineRule="auto"/>
            </w:pPr>
            <w:r>
              <w:t xml:space="preserve">Bedarfsdialog</w:t>
            </w:r>
          </w:p>
        </w:tc>
        <w:tc>
          <w:tcPr>
            <w:tcW w:w="0" w:type="auto"/>
          </w:tcPr>
          <w:p>
            <w:pPr>
              <w:spacing w:after="0" w:line="240" w:lineRule="auto"/>
            </w:pPr>
            <w:r>
              <w:t xml:space="preserve">Überlagerung</w:t>
            </w:r>
          </w:p>
        </w:tc>
        <w:tc>
          <w:tcPr>
            <w:tcW w:w="0" w:type="auto"/>
          </w:tcPr>
          <w:p>
            <w:pPr>
              <w:spacing w:after="0" w:line="240" w:lineRule="auto"/>
            </w:pPr>
            <w:r>
              <w:t xml:space="preserve">Raumtemperatur, </w:t>
            </w:r>
            <w:r>
              <w:rPr>
                <w:b/>
              </w:rPr>
              <w:t xml:space="preserve">Abschnitt „Kältebedarf" analog zum Wärmebedarf</w:t>
            </w:r>
            <w:r>
              <w:t xml:space="preserve"> (E21), drei Spitzenkennzahlen, Vergleichstabelle beider Rechenwege — </w:t>
            </w:r>
            <w:r>
              <w:rPr>
                <w:b/>
              </w:rPr>
              <w:t xml:space="preserve">dauerhaft</w:t>
            </w:r>
            <w:r>
              <w:t xml:space="preserve">, weil beide Wege bleiben (E23) —, zweites Bild</w:t>
            </w:r>
          </w:p>
        </w:tc>
        <w:tc>
          <w:tcPr>
            <w:tcW w:w="0" w:type="auto"/>
          </w:tcPr>
          <w:p>
            <w:pPr>
              <w:spacing w:after="0" w:line="240" w:lineRule="auto"/>
            </w:pPr>
            <w:r>
              <w:t xml:space="preserve">G1</w:t>
            </w:r>
          </w:p>
        </w:tc>
      </w:tr>
      <w:tr>
        <w:tc>
          <w:tcPr>
            <w:tcW w:w="0" w:type="auto"/>
          </w:tcPr>
          <w:p>
            <w:pPr>
              <w:spacing w:after="0" w:line="240" w:lineRule="auto"/>
            </w:pPr>
            <w:r>
              <w:t xml:space="preserve">Skalierungs- und Gebäudetypdialog</w:t>
            </w:r>
          </w:p>
        </w:tc>
        <w:tc>
          <w:tcPr>
            <w:tcW w:w="0" w:type="auto"/>
          </w:tcPr>
          <w:p>
            <w:pPr>
              <w:spacing w:after="0" w:line="240" w:lineRule="auto"/>
            </w:pPr>
            <w:r>
              <w:t xml:space="preserve">Überlagerung</w:t>
            </w:r>
          </w:p>
        </w:tc>
        <w:tc>
          <w:tcPr>
            <w:tcW w:w="0" w:type="auto"/>
          </w:tcPr>
          <w:p>
            <w:pPr>
              <w:spacing w:after="0" w:line="240" w:lineRule="auto"/>
            </w:pPr>
            <w:r>
              <w:t xml:space="preserve">Skalierungsdialog (bisher </w:t>
            </w:r>
            <w:r>
              <w:rPr>
                <w:rFonts w:ascii="Consolas" w:hAnsi="Consolas" w:cs="Consolas"/>
                <w:noProof/>
                <w:sz w:val="20"/>
                <w:szCs w:val="20"/>
                <w:shd w:val="clear" w:color="auto" w:fill="EFEFEF"/>
              </w:rPr>
              <w:t xml:space="preserve">GebaeudeWohnflaecheDialog</w:t>
            </w:r>
            <w:r>
              <w:t xml:space="preserve">) </w:t>
            </w:r>
            <w:r>
              <w:rPr>
                <w:b/>
              </w:rPr>
              <w:t xml:space="preserve">in VDI-Struktur</w:t>
            </w:r>
            <w:r>
              <w:t xml:space="preserve">: Nutzfläche statt Wohnfläche (E13, E19), Zuordnung der Skalierung nach E8; der Gebäudetypdialog bleibt unverändert</w:t>
            </w:r>
          </w:p>
        </w:tc>
        <w:tc>
          <w:tcPr>
            <w:tcW w:w="0" w:type="auto"/>
          </w:tcPr>
          <w:p>
            <w:pPr>
              <w:spacing w:after="0" w:line="240" w:lineRule="auto"/>
            </w:pPr>
            <w:r>
              <w:t xml:space="preserve">G1</w:t>
            </w:r>
          </w:p>
        </w:tc>
      </w:tr>
      <w:tr>
        <w:tc>
          <w:tcPr>
            <w:tcW w:w="0" w:type="auto"/>
          </w:tcPr>
          <w:p>
            <w:pPr>
              <w:spacing w:after="0" w:line="240" w:lineRule="auto"/>
            </w:pPr>
            <w:r>
              <w:t xml:space="preserve">Baustoffkatalog</w:t>
            </w:r>
          </w:p>
        </w:tc>
        <w:tc>
          <w:tcPr>
            <w:tcW w:w="0" w:type="auto"/>
          </w:tcPr>
          <w:p>
            <w:pPr>
              <w:spacing w:after="0" w:line="240" w:lineRule="auto"/>
            </w:pPr>
            <w:r>
              <w:t xml:space="preserve">Katalogdialog</w:t>
            </w:r>
          </w:p>
        </w:tc>
        <w:tc>
          <w:tcPr>
            <w:tcW w:w="0" w:type="auto"/>
          </w:tcPr>
          <w:p>
            <w:pPr>
              <w:spacing w:after="0" w:line="240" w:lineRule="auto"/>
            </w:pPr>
            <w:r>
              <w:t xml:space="preserve">neu</w:t>
            </w:r>
          </w:p>
        </w:tc>
        <w:tc>
          <w:tcPr>
            <w:tcW w:w="0" w:type="auto"/>
          </w:tcPr>
          <w:p>
            <w:pPr>
              <w:spacing w:after="0" w:line="240" w:lineRule="auto"/>
            </w:pPr>
            <w:r>
              <w:t xml:space="preserve">G3</w:t>
            </w:r>
          </w:p>
        </w:tc>
      </w:tr>
      <w:tr>
        <w:tc>
          <w:tcPr>
            <w:tcW w:w="0" w:type="auto"/>
          </w:tcPr>
          <w:p>
            <w:pPr>
              <w:spacing w:after="0" w:line="240" w:lineRule="auto"/>
            </w:pPr>
            <w:r>
              <w:t xml:space="preserve">Bauteilaufbau mit Schichtenraster</w:t>
            </w:r>
          </w:p>
        </w:tc>
        <w:tc>
          <w:tcPr>
            <w:tcW w:w="0" w:type="auto"/>
          </w:tcPr>
          <w:p>
            <w:pPr>
              <w:spacing w:after="0" w:line="240" w:lineRule="auto"/>
            </w:pPr>
            <w:r>
              <w:t xml:space="preserve">Katalogdialog</w:t>
            </w:r>
          </w:p>
        </w:tc>
        <w:tc>
          <w:tcPr>
            <w:tcW w:w="0" w:type="auto"/>
          </w:tcPr>
          <w:p>
            <w:pPr>
              <w:spacing w:after="0" w:line="240" w:lineRule="auto"/>
            </w:pPr>
            <w:r>
              <w:t xml:space="preserve">neu</w:t>
            </w:r>
          </w:p>
        </w:tc>
        <w:tc>
          <w:tcPr>
            <w:tcW w:w="0" w:type="auto"/>
          </w:tcPr>
          <w:p>
            <w:pPr>
              <w:spacing w:after="0" w:line="240" w:lineRule="auto"/>
            </w:pPr>
            <w:r>
              <w:t xml:space="preserve">G3</w:t>
            </w:r>
          </w:p>
        </w:tc>
      </w:tr>
      <w:tr>
        <w:tc>
          <w:tcPr>
            <w:tcW w:w="0" w:type="auto"/>
          </w:tcPr>
          <w:p>
            <w:pPr>
              <w:spacing w:after="0" w:line="240" w:lineRule="auto"/>
            </w:pPr>
            <w:r>
              <w:t xml:space="preserve">Zonendialog (Ebene 3)</w:t>
            </w:r>
          </w:p>
        </w:tc>
        <w:tc>
          <w:tcPr>
            <w:tcW w:w="0" w:type="auto"/>
          </w:tcPr>
          <w:p>
            <w:pPr>
              <w:spacing w:after="0" w:line="240" w:lineRule="auto"/>
            </w:pPr>
            <w:r>
              <w:t xml:space="preserve">Überlagerung</w:t>
            </w:r>
          </w:p>
        </w:tc>
        <w:tc>
          <w:tcPr>
            <w:tcW w:w="0" w:type="auto"/>
          </w:tcPr>
          <w:p>
            <w:pPr>
              <w:spacing w:after="0" w:line="240" w:lineRule="auto"/>
            </w:pPr>
            <w:r>
              <w:t xml:space="preserve">neu — in der </w:t>
            </w:r>
            <w:r>
              <w:rPr>
                <w:b/>
              </w:rPr>
              <w:t xml:space="preserve">Grundform mit G3</w:t>
            </w:r>
            <w:r>
              <w:t xml:space="preserve"> (die eine Zone, die der Übernahmeknopf anlegt, samt Bauteilraster), mit </w:t>
            </w:r>
            <w:r>
              <w:rPr>
                <w:b/>
              </w:rPr>
              <w:t xml:space="preserve">G6b</w:t>
            </w:r>
            <w:r>
              <w:t xml:space="preserve"> um Mehrzonenfelder und Luftaustausch erweitert</w:t>
            </w:r>
          </w:p>
        </w:tc>
        <w:tc>
          <w:tcPr>
            <w:tcW w:w="0" w:type="auto"/>
          </w:tcPr>
          <w:p>
            <w:pPr>
              <w:spacing w:after="0" w:line="240" w:lineRule="auto"/>
            </w:pPr>
            <w:r>
              <w:t xml:space="preserve">G3 · G6b</w:t>
            </w:r>
          </w:p>
        </w:tc>
      </w:tr>
      <w:tr>
        <w:tc>
          <w:tcPr>
            <w:tcW w:w="0" w:type="auto"/>
          </w:tcPr>
          <w:p>
            <w:pPr>
              <w:spacing w:after="0" w:line="240" w:lineRule="auto"/>
            </w:pPr>
            <w:r>
              <w:t xml:space="preserve">Bauteildialog (Ebene 4)</w:t>
            </w:r>
          </w:p>
        </w:tc>
        <w:tc>
          <w:tcPr>
            <w:tcW w:w="0" w:type="auto"/>
          </w:tcPr>
          <w:p>
            <w:pPr>
              <w:spacing w:after="0" w:line="240" w:lineRule="auto"/>
            </w:pPr>
            <w:r>
              <w:t xml:space="preserve">Überlagerung</w:t>
            </w:r>
          </w:p>
        </w:tc>
        <w:tc>
          <w:tcPr>
            <w:tcW w:w="0" w:type="auto"/>
          </w:tcPr>
          <w:p>
            <w:pPr>
              <w:spacing w:after="0" w:line="240" w:lineRule="auto"/>
            </w:pPr>
            <w:r>
              <w:t xml:space="preserve">neu — </w:t>
            </w:r>
            <w:r>
              <w:rPr>
                <w:b/>
              </w:rPr>
              <w:t xml:space="preserve">mit G3</w:t>
            </w:r>
            <w:r>
              <w:t xml:space="preserve">, weil der Bauteilweg dieser Stufe sonst nur über Import oder Testdaten zu füllen wäre, während der Nachweis „Bauteilweg gleich Klassenweg im Grenzfall" beide Wege bedienbar verlangt</w:t>
            </w:r>
          </w:p>
        </w:tc>
        <w:tc>
          <w:tcPr>
            <w:tcW w:w="0" w:type="auto"/>
          </w:tcPr>
          <w:p>
            <w:pPr>
              <w:spacing w:after="0" w:line="240" w:lineRule="auto"/>
            </w:pPr>
            <w:r>
              <w:t xml:space="preserve">G3</w:t>
            </w:r>
          </w:p>
        </w:tc>
      </w:tr>
      <w:tr>
        <w:tc>
          <w:tcPr>
            <w:tcW w:w="0" w:type="auto"/>
          </w:tcPr>
          <w:p>
            <w:pPr>
              <w:spacing w:after="0" w:line="240" w:lineRule="auto"/>
            </w:pPr>
            <w:r>
              <w:t xml:space="preserve">Gebäudeimport</w:t>
            </w:r>
          </w:p>
        </w:tc>
        <w:tc>
          <w:tcPr>
            <w:tcW w:w="0" w:type="auto"/>
          </w:tcPr>
          <w:p>
            <w:pPr>
              <w:spacing w:after="0" w:line="240" w:lineRule="auto"/>
            </w:pPr>
            <w:r>
              <w:t xml:space="preserve">Überlagerung, zwei Profile</w:t>
            </w:r>
          </w:p>
        </w:tc>
        <w:tc>
          <w:tcPr>
            <w:tcW w:w="0" w:type="auto"/>
          </w:tcPr>
          <w:p>
            <w:pPr>
              <w:spacing w:after="0" w:line="240" w:lineRule="auto"/>
            </w:pPr>
            <w:r>
              <w:t xml:space="preserve">neu</w:t>
            </w:r>
          </w:p>
        </w:tc>
        <w:tc>
          <w:tcPr>
            <w:tcW w:w="0" w:type="auto"/>
          </w:tcPr>
          <w:p>
            <w:pPr>
              <w:spacing w:after="0" w:line="240" w:lineRule="auto"/>
            </w:pPr>
            <w:r>
              <w:t xml:space="preserve">G4</w:t>
            </w:r>
          </w:p>
        </w:tc>
      </w:tr>
      <w:tr>
        <w:tc>
          <w:tcPr>
            <w:tcW w:w="0" w:type="auto"/>
          </w:tcPr>
          <w:p>
            <w:pPr>
              <w:spacing w:after="0" w:line="240" w:lineRule="auto"/>
            </w:pPr>
            <w:r>
              <w:t xml:space="preserve">Gebäudeexport</w:t>
            </w:r>
          </w:p>
        </w:tc>
        <w:tc>
          <w:tcPr>
            <w:tcW w:w="0" w:type="auto"/>
          </w:tcPr>
          <w:p>
            <w:pPr>
              <w:spacing w:after="0" w:line="240" w:lineRule="auto"/>
            </w:pPr>
            <w:r>
              <w:t xml:space="preserve">Überlagerung, zwei Profile (gbXML, IFC), zwei Einstiege (Gebäude- und Bedarfsdialog)</w:t>
            </w:r>
          </w:p>
        </w:tc>
        <w:tc>
          <w:tcPr>
            <w:tcW w:w="0" w:type="auto"/>
          </w:tcPr>
          <w:p>
            <w:pPr>
              <w:spacing w:after="0" w:line="240" w:lineRule="auto"/>
            </w:pPr>
            <w:r>
              <w:t xml:space="preserve">neu — Format, Umfang und Kennzeichnung wählen, dann schreiben</w:t>
            </w:r>
          </w:p>
        </w:tc>
        <w:tc>
          <w:tcPr>
            <w:tcW w:w="0" w:type="auto"/>
          </w:tcPr>
          <w:p>
            <w:pPr>
              <w:spacing w:after="0" w:line="240" w:lineRule="auto"/>
            </w:pPr>
            <w:r>
              <w:t xml:space="preserve">G7</w:t>
            </w:r>
          </w:p>
        </w:tc>
      </w:tr>
      <w:tr>
        <w:tc>
          <w:tcPr>
            <w:tcW w:w="0" w:type="auto"/>
          </w:tcPr>
          <w:p>
            <w:pPr>
              <w:spacing w:after="0" w:line="240" w:lineRule="auto"/>
            </w:pPr>
            <w:r>
              <w:t xml:space="preserve">Gebäudeansicht</w:t>
            </w:r>
          </w:p>
        </w:tc>
        <w:tc>
          <w:tcPr>
            <w:tcW w:w="0" w:type="auto"/>
          </w:tcPr>
          <w:p>
            <w:pPr>
              <w:spacing w:after="0" w:line="240" w:lineRule="auto"/>
            </w:pPr>
            <w:r>
              <w:rPr>
                <w:b/>
              </w:rPr>
              <w:t xml:space="preserve">eingebettete Komponente</w:t>
            </w:r>
            <w:r>
              <w:t xml:space="preserve">, keine eigene Maske</w:t>
            </w:r>
          </w:p>
        </w:tc>
        <w:tc>
          <w:tcPr>
            <w:tcW w:w="0" w:type="auto"/>
          </w:tcPr>
          <w:p>
            <w:pPr>
              <w:spacing w:after="0" w:line="240" w:lineRule="auto"/>
            </w:pPr>
            <w:r>
              <w:t xml:space="preserve">neu (E11) — Umschalter „Grundriss | Körper"; sie erscheint im Zuordnungsschritt des Imports (Grundriss) und im Gebäudedialog (Körper); </w:t>
            </w:r>
            <w:r>
              <w:rPr>
                <w:b/>
              </w:rPr>
              <w:t xml:space="preserve">kein</w:t>
            </w:r>
            <w:r>
              <w:t xml:space="preserve"> Maskenschlüssel, </w:t>
            </w:r>
            <w:r>
              <w:rPr>
                <w:b/>
              </w:rPr>
              <w:t xml:space="preserve">kein</w:t>
            </w:r>
            <w:r>
              <w:t xml:space="preserve"> Katalogeintrag, weil sie keine Eingabefelder trägt</w:t>
            </w:r>
          </w:p>
        </w:tc>
        <w:tc>
          <w:tcPr>
            <w:tcW w:w="0" w:type="auto"/>
          </w:tcPr>
          <w:p>
            <w:pPr>
              <w:spacing w:after="0" w:line="240" w:lineRule="auto"/>
            </w:pPr>
            <w:r>
              <w:t xml:space="preserve">G6c · G7b</w:t>
            </w:r>
          </w:p>
        </w:tc>
      </w:tr>
    </w:tbl>
    <w:p>
      <w:pPr>
        <w:spacing w:after="120"/>
      </w:pPr>
    </w:p>
    <w:p>
      <w:r>
        <w:rPr>
          <w:b/>
        </w:rPr>
        <w:t xml:space="preserve">Alle Dialoge folgen der VDI-6007-Struktur (E20).</w:t>
      </w:r>
      <w:r>
        <w:t xml:space="preserve"> Gebäudedialog, Katalogeditor, Skalierungsdialog und Bedarfsdialog sind nach den Eingaben des VDI-Wegs aufgebaut: Nutzfläche und Raumhöhe (E13, E19), Bauteile mit U·A (E2), Fenster je Orientierung mit Rahmenanteil und Verschattung, Randbedingung der Grundfläche, Modellparameter, Infiltration, Nutzerlüftung, Sommerlüftung, Heizung mit Strahlungsanteil und Leistungsgrenze. </w:t>
      </w:r>
      <w:r>
        <w:rPr>
          <w:b/>
        </w:rPr>
        <w:t xml:space="preserve">Die Modellparameter sind immer sichtbar und bearbeitbar</w:t>
      </w:r>
      <w:r>
        <w:t xml:space="preserve">, auch bei einem Gebäude auf dem Altweg — sie gelten dort nach der Umstellung. Felder, die </w:t>
      </w:r>
      <w:r>
        <w:rPr>
          <w:b/>
        </w:rPr>
        <w:t xml:space="preserve">nur der Altweg</w:t>
      </w:r>
      <w:r>
        <w:t xml:space="preserve"> liest, erscheinen allein bei einem Altweg-Gebäude in einem </w:t>
      </w:r>
      <w:r>
        <w:rPr>
          <w:b/>
        </w:rPr>
        <w:t xml:space="preserve">eingeklappten Abschnitt „Tagesbilanz (Bestandsweg)"</w:t>
      </w:r>
      <w:r>
        <w:t xml:space="preserve"> mit dem Hinweis, dass dieser Weg keine neue Funktion mehr bekommt. Der Schalter heißt </w:t>
      </w:r>
      <w:r>
        <w:rPr>
          <w:b/>
        </w:rPr>
        <w:t xml:space="preserve">„Rechenweg"</w:t>
      </w:r>
      <w:r>
        <w:t xml:space="preserve"> und trägt die Werte </w:t>
      </w:r>
      <w:r>
        <w:rPr>
          <w:b/>
        </w:rPr>
        <w:t xml:space="preserve">„VDI 6007"</w:t>
      </w:r>
      <w:r>
        <w:t xml:space="preserve"> (Vorgabe, NULL) und </w:t>
      </w:r>
      <w:r>
        <w:rPr>
          <w:b/>
        </w:rPr>
        <w:t xml:space="preserve">„Tagesbilanz"</w:t>
      </w:r>
      <w:r>
        <w:t xml:space="preserve"> samt Herleitungszeile; er bleibt </w:t>
      </w:r>
      <w:r>
        <w:rPr>
          <w:b/>
        </w:rPr>
        <w:t xml:space="preserve">dauerhaft</w:t>
      </w:r>
      <w:r>
        <w:t xml:space="preserve"> (E23). Damit gibt es keinen Dialog mit zwei Zuständen mehr, kein Verstecken und kein Sperren je nach Modell — Frage </w:t>
      </w:r>
      <w:r>
        <w:rPr>
          <w:b/>
        </w:rPr>
        <w:t xml:space="preserve">U2</w:t>
      </w:r>
      <w:r>
        <w:t xml:space="preserve"> ist überholt, und die bunit-Fälle kennen keinen Modellzustand.</w:t>
      </w:r>
    </w:p>
    <w:p>
      <w:r>
        <w:rPr>
          <w:b/>
        </w:rPr>
        <w:t xml:space="preserve">Der Bruch, den G1 behebt:</w:t>
      </w:r>
      <w:r>
        <w:t xml:space="preserve"> Der Katalogeditor hat heute </w:t>
      </w:r>
      <w:r>
        <w:rPr>
          <w:b/>
        </w:rPr>
        <w:t xml:space="preserve">vier</w:t>
      </w:r>
      <w:r>
        <w:t xml:space="preserve"> Aus- und Schreibwege und </w:t>
      </w:r>
      <w:r>
        <w:rPr>
          <w:b/>
        </w:rPr>
        <w:t xml:space="preserve">kein</w:t>
      </w:r>
      <w:r>
        <w:t xml:space="preserve"> Abbrechen; seine Pflichtprüfung hängt an zwei der drei Schreibstellen, und ein Reiter führt einen eigenen Stand, der erst mit „Übernehmen" in die Daten wandert. Sobald U·A-Summen über beide Reiter laufen, ist die Summe zeitweise falsch.</w:t>
      </w:r>
    </w:p>
    <w:p>
      <w:pPr>
        <w:pStyle w:val="Heading2"/>
      </w:pPr>
      <w:r>
        <w:t xml:space="preserve">5.3 Der eine Schreibweg</w:t>
      </w:r>
    </w:p>
    <w:p>
      <w:r>
        <w:t xml:space="preserve">Die Hausregel gilt für </w:t>
      </w:r>
      <w:r>
        <w:rPr>
          <w:b/>
        </w:rPr>
        <w:t xml:space="preserve">jede</w:t>
      </w:r>
      <w:r>
        <w:t xml:space="preserve"> Liste-im-Dialog der Gebäudesimulation — Zonen, Bauteile, Schichten, Luftströme:</w:t>
      </w:r>
    </w:p>
    <w:p>
      <w:pPr>
        <w:pStyle w:val="ListNumber"/>
        <w:numPr>
          <w:ilvl w:val="0"/>
          <w:numId w:val="4"/>
        </w:numPr>
      </w:pPr>
      <w:r>
        <w:t xml:space="preserve">Der Dialog führt einen </w:t>
      </w:r>
      <w:r>
        <w:rPr>
          <w:b/>
        </w:rPr>
        <w:t xml:space="preserve">Arbeitsstand</w:t>
      </w:r>
      <w:r>
        <w:t xml:space="preserve">. „Anlegen" und „Übernehmen" prüfen die Felder mit derselben Prüfkette, derselben Reihenfolge und demselben Wortlaut und legen sie als Zeile in die Liste. </w:t>
      </w:r>
      <w:r>
        <w:rPr>
          <w:b/>
        </w:rPr>
        <w:t xml:space="preserve">Der Knopf speichert nicht, er übernimmt.</w:t>
      </w:r>
    </w:p>
    <w:p>
      <w:pPr>
        <w:pStyle w:val="ListNumber"/>
        <w:numPr>
          <w:ilvl w:val="0"/>
          <w:numId w:val="4"/>
        </w:numPr>
      </w:pPr>
      <w:r>
        <w:t xml:space="preserve">Eine vorläufige Zeile trägt eine </w:t>
      </w:r>
      <w:r>
        <w:rPr>
          <w:b/>
        </w:rPr>
        <w:t xml:space="preserve">negative</w:t>
      </w:r>
      <w:r>
        <w:t xml:space="preserve"> Nummer; nur eine positive Id hat eine Entsprechung in der Datenbank.</w:t>
      </w:r>
    </w:p>
    <w:p>
      <w:pPr>
        <w:pStyle w:val="ListNumber"/>
        <w:numPr>
          <w:ilvl w:val="0"/>
          <w:numId w:val="4"/>
        </w:numPr>
      </w:pPr>
      <w:r>
        <w:rPr>
          <w:b/>
        </w:rPr>
        <w:t xml:space="preserve">Erst OK schreibt</w:t>
      </w:r>
      <w:r>
        <w:t xml:space="preserve">, in der Reihenfolge </w:t>
      </w:r>
      <w:r>
        <w:rPr>
          <w:i/>
        </w:rPr>
        <w:t xml:space="preserve">Entfernen → Ändern → Anlegen</w:t>
      </w:r>
      <w:r>
        <w:t xml:space="preserve"> — so wird ein Bezeichner wieder frei, den eine neue Zeile tragen soll.</w:t>
      </w:r>
    </w:p>
    <w:p>
      <w:pPr>
        <w:pStyle w:val="ListNumber"/>
        <w:numPr>
          <w:ilvl w:val="0"/>
          <w:numId w:val="4"/>
        </w:numPr>
      </w:pPr>
      <w:r>
        <w:rPr>
          <w:b/>
        </w:rPr>
        <w:t xml:space="preserve">Die neue Id entsteht im OK-Weg</w:t>
      </w:r>
      <w:r>
        <w:t xml:space="preserve">; der Wirt liest sie danach.</w:t>
      </w:r>
    </w:p>
    <w:p>
      <w:pPr>
        <w:pStyle w:val="ListNumber"/>
        <w:numPr>
          <w:ilvl w:val="0"/>
          <w:numId w:val="4"/>
        </w:numPr>
      </w:pPr>
      <w:r>
        <w:t xml:space="preserve">OK prüft eine offene Zeile </w:t>
      </w:r>
      <w:r>
        <w:rPr>
          <w:b/>
        </w:rPr>
        <w:t xml:space="preserve">nur, wenn an ihr etwas geändert wurde</w:t>
      </w:r>
      <w:r>
        <w:t xml:space="preserve"> — sonst verriegelt ein Altbestand, der heutige Regeln verletzt, den Dialog.</w:t>
      </w:r>
    </w:p>
    <w:p>
      <w:pPr>
        <w:pStyle w:val="ListNumber"/>
        <w:numPr>
          <w:ilvl w:val="0"/>
          <w:numId w:val="4"/>
        </w:numPr>
      </w:pPr>
      <w:r>
        <w:t xml:space="preserve">Eine </w:t>
      </w:r>
      <w:r>
        <w:rPr>
          <w:b/>
        </w:rPr>
        <w:t xml:space="preserve">Rückfrage im OK-Weg führt ihn zu Ende</w:t>
      </w:r>
      <w:r>
        <w:t xml:space="preserve">; sie ist eine Komponente, nie ein Dialogdienst — auf iOS antwortet der vom Hauptfaden aus gar nicht.</w:t>
      </w:r>
    </w:p>
    <w:p>
      <w:pPr>
        <w:pStyle w:val="ListNumber"/>
        <w:numPr>
          <w:ilvl w:val="0"/>
          <w:numId w:val="4"/>
        </w:numPr>
      </w:pPr>
      <w:r>
        <w:t xml:space="preserve">Die Prüfregeln stehen </w:t>
      </w:r>
      <w:r>
        <w:rPr>
          <w:b/>
        </w:rPr>
        <w:t xml:space="preserve">genau einmal</w:t>
      </w:r>
      <w:r>
        <w:t xml:space="preserve">, im Rückruf der Speichernleiste. „Speichern unter…" bleibt als </w:t>
      </w:r>
      <w:r>
        <w:rPr>
          <w:b/>
        </w:rPr>
        <w:t xml:space="preserve">nicht schließender</w:t>
      </w:r>
      <w:r>
        <w:t xml:space="preserve"> Zweitknopf.</w:t>
      </w:r>
    </w:p>
    <w:p>
      <w:pPr>
        <w:pStyle w:val="Diagrammbild"/>
      </w:pPr>
      <w:r>
        <w:drawing>
          <wp:inline xmlns:wp="http://schemas.openxmlformats.org/drawingml/2006/wordprocessingDrawing" distT="0" distB="0" distL="0" distR="0">
            <wp:extent cx="6120130" cy="3603227"/>
            <wp:effectExtent l="0" t="0" r="0" b="0"/>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09.png"/>
                    <pic:cNvPicPr/>
                  </pic:nvPicPr>
                  <pic:blipFill>
                    <a:blip xmlns:r="http://schemas.openxmlformats.org/officeDocument/2006/relationships" r:embed="Rd96bd7d132f24dab"/>
                    <a:stretch>
                      <a:fillRect/>
                    </a:stretch>
                  </pic:blipFill>
                  <pic:spPr>
                    <a:xfrm>
                      <a:off x="0" y="0"/>
                      <a:ext cx="6120130" cy="3603227"/>
                    </a:xfrm>
                    <a:prstGeom prst="rect">
                      <a:avLst/>
                    </a:prstGeom>
                  </pic:spPr>
                </pic:pic>
              </a:graphicData>
            </a:graphic>
          </wp:inline>
        </w:drawing>
      </w:r>
    </w:p>
    <w:p>
      <w:pPr>
        <w:pStyle w:val="Bildunterschrift"/>
      </w:pPr>
      <w:r>
        <w:rPr>
          <w:i/>
          <w:iCs/>
        </w:rPr>
        <w:t xml:space="preserve">Bild 9: 5.3 Der eine Schreibweg</w:t>
      </w:r>
    </w:p>
    <w:p>
      <w:pPr>
        <w:pStyle w:val="Heading2"/>
      </w:pPr>
      <w:r>
        <w:t xml:space="preserve">5.4 Der Zuordnungsdialog des Imports</w:t>
      </w:r>
    </w:p>
    <w:p>
      <w:r>
        <w:rPr>
          <w:b/>
        </w:rPr>
        <w:t xml:space="preserve">Eine Komponente, zwei Profile.</w:t>
      </w:r>
      <w:r>
        <w:t xml:space="preserve"> Derselbe Ablauf, unterschiedliche Daten: Dateifilter, Größengrenze, Schemaanzeige und die Liste der Zonierungsregeln stehen im Profil, nicht im Quelltext des Dialogs. Der Name der Maske ist offen — das Architekturpapier schlägt </w:t>
      </w:r>
      <w:r>
        <w:rPr>
          <w:rFonts w:ascii="Consolas" w:hAnsi="Consolas" w:cs="Consolas"/>
          <w:noProof/>
          <w:sz w:val="20"/>
          <w:szCs w:val="20"/>
          <w:shd w:val="clear" w:color="auto" w:fill="EFEFEF"/>
        </w:rPr>
        <w:t xml:space="preserve">GebaeudeImportDialog</w:t>
      </w:r>
      <w:r>
        <w:t xml:space="preserve"> vor, weil ein Format im Namen einer Maske, die zwei Formate trägt, eine Unwahrheit wäre; das Datenaustauschkonzept führt noch den älteren Namen </w:t>
      </w:r>
      <w:r>
        <w:rPr>
          <w:rFonts w:ascii="Consolas" w:hAnsi="Consolas" w:cs="Consolas"/>
          <w:noProof/>
          <w:sz w:val="20"/>
          <w:szCs w:val="20"/>
          <w:shd w:val="clear" w:color="auto" w:fill="EFEFEF"/>
        </w:rPr>
        <w:t xml:space="preserve">IfcZuordnungDialog</w:t>
      </w:r>
      <w:r>
        <w:t xml:space="preserve">. Entschieden wird das unter </w:t>
      </w:r>
      <w:r>
        <w:rPr>
          <w:b/>
        </w:rPr>
        <w:t xml:space="preserve">A3</w:t>
      </w:r>
      <w:r>
        <w:t xml:space="preserve">.</w:t>
      </w:r>
    </w:p>
    <w:p>
      <w:pPr>
        <w:pStyle w:val="Diagrammbild"/>
      </w:pPr>
      <w:r>
        <w:drawing>
          <wp:inline xmlns:wp="http://schemas.openxmlformats.org/drawingml/2006/wordprocessingDrawing" distT="0" distB="0" distL="0" distR="0">
            <wp:extent cx="4017755" cy="7920000"/>
            <wp:effectExtent l="0" t="0" r="0" b="0"/>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10.png"/>
                    <pic:cNvPicPr/>
                  </pic:nvPicPr>
                  <pic:blipFill>
                    <a:blip xmlns:r="http://schemas.openxmlformats.org/officeDocument/2006/relationships" r:embed="R24535653125f41ba"/>
                    <a:stretch>
                      <a:fillRect/>
                    </a:stretch>
                  </pic:blipFill>
                  <pic:spPr>
                    <a:xfrm>
                      <a:off x="0" y="0"/>
                      <a:ext cx="4017755" cy="7920000"/>
                    </a:xfrm>
                    <a:prstGeom prst="rect">
                      <a:avLst/>
                    </a:prstGeom>
                  </pic:spPr>
                </pic:pic>
              </a:graphicData>
            </a:graphic>
          </wp:inline>
        </w:drawing>
      </w:r>
    </w:p>
    <w:p>
      <w:pPr>
        <w:pStyle w:val="Bildunterschrift"/>
      </w:pPr>
      <w:r>
        <w:rPr>
          <w:i/>
          <w:iCs/>
        </w:rPr>
        <w:t xml:space="preserve">Bild 10: 5.4 Der Zuordnungsdialog des Imports</w:t>
      </w:r>
    </w:p>
    <w:p>
      <w:pPr>
        <w:pStyle w:val="Heading2"/>
      </w:pPr>
      <w:r>
        <w:t xml:space="preserve">5.5 Gebäudebetrachter (E11)</w:t>
      </w:r>
    </w:p>
    <w:p>
      <w:r>
        <w:t xml:space="preserve">Der Zuordnungsdialog bekommt eine </w:t>
      </w:r>
      <w:r>
        <w:rPr>
          <w:b/>
        </w:rPr>
        <w:t xml:space="preserve">zeichnende Fläche</w:t>
      </w:r>
      <w:r>
        <w:t xml:space="preserve">. Sie ist keine Zugabe, sondern das Werkzeug für die Arbeit, die dieser Dialog verlangt: 78 Räume in wenige Zonen zu ordnen, ist an einer Liste mühsam und an einem Bild eine Handbewegung.</w:t>
      </w:r>
    </w:p>
    <w:p>
      <w:pPr>
        <w:pStyle w:val="ListBullet"/>
        <w:numPr>
          <w:ilvl w:val="0"/>
          <w:numId w:val="5"/>
        </w:numPr>
      </w:pPr>
      <w:r>
        <w:rPr>
          <w:b/>
        </w:rPr>
        <w:t xml:space="preserve">Eine Komponente mit Umschalter „Grundriss | Körper"</w:t>
      </w:r>
      <w:r>
        <w:t xml:space="preserve"> — </w:t>
      </w:r>
      <w:r>
        <w:rPr>
          <w:rFonts w:ascii="Consolas" w:hAnsi="Consolas" w:cs="Consolas"/>
          <w:noProof/>
          <w:sz w:val="20"/>
          <w:szCs w:val="20"/>
          <w:shd w:val="clear" w:color="auto" w:fill="EFEFEF"/>
        </w:rPr>
        <w:t xml:space="preserve">GebaeudeAnsicht.razor</w:t>
      </w:r>
      <w:r>
        <w:t xml:space="preserve"> samt </w:t>
      </w:r>
      <w:r>
        <w:rPr>
          <w:rFonts w:ascii="Consolas" w:hAnsi="Consolas" w:cs="Consolas"/>
          <w:noProof/>
          <w:sz w:val="20"/>
          <w:szCs w:val="20"/>
          <w:shd w:val="clear" w:color="auto" w:fill="EFEFEF"/>
        </w:rPr>
        <w:t xml:space="preserve">GebaeudeAnsichtDaten.cs</w:t>
      </w:r>
      <w:r>
        <w:t xml:space="preserve">, Maskenpräfix </w:t>
      </w:r>
      <w:r>
        <w:rPr>
          <w:rFonts w:ascii="Consolas" w:hAnsi="Consolas" w:cs="Consolas"/>
          <w:noProof/>
          <w:sz w:val="20"/>
          <w:szCs w:val="20"/>
          <w:shd w:val="clear" w:color="auto" w:fill="EFEFEF"/>
        </w:rPr>
        <w:t xml:space="preserve">GAN_</w:t>
      </w:r>
      <w:r>
        <w:t xml:space="preserve">, darunter der Pflichttext „schematisch" —, beide Ansichten auf </w:t>
      </w:r>
      <w:r>
        <w:rPr>
          <w:b/>
        </w:rPr>
        <w:t xml:space="preserve">einer</w:t>
      </w:r>
      <w:r>
        <w:t xml:space="preserve"> Quelle: dem Zonengeometrie-Modell im Kern mit je Zone Grundrisspolygon, Höhe, Geschoss und der Zuordnung der Bauteile zu den Polygonkanten, zu Boden und Decke.</w:t>
      </w:r>
    </w:p>
    <w:p>
      <w:pPr>
        <w:pStyle w:val="ListBullet"/>
        <w:numPr>
          <w:ilvl w:val="0"/>
          <w:numId w:val="5"/>
        </w:numPr>
      </w:pPr>
      <w:r>
        <w:rPr>
          <w:b/>
        </w:rPr>
        <w:t xml:space="preserve">Ansicht 1 — 2D-Grundriss je Geschoss:</w:t>
      </w:r>
      <w:r>
        <w:t xml:space="preserve"> SVG in einer Razor-Komponente, </w:t>
      </w:r>
      <w:r>
        <w:rPr>
          <w:b/>
        </w:rPr>
        <w:t xml:space="preserve">keine Bibliothek</w:t>
      </w:r>
      <w:r>
        <w:t xml:space="preserve">; Räume und Zonen als Polygone, Farbe je Zone, unzugeordnete Räume grau, Geschosswahl im Kopf. Ein Klick auf einen Raum wählt ihn und ordnet ihn der gewählten Zone zu — dieselbe Wirkung wie „zusammenlegen" und „trennen" in der Liste. </w:t>
      </w:r>
      <w:r>
        <w:rPr>
          <w:b/>
        </w:rPr>
        <w:t xml:space="preserve">Nichts wird ohne OK geschrieben</w:t>
      </w:r>
      <w:r>
        <w:t xml:space="preserve">, und kein Anzeigetext ist Steuerwert. Stufe </w:t>
      </w:r>
      <w:r>
        <w:rPr>
          <w:b/>
        </w:rPr>
        <w:t xml:space="preserve">G6c</w:t>
      </w:r>
      <w:r>
        <w:t xml:space="preserve">: 3–5 PT für die Ansicht und 3–5 PT für das Zonengeometrie-Modell, </w:t>
      </w:r>
      <w:r>
        <w:rPr>
          <w:b/>
        </w:rPr>
        <w:t xml:space="preserve">zusammen 6–10 PT</w:t>
      </w:r>
      <w:r>
        <w:t xml:space="preserve">.</w:t>
      </w:r>
    </w:p>
    <w:p>
      <w:pPr>
        <w:pStyle w:val="ListBullet"/>
        <w:numPr>
          <w:ilvl w:val="0"/>
          <w:numId w:val="5"/>
        </w:numPr>
      </w:pPr>
      <w:r>
        <w:rPr>
          <w:b/>
        </w:rPr>
        <w:t xml:space="preserve">Ansicht 2 — schematische Körper:</w:t>
      </w:r>
      <w:r>
        <w:t xml:space="preserve"> Polygon um die Höhe extrudiert, Platte je Bauteil an Kante, Boden und Decke; three.js unter MIT </w:t>
      </w:r>
      <w:r>
        <w:rPr>
          <w:b/>
        </w:rPr>
        <w:t xml:space="preserve">lokal</w:t>
      </w:r>
      <w:r>
        <w:t xml:space="preserve"> unter </w:t>
      </w:r>
      <w:r>
        <w:rPr>
          <w:rFonts w:ascii="Consolas" w:hAnsi="Consolas" w:cs="Consolas"/>
          <w:noProof/>
          <w:sz w:val="20"/>
          <w:szCs w:val="20"/>
          <w:shd w:val="clear" w:color="auto" w:fill="EFEFEF"/>
        </w:rPr>
        <w:t xml:space="preserve">EPOS.UI/wwwroot</w:t>
      </w:r>
      <w:r>
        <w:t xml:space="preserve">, nie vom CDN. Stufe </w:t>
      </w:r>
      <w:r>
        <w:rPr>
          <w:b/>
        </w:rPr>
        <w:t xml:space="preserve">G7b</w:t>
      </w:r>
      <w:r>
        <w:t xml:space="preserve">, 4–7 PT; mit dem Grundriss und dem Modell zusammen </w:t>
      </w:r>
      <w:r>
        <w:rPr>
          <w:b/>
        </w:rPr>
        <w:t xml:space="preserve">10–17 PT</w:t>
      </w:r>
      <w:r>
        <w:t xml:space="preserve">. Auf iOS läuft WebGL in der WebView und die Dreieckszahl ist klein — </w:t>
      </w:r>
      <w:r>
        <w:rPr>
          <w:b/>
        </w:rPr>
        <w:t xml:space="preserve">zugesagt ist die Körperansicht auf dem iPad aber erst nach einer Messung</w:t>
      </w:r>
      <w:r>
        <w:t xml:space="preserve"> (B11: kein Fremdpaket an iOS ohne Messung; WebGL in der iOS-WebView, Speicher, Startzeit); trägt sie dort nicht, bleibt der Grundriss (SVG, ohne Bibliothek) als benannter Rückfall, und die Körperansicht wird mit Grund abgelehnt.</w:t>
      </w:r>
    </w:p>
    <w:p>
      <w:pPr>
        <w:pStyle w:val="ListBullet"/>
        <w:numPr>
          <w:ilvl w:val="0"/>
          <w:numId w:val="5"/>
        </w:numPr>
      </w:pPr>
      <w:r>
        <w:rPr>
          <w:b/>
        </w:rPr>
        <w:t xml:space="preserve">„schematisch" steht sichtbar in der Oberfläche</w:t>
      </w:r>
      <w:r>
        <w:t xml:space="preserve">, nicht nur in der Exportdatei: ohne Raumgrenzen ist die Anordnung der Zonen zueinander erfunden. Jede Zone weist außerdem aus, ob ihr Polygon aus Raumgrenzen oder aus der Rechteckherleitung stammt.</w:t>
      </w:r>
    </w:p>
    <w:p>
      <w:pPr>
        <w:pStyle w:val="ListBullet"/>
        <w:numPr>
          <w:ilvl w:val="0"/>
          <w:numId w:val="5"/>
        </w:numPr>
      </w:pPr>
      <w:r>
        <w:rPr>
          <w:b/>
        </w:rPr>
        <w:t xml:space="preserve">Die Ansicht ist der Prüfstand der Exporte, nicht ihr Beiwerk.</w:t>
      </w:r>
      <w:r>
        <w:t xml:space="preserve"> Bisher war die Sichtprobe der Exporte ein fremdes Werkzeug; mit der Körperansicht sieht der Anwender </w:t>
      </w:r>
      <w:r>
        <w:rPr>
          <w:b/>
        </w:rPr>
        <w:t xml:space="preserve">vor</w:t>
      </w:r>
      <w:r>
        <w:t xml:space="preserve"> dem Schreiben, was er verschickt. G7b und G7e sparen dadurch 3–5 PT.</w:t>
      </w:r>
    </w:p>
    <w:p>
      <w:pPr>
        <w:pStyle w:val="ListBullet"/>
        <w:numPr>
          <w:ilvl w:val="0"/>
          <w:numId w:val="5"/>
        </w:numPr>
      </w:pPr>
      <w:r>
        <w:rPr>
          <w:b/>
        </w:rPr>
        <w:t xml:space="preserve">Benannt abgelehnt:</w:t>
      </w:r>
      <w:r>
        <w:t xml:space="preserve"> ein vollwertiger 3D-IFC-Betrachter (web-ifc mit three.js, 15–25 PT, MPL-2.0, auf iOS speicherkritisch) und die native xBIM Geometry Engine (nur Windows, OCCT unter LGPL). „Datei extern öffnen" bleibt als Handgriff zulässig.</w:t>
      </w:r>
    </w:p>
    <w:p>
      <w:pPr>
        <w:pStyle w:val="Heading2"/>
      </w:pPr>
      <w:r>
        <w:t xml:space="preserve">5.6 Ergebnisdarstellung</w:t>
      </w:r>
    </w:p>
    <w:p>
      <w:r>
        <w:t xml:space="preserve">Die Ergebnisdarstellung ist fertig gebaut und stufbar; die neuen Größen brauchen keinen neuen Baustein, nur ihren Platz.</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Neue Größe</w:t>
            </w:r>
          </w:p>
        </w:tc>
        <w:tc>
          <w:tcPr>
            <w:tcW w:w="0" w:type="auto"/>
            <w:shd w:val="clear" w:color="auto" w:fill="D9D9D9"/>
          </w:tcPr>
          <w:p>
            <w:pPr>
              <w:spacing w:after="0" w:line="240" w:lineRule="auto"/>
              <w:rPr>
                <w:b/>
              </w:rPr>
            </w:pPr>
            <w:r>
              <w:rPr>
                <w:b/>
              </w:rPr>
              <w:t xml:space="preserve">Ort</w:t>
            </w:r>
          </w:p>
        </w:tc>
        <w:tc>
          <w:tcPr>
            <w:tcW w:w="0" w:type="auto"/>
            <w:shd w:val="clear" w:color="auto" w:fill="D9D9D9"/>
          </w:tcPr>
          <w:p>
            <w:pPr>
              <w:spacing w:after="0" w:line="240" w:lineRule="auto"/>
              <w:rPr>
                <w:b/>
              </w:rPr>
            </w:pPr>
            <w:r>
              <w:rPr>
                <w:b/>
              </w:rPr>
              <w:t xml:space="preserve">Bauform</w:t>
            </w:r>
          </w:p>
        </w:tc>
      </w:tr>
      <w:tr>
        <w:tc>
          <w:tcPr>
            <w:tcW w:w="0" w:type="auto"/>
          </w:tcPr>
          <w:p>
            <w:pPr>
              <w:spacing w:after="0" w:line="240" w:lineRule="auto"/>
            </w:pPr>
            <w:r>
              <w:t xml:space="preserve">Raumtemperatur (Luft und operativ), stündlich</w:t>
            </w:r>
          </w:p>
        </w:tc>
        <w:tc>
          <w:tcPr>
            <w:tcW w:w="0" w:type="auto"/>
          </w:tcPr>
          <w:p>
            <w:pPr>
              <w:spacing w:after="0" w:line="240" w:lineRule="auto"/>
            </w:pPr>
            <w:r>
              <w:t xml:space="preserve">Bedarfsdialog, </w:t>
            </w:r>
            <w:r>
              <w:rPr>
                <w:b/>
              </w:rPr>
              <w:t xml:space="preserve">zweites Bild</w:t>
            </w:r>
            <w:r>
              <w:t xml:space="preserve"> mit eigenem Bereichszoom</w:t>
            </w:r>
          </w:p>
        </w:tc>
        <w:tc>
          <w:tcPr>
            <w:tcW w:w="0" w:type="auto"/>
          </w:tcPr>
          <w:p>
            <w:pPr>
              <w:spacing w:after="0" w:line="240" w:lineRule="auto"/>
            </w:pPr>
            <w:r>
              <w:t xml:space="preserve">Renderer-Bild; Ganglinie mit Sollwertband, dazu die Dauerlinie desselben Vektors. </w:t>
            </w:r>
            <w:r>
              <w:rPr>
                <w:b/>
              </w:rPr>
              <w:t xml:space="preserve">Nur bei Stundenmodell</w:t>
            </w:r>
          </w:p>
        </w:tc>
      </w:tr>
      <w:tr>
        <w:tc>
          <w:tcPr>
            <w:tcW w:w="0" w:type="auto"/>
          </w:tcPr>
          <w:p>
            <w:pPr>
              <w:spacing w:after="0" w:line="240" w:lineRule="auto"/>
            </w:pPr>
            <w:r>
              <w:t xml:space="preserve">Kühlbedarf (Jahressumme, Monatswerte)</w:t>
            </w:r>
          </w:p>
        </w:tc>
        <w:tc>
          <w:tcPr>
            <w:tcW w:w="0" w:type="auto"/>
          </w:tcPr>
          <w:p>
            <w:pPr>
              <w:spacing w:after="0" w:line="240" w:lineRule="auto"/>
            </w:pPr>
            <w:r>
              <w:t xml:space="preserve">Bedarfsdialog, </w:t>
            </w:r>
            <w:r>
              <w:rPr>
                <w:b/>
              </w:rPr>
              <w:t xml:space="preserve">eigener Abschnitt „Kältebedarf" im Aufbau des Wärmebedarfs</w:t>
            </w:r>
            <w:r>
              <w:t xml:space="preserve"> (E21); Monatsblatt als zweite Reihe</w:t>
            </w:r>
          </w:p>
        </w:tc>
        <w:tc>
          <w:tcPr>
            <w:tcW w:w="0" w:type="auto"/>
          </w:tcPr>
          <w:p>
            <w:pPr>
              <w:spacing w:after="0" w:line="240" w:lineRule="auto"/>
            </w:pPr>
            <w:r>
              <w:t xml:space="preserve">Kennzahlkachel; Monatsbild als Stapel. </w:t>
            </w:r>
            <w:r>
              <w:rPr>
                <w:b/>
              </w:rPr>
              <w:t xml:space="preserve">Nachtrag E12: mit dem Kühlkanal wird daraus eine Bedarfsgröße mit Deckung</w:t>
            </w:r>
            <w:r>
              <w:t xml:space="preserve"> — der Zusatz „(informativ)" entfällt mit KU1 (Kapitel 8a). Ein Gebäude auf dem Altweg zeigt hier </w:t>
            </w:r>
            <w:r>
              <w:rPr>
                <w:b/>
              </w:rPr>
              <w:t xml:space="preserve">0 mit Hinweis</w:t>
            </w:r>
            <w:r>
              <w:t xml:space="preserve">, nicht eine stille Null</w:t>
            </w:r>
          </w:p>
        </w:tc>
      </w:tr>
      <w:tr>
        <w:tc>
          <w:tcPr>
            <w:tcW w:w="0" w:type="auto"/>
          </w:tcPr>
          <w:p>
            <w:pPr>
              <w:spacing w:after="0" w:line="240" w:lineRule="auto"/>
            </w:pPr>
            <w:r>
              <w:t xml:space="preserve">Spitzenlast (Stunde), Spitzenlast (Tagesmittel), 95-%-Quantil, Übertemperaturstunden</w:t>
            </w:r>
          </w:p>
        </w:tc>
        <w:tc>
          <w:tcPr>
            <w:tcW w:w="0" w:type="auto"/>
          </w:tcPr>
          <w:p>
            <w:pPr>
              <w:spacing w:after="0" w:line="240" w:lineRule="auto"/>
            </w:pPr>
            <w:r>
              <w:t xml:space="preserve">eigene Kennzahlkategorie „Spitzen"</w:t>
            </w:r>
          </w:p>
        </w:tc>
        <w:tc>
          <w:tcPr>
            <w:tcW w:w="0" w:type="auto"/>
          </w:tcPr>
          <w:p>
            <w:pPr>
              <w:spacing w:after="0" w:line="240" w:lineRule="auto"/>
            </w:pPr>
            <w:r>
              <w:t xml:space="preserve">Kennzahlkachel mit Stunde bzw. Datum als leiser Herkunftszeile</w:t>
            </w:r>
          </w:p>
        </w:tc>
      </w:tr>
      <w:tr>
        <w:tc>
          <w:tcPr>
            <w:tcW w:w="0" w:type="auto"/>
          </w:tcPr>
          <w:p>
            <w:pPr>
              <w:spacing w:after="0" w:line="240" w:lineRule="auto"/>
            </w:pPr>
            <w:r>
              <w:t xml:space="preserve">Vergleich Tagesbilanz ↔ VDI 6007</w:t>
            </w:r>
          </w:p>
        </w:tc>
        <w:tc>
          <w:tcPr>
            <w:tcW w:w="0" w:type="auto"/>
          </w:tcPr>
          <w:p>
            <w:pPr>
              <w:spacing w:after="0" w:line="240" w:lineRule="auto"/>
            </w:pPr>
            <w:r>
              <w:t xml:space="preserve">Bedarfsdialog, vier Spalten über fünf Zeilen</w:t>
            </w:r>
          </w:p>
        </w:tc>
        <w:tc>
          <w:tcPr>
            <w:tcW w:w="0" w:type="auto"/>
          </w:tcPr>
          <w:p>
            <w:pPr>
              <w:spacing w:after="0" w:line="240" w:lineRule="auto"/>
            </w:pPr>
            <w:r>
              <w:rPr>
                <w:b/>
              </w:rPr>
              <w:t xml:space="preserve">zwei Auskünfte desselben Controllers</w:t>
            </w:r>
            <w:r>
              <w:t xml:space="preserve">, keine zweite Rechnung; </w:t>
            </w:r>
            <w:r>
              <w:rPr>
                <w:b/>
              </w:rPr>
              <w:t xml:space="preserve">dauerhaft, weil beide Rechenwege bleiben</w:t>
            </w:r>
            <w:r>
              <w:t xml:space="preserve"> (E20, E23)</w:t>
            </w:r>
          </w:p>
        </w:tc>
      </w:tr>
      <w:tr>
        <w:tc>
          <w:tcPr>
            <w:tcW w:w="0" w:type="auto"/>
          </w:tcPr>
          <w:p>
            <w:pPr>
              <w:spacing w:after="0" w:line="240" w:lineRule="auto"/>
            </w:pPr>
            <w:r>
              <w:t xml:space="preserve">Zonenzeilen (G6)</w:t>
            </w:r>
          </w:p>
        </w:tc>
        <w:tc>
          <w:tcPr>
            <w:tcW w:w="0" w:type="auto"/>
          </w:tcPr>
          <w:p>
            <w:pPr>
              <w:spacing w:after="0" w:line="240" w:lineRule="auto"/>
            </w:pPr>
            <w:r>
              <w:t xml:space="preserve">Reiter „Zonen"; im Ergebnis eine Tabelle je Zone</w:t>
            </w:r>
          </w:p>
        </w:tc>
        <w:tc>
          <w:tcPr>
            <w:tcW w:w="0" w:type="auto"/>
          </w:tcPr>
          <w:p>
            <w:pPr>
              <w:spacing w:after="0" w:line="240" w:lineRule="auto"/>
            </w:pPr>
            <w:r>
              <w:t xml:space="preserve">Zeilenraster mit Summenfuß; unbeheizte Zonen bekommen </w:t>
            </w:r>
            <w:r>
              <w:rPr>
                <w:b/>
              </w:rPr>
              <w:t xml:space="preserve">eigene</w:t>
            </w:r>
            <w:r>
              <w:t xml:space="preserve"> Zeilen</w:t>
            </w:r>
          </w:p>
        </w:tc>
      </w:tr>
      <w:tr>
        <w:tc>
          <w:tcPr>
            <w:tcW w:w="0" w:type="auto"/>
          </w:tcPr>
          <w:p>
            <w:pPr>
              <w:spacing w:after="0" w:line="240" w:lineRule="auto"/>
            </w:pPr>
            <w:r>
              <w:t xml:space="preserve">Schichtenraster (G3)</w:t>
            </w:r>
          </w:p>
        </w:tc>
        <w:tc>
          <w:tcPr>
            <w:tcW w:w="0" w:type="auto"/>
          </w:tcPr>
          <w:p>
            <w:pPr>
              <w:spacing w:after="0" w:line="240" w:lineRule="auto"/>
            </w:pPr>
            <w:r>
              <w:t xml:space="preserve">Bauteilaufbau-Dialog</w:t>
            </w:r>
          </w:p>
        </w:tc>
        <w:tc>
          <w:tcPr>
            <w:tcW w:w="0" w:type="auto"/>
          </w:tcPr>
          <w:p>
            <w:pPr>
              <w:spacing w:after="0" w:line="240" w:lineRule="auto"/>
            </w:pPr>
            <w:r>
              <w:t xml:space="preserve">Zeilenraster mit Summenfuß über Wärmedurchlasswiderstand, U-Wert und wirksame Kapazität</w:t>
            </w:r>
          </w:p>
        </w:tc>
      </w:tr>
    </w:tbl>
    <w:p>
      <w:pPr>
        <w:spacing w:after="120"/>
      </w:pPr>
    </w:p>
    <w:p>
      <w:r>
        <w:t xml:space="preserve">Vier Regeln greifen dabei: Bilder entstehen </w:t>
      </w:r>
      <w:r>
        <w:rPr>
          <w:b/>
        </w:rPr>
        <w:t xml:space="preserve">im Kern</w:t>
      </w:r>
      <w:r>
        <w:t xml:space="preserve"> über den vorhandenen Renderer und laufen durch die Diagrammproben, ein neuer Parameter bekommt eine Vorgabe, die das Bild byte-gleich lässt; </w:t>
      </w:r>
      <w:r>
        <w:rPr>
          <w:b/>
        </w:rPr>
        <w:t xml:space="preserve">„—" statt 0</w:t>
      </w:r>
      <w:r>
        <w:t xml:space="preserve">, weil eine 0 eine Aussage wäre, die niemand getroffen hat; ein Reiter zeichnet nie ein vorbelegtes DTO als Ergebnis, sondern trägt einen benannten Ergebniszustand samt Anlass; und Energiemengen laufen nur über den Einheitenbaustein, nie mit nacktem Faktor 1 000. Das DTO führt </w:t>
      </w:r>
      <w:r>
        <w:rPr>
          <w:b/>
        </w:rPr>
        <w:t xml:space="preserve">keine</w:t>
      </w:r>
      <w:r>
        <w:t xml:space="preserve"> 8 760 Werte.</w:t>
      </w:r>
    </w:p>
    <w:p>
      <w:pPr>
        <w:pStyle w:val="Heading2"/>
      </w:pPr>
      <w:r>
        <w:t xml:space="preserve">5.7 Tests je Maske</w:t>
      </w:r>
    </w:p>
    <w:p>
      <w:r>
        <w:t xml:space="preserve">Jede neue Maske bringt einen bunit-Fall nach Hausmaß mit: die Kultur auf Deutsch gepinnt (der CI-Läufer läuft englisch), lose JS-Nachbildung, Dienste-Attrappen im Konstruktor und ein Aufbauhelfer mit </w:t>
      </w:r>
      <w:r>
        <w:rPr>
          <w:b/>
        </w:rPr>
        <w:t xml:space="preserve">allen</w:t>
      </w:r>
      <w:r>
        <w:t xml:space="preserve"> Delegaten als benannte Parameter mit Vorgabe. Die Fälle decken mindestens: Feldbestand je Reiter gegen die Feldkarte, verzögerter Reiteraufbau, </w:t>
      </w:r>
      <w:r>
        <w:rPr>
          <w:b/>
        </w:rPr>
        <w:t xml:space="preserve">jede Betriebsart</w:t>
      </w:r>
      <w:r>
        <w:t xml:space="preserve"> und ihre Knopfsperren, Steuerwert ungleich Anzeigetext, abgeleitete Werte, </w:t>
      </w:r>
      <w:r>
        <w:rPr>
          <w:b/>
        </w:rPr>
        <w:t xml:space="preserve">jede Prüfregel mit ihrer Meldung</w:t>
      </w:r>
      <w:r>
        <w:t xml:space="preserve">, den Schreibweg, die abgelehnte Schreibung als stehendes Banner, „ohne Delegat kein Knopf", Esc, Beenden und Kreuz, den Rückweg mit </w:t>
      </w:r>
      <w:r>
        <w:rPr>
          <w:rFonts w:ascii="Consolas" w:hAnsi="Consolas" w:cs="Consolas"/>
          <w:noProof/>
          <w:sz w:val="20"/>
          <w:szCs w:val="20"/>
          <w:shd w:val="clear" w:color="auto" w:fill="EFEFEF"/>
        </w:rPr>
        <w:t xml:space="preserve">null</w:t>
      </w:r>
      <w:r>
        <w:t xml:space="preserve"> bei Abbruch und den Fall ohne Gaben.</w:t>
      </w:r>
    </w:p>
    <w:p>
      <w:r>
        <w:t xml:space="preserve">Zwei Fallstricke haben im Haus schon Zeit gekostet: der Zeichenzähler taugt </w:t>
      </w:r>
      <w:r>
        <w:rPr>
          <w:b/>
        </w:rPr>
        <w:t xml:space="preserve">nicht</w:t>
      </w:r>
      <w:r>
        <w:t xml:space="preserve"> als Zähler, und die synchronen Eingabe- und Klickhelfer warten den Zeichenlauf </w:t>
      </w:r>
      <w:r>
        <w:rPr>
          <w:b/>
        </w:rPr>
        <w:t xml:space="preserve">nicht</w:t>
      </w:r>
      <w:r>
        <w:t xml:space="preserve"> ab — nach jeder Eingabe ist auf den gezeichneten Zustand zu warten und die Entprellung im Prüfstand ausdrücklich auf 0 zu setzen. Die drei Strukturwachen laufen ohne Zutun mit; die </w:t>
      </w:r>
      <w:r>
        <w:rPr>
          <w:b/>
        </w:rPr>
        <w:t xml:space="preserve">Rasterprobe</w:t>
      </w:r>
      <w:r>
        <w:t xml:space="preserve"> misst, was bunit nicht kann, und ist vor jeder Änderung an Raster, Katalogliste oder den Rasterregeln zu ziehen — also vor der Umstellung der Katalogseite und vor dem Schichten- und Bauteilraster.</w:t>
      </w:r>
    </w:p>
    <w:p>
      <w:r>
        <w:rPr>
          <w:b/>
        </w:rPr>
        <w:t xml:space="preserve">Einzelheiten:</w:t>
      </w:r>
      <w:r>
        <w:t xml:space="preserve"> </w:t>
      </w:r>
      <w:r>
        <w:rPr>
          <w:rFonts w:ascii="Consolas" w:hAnsi="Consolas" w:cs="Consolas"/>
          <w:noProof/>
          <w:sz w:val="20"/>
          <w:szCs w:val="20"/>
          <w:shd w:val="clear" w:color="auto" w:fill="EFEFEF"/>
        </w:rPr>
        <w:t xml:space="preserve">Dokumentation/aktuell/Softwarearchitektur_Gebaeudesimulation_EPOS-Plan.md</w:t>
      </w:r>
      <w:r>
        <w:t xml:space="preserve"> (Kapitel 3), </w:t>
      </w:r>
      <w:r>
        <w:rPr>
          <w:rFonts w:ascii="Consolas" w:hAnsi="Consolas" w:cs="Consolas"/>
          <w:noProof/>
          <w:sz w:val="20"/>
          <w:szCs w:val="20"/>
          <w:shd w:val="clear" w:color="auto" w:fill="EFEFEF"/>
        </w:rPr>
        <w:t xml:space="preserve">Dokumentation/aktuell/Umsetzungskonzept_Gebaeudesimulation_VDI6007_EPOS-Plan.md</w:t>
      </w:r>
      <w:r>
        <w:t xml:space="preserve"> (Kapitel 2), </w:t>
      </w:r>
      <w:r>
        <w:rPr>
          <w:rFonts w:ascii="Consolas" w:hAnsi="Consolas" w:cs="Consolas"/>
          <w:noProof/>
          <w:sz w:val="20"/>
          <w:szCs w:val="20"/>
          <w:shd w:val="clear" w:color="auto" w:fill="EFEFEF"/>
        </w:rPr>
        <w:t xml:space="preserve">Dokumentation/aktuell/Konzept_Mehrzonenmodell_IFC_EPOS-Plan.md</w:t>
      </w:r>
      <w:r>
        <w:t xml:space="preserve"> (6.7) und </w:t>
      </w:r>
      <w:r>
        <w:rPr>
          <w:rFonts w:ascii="Consolas" w:hAnsi="Consolas" w:cs="Consolas"/>
          <w:noProof/>
          <w:sz w:val="20"/>
          <w:szCs w:val="20"/>
          <w:shd w:val="clear" w:color="auto" w:fill="EFEFEF"/>
        </w:rPr>
        <w:t xml:space="preserve">Dokumentation/aktuell/Gebaeudesimulation/2026-09-15_Befund_U_Dialogfuehrung_Bestand.md</w:t>
      </w:r>
      <w:r>
        <w:t xml:space="preserve">.</w:t>
      </w:r>
    </w:p>
    <w:p>
      <w:pPr>
        <w:pStyle w:val="Trennlinie"/>
      </w:pPr>
    </w:p>
    <w:p>
      <w:pPr>
        <w:pStyle w:val="Heading1"/>
      </w:pPr>
      <w:r>
        <w:t xml:space="preserve">6 Integration</w:t>
      </w:r>
    </w:p>
    <w:p>
      <w:r>
        <w:t xml:space="preserve">Die Integration berührt </w:t>
      </w:r>
      <w:r>
        <w:rPr>
          <w:b/>
        </w:rPr>
        <w:t xml:space="preserve">sieben Stellen, jede benannt</w:t>
      </w:r>
      <w:r>
        <w:t xml:space="preserve">: die </w:t>
      </w:r>
      <w:r>
        <w:rPr>
          <w:b/>
        </w:rPr>
        <w:t xml:space="preserve">eine Weiche</w:t>
      </w:r>
      <w:r>
        <w:t xml:space="preserve"> im Lauf, den Bedarfsdialog, Bericht und Kennzahlen, den Referenzlauf-Export, den ubuntu-Workflow, den iOS-Prüfmodus und die Lizenzhinweisseite des Installationspakets.</w:t>
      </w:r>
    </w:p>
    <w:p>
      <w:pPr>
        <w:pStyle w:val="Heading2"/>
      </w:pPr>
      <w:r>
        <w:t xml:space="preserve">6.1 Die Andockstelle im Lauf</w:t>
      </w:r>
    </w:p>
    <w:p>
      <w:r>
        <w:rPr>
          <w:b/>
        </w:rPr>
        <w:t xml:space="preserve">Zwei Aufrufer, ein Vorbereitungsschritt, eine Weiche.</w:t>
      </w:r>
      <w:r>
        <w:t xml:space="preserve"> Die Wärme eines Gebäudes entsteht in genau einer Methode; sie hat zwei Aufrufer — die Gebäudeschleife des Laufs und die Auskunft je Gebäude. </w:t>
      </w:r>
      <w:r>
        <w:rPr>
          <w:rFonts w:ascii="Consolas" w:hAnsi="Consolas" w:cs="Consolas"/>
          <w:noProof/>
          <w:sz w:val="20"/>
          <w:szCs w:val="20"/>
          <w:shd w:val="clear" w:color="auto" w:fill="EFEFEF"/>
        </w:rPr>
        <w:t xml:space="preserve">SimulationWaermebedarf</w:t>
      </w:r>
      <w:r>
        <w:t xml:space="preserve"> wird mit </w:t>
      </w:r>
      <w:r>
        <w:rPr>
          <w:b/>
        </w:rPr>
        <w:t xml:space="preserve">E20</w:t>
      </w:r>
      <w:r>
        <w:t xml:space="preserve"> zur </w:t>
      </w:r>
      <w:r>
        <w:rPr>
          <w:b/>
        </w:rPr>
        <w:t xml:space="preserve">Fassade</w:t>
      </w:r>
      <w:r>
        <w:t xml:space="preserve">: Ein </w:t>
      </w:r>
      <w:r>
        <w:rPr>
          <w:b/>
        </w:rPr>
        <w:t xml:space="preserve">modellfreier Vorbereitungsschritt</w:t>
      </w:r>
      <w:r>
        <w:t xml:space="preserve"> liefert, was beide Rechenwege brauchen — Bewohnerzahl aus der Nutzfläche, Skalierungsfaktor nach E8, Klimareihen —, und danach liest </w:t>
      </w:r>
      <w:r>
        <w:rPr>
          <w:b/>
        </w:rPr>
        <w:t xml:space="preserve">eine Weiche</w:t>
      </w:r>
      <w:r>
        <w:t xml:space="preserve"> den Rechenweg des Gebäudes und ruft genau ein Modul. Einen zweiten Verzweigungspunkt gibt es nicht; die Modellwahl ist durch keine zweite Methode mehr durchzureichen, die Frage </w:t>
      </w:r>
      <w:r>
        <w:rPr>
          <w:b/>
        </w:rPr>
        <w:t xml:space="preserve">A16</w:t>
      </w:r>
      <w:r>
        <w:t xml:space="preserve"> ist gegenstandslos, und die Verhältnisrechnung kann keine zwei Wege mehr mischen. Neben der Wärmefassade steht mit </w:t>
      </w:r>
      <w:r>
        <w:rPr>
          <w:b/>
        </w:rPr>
        <w:t xml:space="preserve">E21</w:t>
      </w:r>
      <w:r>
        <w:t xml:space="preserve"> die Fassade </w:t>
      </w:r>
      <w:r>
        <w:rPr>
          <w:rFonts w:ascii="Consolas" w:hAnsi="Consolas" w:cs="Consolas"/>
          <w:noProof/>
          <w:sz w:val="20"/>
          <w:szCs w:val="20"/>
          <w:shd w:val="clear" w:color="auto" w:fill="EFEFEF"/>
        </w:rPr>
        <w:t xml:space="preserve">SimulationKaeltebedarf</w:t>
      </w:r>
      <w:r>
        <w:t xml:space="preserve"> — </w:t>
      </w:r>
      <w:r>
        <w:rPr>
          <w:b/>
        </w:rPr>
        <w:t xml:space="preserve">hinter demselben Vorbereitungsschritt und auf demselben Lauf des VDI-Moduls</w:t>
      </w:r>
      <w:r>
        <w:t xml:space="preserve">, denn Heiz- und Kühllast fallen in derselben Stunde an.</w:t>
      </w:r>
    </w:p>
    <w:p>
      <w:r>
        <w:rPr>
          <w:b/>
        </w:rPr>
        <w:t xml:space="preserve">Zwei Module, die einander nicht kennen.</w:t>
      </w:r>
      <w:r>
        <w:t xml:space="preserve"> Der Tagesbilanz-Weg wandert </w:t>
      </w:r>
      <w:r>
        <w:rPr>
          <w:b/>
        </w:rPr>
        <w:t xml:space="preserve">Zeichen für Zeichen</w:t>
      </w:r>
      <w:r>
        <w:t xml:space="preserve"> nach </w:t>
      </w:r>
      <w:r>
        <w:rPr>
          <w:rFonts w:ascii="Consolas" w:hAnsi="Consolas" w:cs="Consolas"/>
          <w:noProof/>
          <w:sz w:val="20"/>
          <w:szCs w:val="20"/>
          <w:shd w:val="clear" w:color="auto" w:fill="EFEFEF"/>
        </w:rPr>
        <w:t xml:space="preserve">EPOS.Kern/Allgemein/Simulation/Altweg/</w:t>
      </w:r>
      <w:r>
        <w:t xml:space="preserve"> — Tageswerte rechnen, Tagesverteilung lesen, Abbruch bei fehlender Verteilung, Puffer nullen, Stundenwerte verteilen —, bekommt dort keine neue Funktion mehr und wird allein gegen die Referenzbasis gehalten. </w:t>
      </w:r>
      <w:r>
        <w:rPr>
          <w:b/>
        </w:rPr>
        <w:t xml:space="preserve">Die Verschiebung ist der erste Schritt von G1 und wird mit einem byte-gleichen Referenzlauf abgenommen</w:t>
      </w:r>
      <w:r>
        <w:t xml:space="preserve">, bevor der VDI-Weg angebunden wird; die Bestandsbefunde GB werden </w:t>
      </w:r>
      <w:r>
        <w:rPr>
          <w:b/>
        </w:rPr>
        <w:t xml:space="preserve">vor</w:t>
      </w:r>
      <w:r>
        <w:t xml:space="preserve"> ihr behoben, damit das verschobene Modul der geprüfte Stand ist. Der VDI-Weg lebt in </w:t>
      </w:r>
      <w:r>
        <w:rPr>
          <w:rFonts w:ascii="Consolas" w:hAnsi="Consolas" w:cs="Consolas"/>
          <w:noProof/>
          <w:sz w:val="20"/>
          <w:szCs w:val="20"/>
          <w:shd w:val="clear" w:color="auto" w:fill="EFEFEF"/>
        </w:rPr>
        <w:t xml:space="preserve">Gebaeude/</w:t>
      </w:r>
      <w:r>
        <w:t xml:space="preserve"> und ruft </w:t>
      </w:r>
      <w:r>
        <w:rPr>
          <w:b/>
        </w:rPr>
        <w:t xml:space="preserve">nichts</w:t>
      </w:r>
      <w:r>
        <w:t xml:space="preserve"> aus dem Altweg: Er braucht keine Tagesverteilung und erbt deshalb auch deren Abbruch nicht. Beide füllen denselben Puffer, in </w:t>
      </w:r>
      <w:r>
        <w:rPr>
          <w:b/>
        </w:rPr>
        <w:t xml:space="preserve">Watt</w:t>
      </w:r>
      <w:r>
        <w:t xml:space="preserve">; auf der Kälteseite hat der Altweg kein Gegenstück und liefert </w:t>
      </w:r>
      <w:r>
        <w:rPr>
          <w:b/>
        </w:rPr>
        <w:t xml:space="preserve">0 mit Hinweis</w:t>
      </w:r>
      <w:r>
        <w:t xml:space="preserve">.</w:t>
      </w:r>
    </w:p>
    <w:p>
      <w:r>
        <w:t xml:space="preserve">Alles davor und dahinter bleibt unberührt: der Einheiten- und Bewohnerzweig — jetzt der Vorbereitungsschritt </w:t>
      </w:r>
      <w:r>
        <w:rPr>
          <w:b/>
        </w:rPr>
        <w:t xml:space="preserve">vor</w:t>
      </w:r>
      <w:r>
        <w:t xml:space="preserve"> der Weiche —, die Addition in den Kanal Heizung, die unabhängige Energieprobe, die Summe über alle Gebäude, die eine Umrechnung nach kW, die Dauerlinie, der Erzeugerlauf, das Ergebnismodell, der Bericht. </w:t>
      </w:r>
      <w:r>
        <w:rPr>
          <w:b/>
        </w:rPr>
        <w:t xml:space="preserve">Die Skalierung bleibt Teil der Rechnung</w:t>
      </w:r>
      <w:r>
        <w:t xml:space="preserve">: Ihren Faktor liefert der Vorbereitungsschritt, die Verhältnisrechnung selbst führt das VDI-Modul — sie fällt ihm nicht zu. An die Stelle eines toten Feldes tritt die </w:t>
      </w:r>
      <w:r>
        <w:rPr>
          <w:b/>
        </w:rPr>
        <w:t xml:space="preserve">Liste der Gebäudeergebnisse</w:t>
      </w:r>
      <w:r>
        <w:t xml:space="preserve">; zugleich fällt die 100er-Grenze, ergebnisneutral, in GB, wo die Schleife ohnehin angefasst wird.</w:t>
      </w:r>
    </w:p>
    <w:p>
      <w:pPr>
        <w:pStyle w:val="Diagrammbild"/>
      </w:pPr>
      <w:r>
        <w:drawing>
          <wp:inline xmlns:wp="http://schemas.openxmlformats.org/drawingml/2006/wordprocessingDrawing" distT="0" distB="0" distL="0" distR="0">
            <wp:extent cx="6120130" cy="638789"/>
            <wp:effectExtent l="0" t="0" r="0" b="0"/>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11.png"/>
                    <pic:cNvPicPr/>
                  </pic:nvPicPr>
                  <pic:blipFill>
                    <a:blip xmlns:r="http://schemas.openxmlformats.org/officeDocument/2006/relationships" r:embed="Rb2dd00e42bd745c0"/>
                    <a:stretch>
                      <a:fillRect/>
                    </a:stretch>
                  </pic:blipFill>
                  <pic:spPr>
                    <a:xfrm>
                      <a:off x="0" y="0"/>
                      <a:ext cx="6120130" cy="638789"/>
                    </a:xfrm>
                    <a:prstGeom prst="rect">
                      <a:avLst/>
                    </a:prstGeom>
                  </pic:spPr>
                </pic:pic>
              </a:graphicData>
            </a:graphic>
          </wp:inline>
        </w:drawing>
      </w:r>
    </w:p>
    <w:p>
      <w:pPr>
        <w:pStyle w:val="Bildunterschrift"/>
      </w:pPr>
      <w:r>
        <w:rPr>
          <w:i/>
          <w:iCs/>
        </w:rPr>
        <w:t xml:space="preserve">Bild 11: 6.1 Die Andockstelle im Lauf</w:t>
      </w:r>
    </w:p>
    <w:p>
      <w:pPr>
        <w:pStyle w:val="Heading2"/>
      </w:pPr>
      <w:r>
        <w:t xml:space="preserve">6.2 Bedarfsdialog und Auskunft</w:t>
      </w:r>
    </w:p>
    <w:p>
      <w:r>
        <w:rPr>
          <w:b/>
        </w:rPr>
        <w:t xml:space="preserve">Eine Auskunft ruft den Rechenweg des Laufs — sie schreibt ihn nicht ab.</w:t>
      </w:r>
      <w:r>
        <w:t xml:space="preserve"> Der Bedarfsdialog rechnet über denselben Controller, und dieser Weg ruft dieselbe Fassade wie die Gebäudeschleife; die </w:t>
      </w:r>
      <w:r>
        <w:rPr>
          <w:b/>
        </w:rPr>
        <w:t xml:space="preserve">eine Weiche</w:t>
      </w:r>
      <w:r>
        <w:t xml:space="preserve"> trägt den Dialog damit automatisch mit. Der </w:t>
      </w:r>
      <w:r>
        <w:rPr>
          <w:b/>
        </w:rPr>
        <w:t xml:space="preserve">vierte Parameter für den erzwungenen Rechenweg</w:t>
      </w:r>
      <w:r>
        <w:t xml:space="preserve"> macht den Vergleich beider Wege zu </w:t>
      </w:r>
      <w:r>
        <w:rPr>
          <w:b/>
        </w:rPr>
        <w:t xml:space="preserve">zwei Aufrufen desselben Controllers</w:t>
      </w:r>
      <w:r>
        <w:t xml:space="preserve">: NULL für den Spaltenwert, der Gegenwert für die andere Seite der Tabelle. Er wirkt allein auf der gelesenen Modellinstanz und schreibt nichts — weder die Spalte noch eine Einstellung. Alle neuen Felder sind nullbar; ohne Wert steht ein Gedankenstrich. </w:t>
      </w:r>
      <w:r>
        <w:rPr>
          <w:b/>
        </w:rPr>
        <w:t xml:space="preserve">Der Vergleich bleibt dauerhaft</w:t>
      </w:r>
      <w:r>
        <w:t xml:space="preserve"> — beide Rechenwege bestehen nebeneinander (E23); der </w:t>
      </w:r>
      <w:r>
        <w:rPr>
          <w:b/>
        </w:rPr>
        <w:t xml:space="preserve">Abschnitt „Kältebedarf"</w:t>
      </w:r>
      <w:r>
        <w:t xml:space="preserve"> bleibt ebenso und ist nach demselben Muster gebaut wie der Wärmebedarf — Jahreswert, Spitze, Ganglinie, Deckung (E21).</w:t>
      </w:r>
    </w:p>
    <w:p>
      <w:pPr>
        <w:pStyle w:val="Heading2"/>
      </w:pPr>
      <w:r>
        <w:t xml:space="preserve">6.3 Bericht und Kennzahlen</w:t>
      </w:r>
    </w:p>
    <w:p>
      <w:r>
        <w:t xml:space="preserve">Fünf neue Kennzahlen mit stabilem Schlüssel; jede trägt </w:t>
      </w:r>
      <w:r>
        <w:rPr>
          <w:b/>
        </w:rPr>
        <w:t xml:space="preserve">acht</w:t>
      </w:r>
      <w:r>
        <w:t xml:space="preserve"> Stücke — Schlüssel, deutschen und englischen Namen, Einheit, Gruppe, Zahlenformat, Delta-Kennzeichen und den Wertzugriff.</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Kennzahl</w:t>
            </w:r>
          </w:p>
        </w:tc>
        <w:tc>
          <w:tcPr>
            <w:tcW w:w="0" w:type="auto"/>
            <w:shd w:val="clear" w:color="auto" w:fill="D9D9D9"/>
          </w:tcPr>
          <w:p>
            <w:pPr>
              <w:spacing w:after="0" w:line="240" w:lineRule="auto"/>
              <w:rPr>
                <w:b/>
              </w:rPr>
            </w:pPr>
            <w:r>
              <w:rPr>
                <w:b/>
              </w:rPr>
              <w:t xml:space="preserve">Einheit</w:t>
            </w:r>
          </w:p>
        </w:tc>
        <w:tc>
          <w:tcPr>
            <w:tcW w:w="0" w:type="auto"/>
            <w:shd w:val="clear" w:color="auto" w:fill="D9D9D9"/>
          </w:tcPr>
          <w:p>
            <w:pPr>
              <w:spacing w:after="0" w:line="240" w:lineRule="auto"/>
              <w:rPr>
                <w:b/>
              </w:rPr>
            </w:pPr>
            <w:r>
              <w:rPr>
                <w:b/>
              </w:rPr>
              <w:t xml:space="preserve">Aggregation über Gebäude</w:t>
            </w:r>
          </w:p>
        </w:tc>
      </w:tr>
      <w:tr>
        <w:tc>
          <w:tcPr>
            <w:tcW w:w="0" w:type="auto"/>
          </w:tcPr>
          <w:p>
            <w:pPr>
              <w:spacing w:after="0" w:line="240" w:lineRule="auto"/>
            </w:pPr>
            <w:r>
              <w:t xml:space="preserve">mittlere Raumtemperatur in der Heizzeit</w:t>
            </w:r>
          </w:p>
        </w:tc>
        <w:tc>
          <w:tcPr>
            <w:tcW w:w="0" w:type="auto"/>
          </w:tcPr>
          <w:p>
            <w:pPr>
              <w:spacing w:after="0" w:line="240" w:lineRule="auto"/>
            </w:pPr>
            <w:r>
              <w:t xml:space="preserve">°C</w:t>
            </w:r>
          </w:p>
        </w:tc>
        <w:tc>
          <w:tcPr>
            <w:tcW w:w="0" w:type="auto"/>
          </w:tcPr>
          <w:p>
            <w:pPr>
              <w:spacing w:after="0" w:line="240" w:lineRule="auto"/>
            </w:pPr>
            <w:r>
              <w:rPr>
                <w:b/>
              </w:rPr>
              <w:t xml:space="preserve">flächengewichtetes Mittel</w:t>
            </w:r>
          </w:p>
        </w:tc>
      </w:tr>
      <w:tr>
        <w:tc>
          <w:tcPr>
            <w:tcW w:w="0" w:type="auto"/>
          </w:tcPr>
          <w:p>
            <w:pPr>
              <w:spacing w:after="0" w:line="240" w:lineRule="auto"/>
            </w:pPr>
            <w:r>
              <w:t xml:space="preserve">Kühlbedarf (informativ)</w:t>
            </w:r>
          </w:p>
        </w:tc>
        <w:tc>
          <w:tcPr>
            <w:tcW w:w="0" w:type="auto"/>
          </w:tcPr>
          <w:p>
            <w:pPr>
              <w:spacing w:after="0" w:line="240" w:lineRule="auto"/>
            </w:pPr>
            <w:r>
              <w:t xml:space="preserve">MWh/a</w:t>
            </w:r>
          </w:p>
        </w:tc>
        <w:tc>
          <w:tcPr>
            <w:tcW w:w="0" w:type="auto"/>
          </w:tcPr>
          <w:p>
            <w:pPr>
              <w:spacing w:after="0" w:line="240" w:lineRule="auto"/>
            </w:pPr>
            <w:r>
              <w:rPr>
                <w:b/>
              </w:rPr>
              <w:t xml:space="preserve">Summe</w:t>
            </w:r>
          </w:p>
        </w:tc>
      </w:tr>
      <w:tr>
        <w:tc>
          <w:tcPr>
            <w:tcW w:w="0" w:type="auto"/>
          </w:tcPr>
          <w:p>
            <w:pPr>
              <w:spacing w:after="0" w:line="240" w:lineRule="auto"/>
            </w:pPr>
            <w:r>
              <w:t xml:space="preserve">Spitzenlast (Tagesmittel)</w:t>
            </w:r>
          </w:p>
        </w:tc>
        <w:tc>
          <w:tcPr>
            <w:tcW w:w="0" w:type="auto"/>
          </w:tcPr>
          <w:p>
            <w:pPr>
              <w:spacing w:after="0" w:line="240" w:lineRule="auto"/>
            </w:pPr>
            <w:r>
              <w:t xml:space="preserve">kW</w:t>
            </w:r>
          </w:p>
        </w:tc>
        <w:tc>
          <w:tcPr>
            <w:tcW w:w="0" w:type="auto"/>
          </w:tcPr>
          <w:p>
            <w:pPr>
              <w:spacing w:after="0" w:line="240" w:lineRule="auto"/>
            </w:pPr>
            <w:r>
              <w:rPr>
                <w:b/>
              </w:rPr>
              <w:t xml:space="preserve">Summe der gleichzeitigen Werte</w:t>
            </w:r>
            <w:r>
              <w:t xml:space="preserve"> des Kanalvektors, nicht der Einzelspitzen</w:t>
            </w:r>
          </w:p>
        </w:tc>
      </w:tr>
      <w:tr>
        <w:tc>
          <w:tcPr>
            <w:tcW w:w="0" w:type="auto"/>
          </w:tcPr>
          <w:p>
            <w:pPr>
              <w:spacing w:after="0" w:line="240" w:lineRule="auto"/>
            </w:pPr>
            <w:r>
              <w:t xml:space="preserve">95-%-Quantil der Stundenlast</w:t>
            </w:r>
          </w:p>
        </w:tc>
        <w:tc>
          <w:tcPr>
            <w:tcW w:w="0" w:type="auto"/>
          </w:tcPr>
          <w:p>
            <w:pPr>
              <w:spacing w:after="0" w:line="240" w:lineRule="auto"/>
            </w:pPr>
            <w:r>
              <w:t xml:space="preserve">kW</w:t>
            </w:r>
          </w:p>
        </w:tc>
        <w:tc>
          <w:tcPr>
            <w:tcW w:w="0" w:type="auto"/>
          </w:tcPr>
          <w:p>
            <w:pPr>
              <w:spacing w:after="0" w:line="240" w:lineRule="auto"/>
            </w:pPr>
            <w:r>
              <w:t xml:space="preserve">über den </w:t>
            </w:r>
            <w:r>
              <w:rPr>
                <w:b/>
              </w:rPr>
              <w:t xml:space="preserve">Kanalvektor</w:t>
            </w:r>
            <w:r>
              <w:t xml:space="preserve">, nicht je Gebäude</w:t>
            </w:r>
          </w:p>
        </w:tc>
      </w:tr>
      <w:tr>
        <w:tc>
          <w:tcPr>
            <w:tcW w:w="0" w:type="auto"/>
          </w:tcPr>
          <w:p>
            <w:pPr>
              <w:spacing w:after="0" w:line="240" w:lineRule="auto"/>
            </w:pPr>
            <w:r>
              <w:t xml:space="preserve">Übertemperaturstunden</w:t>
            </w:r>
          </w:p>
        </w:tc>
        <w:tc>
          <w:tcPr>
            <w:tcW w:w="0" w:type="auto"/>
          </w:tcPr>
          <w:p>
            <w:pPr>
              <w:spacing w:after="0" w:line="240" w:lineRule="auto"/>
            </w:pPr>
            <w:r>
              <w:t xml:space="preserve">h/a</w:t>
            </w:r>
          </w:p>
        </w:tc>
        <w:tc>
          <w:tcPr>
            <w:tcW w:w="0" w:type="auto"/>
          </w:tcPr>
          <w:p>
            <w:pPr>
              <w:spacing w:after="0" w:line="240" w:lineRule="auto"/>
            </w:pPr>
            <w:r>
              <w:rPr>
                <w:b/>
              </w:rPr>
              <w:t xml:space="preserve">Maximum</w:t>
            </w:r>
            <w:r>
              <w:t xml:space="preserve"> über die Gebäude, mit dem führenden Gebäude als Herkunftszeile</w:t>
            </w:r>
          </w:p>
        </w:tc>
      </w:tr>
    </w:tbl>
    <w:p>
      <w:pPr>
        <w:spacing w:after="120"/>
      </w:pPr>
    </w:p>
    <w:p>
      <w:r>
        <w:rPr>
          <w:b/>
        </w:rPr>
        <w:t xml:space="preserve">Fünf Kennzahlen im Bericht, zwei weitere Größen nur im Export.</w:t>
      </w:r>
      <w:r>
        <w:t xml:space="preserve"> Die Anforderung nennt je Gebäude sieben Größen; zwei davon bekommen </w:t>
      </w:r>
      <w:r>
        <w:rPr>
          <w:b/>
        </w:rPr>
        <w:t xml:space="preserve">keinen</w:t>
      </w:r>
      <w:r>
        <w:t xml:space="preserve"> Katalogeintrag: „Stunden mit Kühlbedarf" (eine Summe über Gebäude wäre sinnlos, ein Maximum wäre eine andere Aussage) und die </w:t>
      </w:r>
      <w:r>
        <w:rPr>
          <w:b/>
        </w:rPr>
        <w:t xml:space="preserve">Gebäudespitze</w:t>
      </w:r>
      <w:r>
        <w:t xml:space="preserve"> (sie steht schon als maximale Wärmelast über den Kanalvektor im Bericht). Beide stehen als Skalar je Gebäude im Referenzlauf-Export — dort ist das Gebäude die Zeile, und die Frage der Aggregation stellt sich nicht.</w:t>
      </w:r>
    </w:p>
    <w:p>
      <w:r>
        <w:rPr>
          <w:b/>
        </w:rPr>
        <w:t xml:space="preserve">Die Aggregationsregel gehört zur Kennzahl, nicht zur Anzeige:</w:t>
      </w:r>
      <w:r>
        <w:t xml:space="preserve"> eine Kennzahl liefert genau einen Skalar je Projekt, die Gebäudegrößen sind aber je Gebäude. Wo eine Summe sinnlos wäre, steht das gewichtete Mittel; wo eine Spitze sich nicht addieren lässt, steht der Wert aus dem Kanalvektor, in dem die Gleichzeitigkeiten schon stecken. </w:t>
      </w:r>
      <w:r>
        <w:rPr>
          <w:b/>
        </w:rPr>
        <w:t xml:space="preserve">Ein fehlender Wert bedeutet „für dieses Projekt nicht verfügbar" und wird als Gedankenstrich gezeigt, nie als 0.</w:t>
      </w:r>
      <w:r>
        <w:t xml:space="preserve"> Eine </w:t>
      </w:r>
      <w:r>
        <w:rPr>
          <w:b/>
        </w:rPr>
        <w:t xml:space="preserve">fünfte Kennzahlgruppe</w:t>
      </w:r>
      <w:r>
        <w:t xml:space="preserve"> für den Gebäudebereich kommt hinzu; der Katalog führt heute vier, und sein Kopf sagt das ausdrücklich. Sie ist damit eine Fortschreibung des Berichtskonzepts.</w:t>
      </w:r>
    </w:p>
    <w:p>
      <w:r>
        <w:t xml:space="preserve">Der Produktausweis nach E10 steht im Berichtskopf und auf der Wiki-Seite, im Wortlaut. </w:t>
      </w:r>
      <w:r>
        <w:rPr>
          <w:b/>
        </w:rPr>
        <w:t xml:space="preserve">Die Kennzeichnung der Testversion liegt an derselben Stelle und ersetzt ihn nicht</w:t>
      </w:r>
      <w:r>
        <w:t xml:space="preserve">: der Produktausweis sagt, </w:t>
      </w:r>
      <w:r>
        <w:rPr>
          <w:b/>
        </w:rPr>
        <w:t xml:space="preserve">womit</w:t>
      </w:r>
      <w:r>
        <w:t xml:space="preserve"> gerechnet wurde, das Wasserzeichen, </w:t>
      </w:r>
      <w:r>
        <w:rPr>
          <w:b/>
        </w:rPr>
        <w:t xml:space="preserve">unter welcher Lizenz</w:t>
      </w:r>
      <w:r>
        <w:t xml:space="preserve">. Die neuen Exportdateien tragen beides.</w:t>
      </w:r>
    </w:p>
    <w:p>
      <w:r>
        <w:rPr>
          <w:b/>
        </w:rPr>
        <w:t xml:space="preserve">Ein Gebäude auf dem Altweg trägt statt des Produktausweises die Zeile „Tagesbilanz (Bestandsweg)"</w:t>
      </w:r>
      <w:r>
        <w:t xml:space="preserve"> (E20, E23) — im Berichtskopf wie im Bedarfsdialog; ein Ausweis nach VDI 6007 wäre dort eine Unwahrheit. Die Kennzahlen der Kälteseite stehen im Bericht </w:t>
      </w:r>
      <w:r>
        <w:rPr>
          <w:b/>
        </w:rPr>
        <w:t xml:space="preserve">nach demselben Muster wie die der Wärmeseite</w:t>
      </w:r>
      <w:r>
        <w:t xml:space="preserve"> (E21): Jahreskälte, </w:t>
      </w:r>
      <w:r>
        <w:rPr>
          <w:rFonts w:ascii="Consolas" w:hAnsi="Consolas" w:cs="Consolas"/>
          <w:noProof/>
          <w:sz w:val="20"/>
          <w:szCs w:val="20"/>
          <w:shd w:val="clear" w:color="auto" w:fill="EFEFEF"/>
        </w:rPr>
        <w:t xml:space="preserve">Kaeltebedarf_Max</w:t>
      </w:r>
      <w:r>
        <w:t xml:space="preserve"> und Kühlstunden neben Jahresheizwärme, maximaler Wärmelast und Heizstunden, jede mit eigener Aggregationsregel; für ein Altweg-Gebäude steht dort </w:t>
      </w:r>
      <w:r>
        <w:rPr>
          <w:b/>
        </w:rPr>
        <w:t xml:space="preserve">0 mit Hinweis</w:t>
      </w:r>
      <w:r>
        <w:t xml:space="preserve">, nie ein Gedankenstrich, der eine fehlende Angabe bedeutete.</w:t>
      </w:r>
    </w:p>
    <w:p>
      <w:pPr>
        <w:pStyle w:val="Heading2"/>
      </w:pPr>
      <w:r>
        <w:t xml:space="preserve">6.4 Referenzlauf-Export und Basis</w:t>
      </w:r>
    </w:p>
    <w:tbl>
      <w:tblPr>
        <w:tblStyle w:val="TableGrid"/>
        <w:tblW w:w="5000" w:type="pct"/>
        <w:tblLayout w:type="autofit"/>
        <w:tblLook w:val="04A0" w:firstRow="true" w:lastRow="false" w:firstColumn="false" w:lastColumn="false" w:noHBand="false" w:noVBand="true"/>
      </w:tblPr>
      <w:tblGrid>
        <w:gridCol w:w="4819"/>
        <w:gridCol w:w="4819"/>
      </w:tblGrid>
      <w:tr>
        <w:trPr>
          <w:tblHeader/>
        </w:trPr>
        <w:tc>
          <w:tcPr>
            <w:tcW w:w="0" w:type="auto"/>
            <w:shd w:val="clear" w:color="auto" w:fill="D9D9D9"/>
          </w:tcPr>
          <w:p>
            <w:pPr>
              <w:spacing w:after="0" w:line="240" w:lineRule="auto"/>
              <w:rPr>
                <w:b/>
              </w:rPr>
            </w:pPr>
            <w:r>
              <w:rPr>
                <w:b/>
              </w:rPr>
              <w:t xml:space="preserve">Was</w:t>
            </w:r>
          </w:p>
        </w:tc>
        <w:tc>
          <w:tcPr>
            <w:tcW w:w="0" w:type="auto"/>
            <w:shd w:val="clear" w:color="auto" w:fill="D9D9D9"/>
          </w:tcPr>
          <w:p>
            <w:pPr>
              <w:spacing w:after="0" w:line="240" w:lineRule="auto"/>
              <w:rPr>
                <w:b/>
              </w:rPr>
            </w:pPr>
            <w:r>
              <w:rPr>
                <w:b/>
              </w:rPr>
              <w:t xml:space="preserve">Wie</w:t>
            </w:r>
          </w:p>
        </w:tc>
      </w:tr>
      <w:tr>
        <w:tc>
          <w:tcPr>
            <w:tcW w:w="0" w:type="auto"/>
          </w:tcPr>
          <w:p>
            <w:pPr>
              <w:spacing w:after="0" w:line="240" w:lineRule="auto"/>
            </w:pPr>
            <w:r>
              <w:rPr>
                <w:b/>
              </w:rPr>
              <w:t xml:space="preserve">Drei neue Vektordateien je Gebäude</w:t>
            </w:r>
          </w:p>
        </w:tc>
        <w:tc>
          <w:tcPr>
            <w:tcW w:w="0" w:type="auto"/>
          </w:tcPr>
          <w:p>
            <w:pPr>
              <w:spacing w:after="0" w:line="240" w:lineRule="auto"/>
            </w:pPr>
            <w:r>
              <w:t xml:space="preserve">Raumtemperatur, operative Temperatur, Kühlbedarf, je mit der stabilen Kennung </w:t>
            </w:r>
            <w:r>
              <w:rPr>
                <w:rFonts w:ascii="Consolas" w:hAnsi="Consolas" w:cs="Consolas"/>
                <w:noProof/>
                <w:sz w:val="20"/>
                <w:szCs w:val="20"/>
                <w:shd w:val="clear" w:color="auto" w:fill="EFEFEF"/>
              </w:rPr>
              <w:t xml:space="preserve">ID_ProjektGebaeude</w:t>
            </w:r>
            <w:r>
              <w:t xml:space="preserve"> im Namen (Rückfall: ein laufender Zähler), </w:t>
            </w:r>
            <w:r>
              <w:rPr>
                <w:b/>
              </w:rPr>
              <w:t xml:space="preserve">nie mit dem Schleifenindex</w:t>
            </w:r>
            <w:r>
              <w:t xml:space="preserve"> — ein Schleifenindex verschöbe alle Dateinamen und damit die Basis, sobald ein Gebäude eingefügt oder gelöscht wird. Format wie alle Vektordateien: Kühlbedarf </w:t>
            </w:r>
            <w:r>
              <w:rPr>
                <w:b/>
              </w:rPr>
              <w:t xml:space="preserve">in kWh</w:t>
            </w:r>
            <w:r>
              <w:t xml:space="preserve"> (die Wattform bleibt intern), Raumluft- und operative Temperatur in </w:t>
            </w:r>
            <w:r>
              <w:rPr>
                <w:b/>
              </w:rPr>
              <w:t xml:space="preserve">°C</w:t>
            </w:r>
            <w:r>
              <w:t xml:space="preserve">, weil sie Zustandsgrößen und keine Energiemengen sind; bei den Temperaturreihen ist die Vektorsumme kein Jahreswert, sondern ein Vergleichsanker</w:t>
            </w:r>
          </w:p>
        </w:tc>
      </w:tr>
      <w:tr>
        <w:tc>
          <w:tcPr>
            <w:tcW w:w="0" w:type="auto"/>
          </w:tcPr>
          <w:p>
            <w:pPr>
              <w:spacing w:after="0" w:line="240" w:lineRule="auto"/>
            </w:pPr>
            <w:r>
              <w:rPr>
                <w:b/>
              </w:rPr>
              <w:t xml:space="preserve">Skalare</w:t>
            </w:r>
          </w:p>
        </w:tc>
        <w:tc>
          <w:tcPr>
            <w:tcW w:w="0" w:type="auto"/>
          </w:tcPr>
          <w:p>
            <w:pPr>
              <w:spacing w:after="0" w:line="240" w:lineRule="auto"/>
            </w:pPr>
            <w:r>
              <w:t xml:space="preserve">mit Gebäudepräfix in der Sammeldatei: Gebäude-Id, Modell, Spitzenlast, Spitze im Tagesmittel, 95-%-Quantil, Kühlenergie, Stunden mit Kühlbedarf, mittlere Raumtemperatur, Heizwärme — </w:t>
            </w:r>
            <w:r>
              <w:rPr>
                <w:b/>
              </w:rPr>
              <w:t xml:space="preserve">Einheit im Namen</w:t>
            </w:r>
            <w:r>
              <w:t xml:space="preserve">, Jahressummen in MWh</w:t>
            </w:r>
          </w:p>
        </w:tc>
      </w:tr>
      <w:tr>
        <w:tc>
          <w:tcPr>
            <w:tcW w:w="0" w:type="auto"/>
          </w:tcPr>
          <w:p>
            <w:pPr>
              <w:spacing w:after="0" w:line="240" w:lineRule="auto"/>
            </w:pPr>
            <w:r>
              <w:rPr>
                <w:b/>
              </w:rPr>
              <w:t xml:space="preserve">Die Bedingung</w:t>
            </w:r>
          </w:p>
        </w:tc>
        <w:tc>
          <w:tcPr>
            <w:tcW w:w="0" w:type="auto"/>
          </w:tcPr>
          <w:p>
            <w:pPr>
              <w:spacing w:after="0" w:line="240" w:lineRule="auto"/>
            </w:pPr>
            <w:r>
              <w:t xml:space="preserve">der Block läuft </w:t>
            </w:r>
            <w:r>
              <w:rPr>
                <w:b/>
              </w:rPr>
              <w:t xml:space="preserve">nur</w:t>
            </w:r>
            <w:r>
              <w:t xml:space="preserve">, wenn das Projekt mindestens ein Gebäude im Stundenmodell führt</w:t>
            </w:r>
          </w:p>
        </w:tc>
      </w:tr>
      <w:tr>
        <w:tc>
          <w:tcPr>
            <w:tcW w:w="0" w:type="auto"/>
          </w:tcPr>
          <w:p>
            <w:pPr>
              <w:spacing w:after="0" w:line="240" w:lineRule="auto"/>
            </w:pPr>
            <w:r>
              <w:rPr>
                <w:b/>
              </w:rPr>
              <w:t xml:space="preserve">Warum das Bedingung ist</w:t>
            </w:r>
          </w:p>
        </w:tc>
        <w:tc>
          <w:tcPr>
            <w:tcW w:w="0" w:type="auto"/>
          </w:tcPr>
          <w:p>
            <w:pPr>
              <w:spacing w:after="0" w:line="240" w:lineRule="auto"/>
            </w:pPr>
            <w:r>
              <w:t xml:space="preserve">der Vergleich kennt nur einen </w:t>
            </w:r>
            <w:r>
              <w:rPr>
                <w:b/>
              </w:rPr>
              <w:t xml:space="preserve">Schlüssel</w:t>
            </w:r>
            <w:r>
              <w:t xml:space="preserve">-Ausschluss innerhalb einer Datei, keinen </w:t>
            </w:r>
            <w:r>
              <w:rPr>
                <w:b/>
              </w:rPr>
              <w:t xml:space="preserve">Datei</w:t>
            </w:r>
            <w:r>
              <w:t xml:space="preserve">-Ausschluss; eine Datei, die nur in einem der beiden Läufe liegt, bekommt die höchste Schwere und ist FAIL ohne Schalter dagegen. Die drei Reihen dürfen für Tagesbilanz-Gebäude deshalb </w:t>
            </w:r>
            <w:r>
              <w:rPr>
                <w:b/>
              </w:rPr>
              <w:t xml:space="preserve">gar nicht entstehen</w:t>
            </w:r>
            <w:r>
              <w:t xml:space="preserve"> — nicht „mit Nullen gefüllt"</w:t>
            </w:r>
          </w:p>
        </w:tc>
      </w:tr>
      <w:tr>
        <w:tc>
          <w:tcPr>
            <w:tcW w:w="0" w:type="auto"/>
          </w:tcPr>
          <w:p>
            <w:pPr>
              <w:spacing w:after="0" w:line="240" w:lineRule="auto"/>
            </w:pPr>
            <w:r>
              <w:rPr>
                <w:b/>
              </w:rPr>
              <w:t xml:space="preserve">Der Rückweg-Test</w:t>
            </w:r>
          </w:p>
        </w:tc>
        <w:tc>
          <w:tcPr>
            <w:tcW w:w="0" w:type="auto"/>
          </w:tcPr>
          <w:p>
            <w:pPr>
              <w:spacing w:after="0" w:line="240" w:lineRule="auto"/>
            </w:pPr>
            <w:r>
              <w:t xml:space="preserve">läuft auf einer </w:t>
            </w:r>
            <w:r>
              <w:rPr>
                <w:b/>
              </w:rPr>
              <w:t xml:space="preserve">gitignorierten Arbeitskopie</w:t>
            </w:r>
            <w:r>
              <w:t xml:space="preserve"> der Testdatenbank, die alle Gebäude auf den Altweg setzt; die eingefrorene Testdatenbank bleibt unberührt, der Schalter dafür ist ein eigener Modus des Referenzlaufs. </w:t>
            </w:r>
            <w:r>
              <w:rPr>
                <w:b/>
              </w:rPr>
              <w:t xml:space="preserve">Er bleibt dauerhaft</w:t>
            </w:r>
            <w:r>
              <w:t xml:space="preserve">, weil der Altweg dauerhaft bleibt (E23)</w:t>
            </w:r>
          </w:p>
        </w:tc>
      </w:tr>
      <w:tr>
        <w:tc>
          <w:tcPr>
            <w:tcW w:w="0" w:type="auto"/>
          </w:tcPr>
          <w:p>
            <w:pPr>
              <w:spacing w:after="0" w:line="240" w:lineRule="auto"/>
            </w:pPr>
            <w:r>
              <w:rPr>
                <w:b/>
              </w:rPr>
              <w:t xml:space="preserve">Die Verschiebung des Altwegs</w:t>
            </w:r>
          </w:p>
        </w:tc>
        <w:tc>
          <w:tcPr>
            <w:tcW w:w="0" w:type="auto"/>
          </w:tcPr>
          <w:p>
            <w:pPr>
              <w:spacing w:after="0" w:line="240" w:lineRule="auto"/>
            </w:pPr>
            <w:r>
              <w:t xml:space="preserve">eigener Schritt am Anfang von G1: derselbe Quelltext in </w:t>
            </w:r>
            <w:r>
              <w:rPr>
                <w:rFonts w:ascii="Consolas" w:hAnsi="Consolas" w:cs="Consolas"/>
                <w:noProof/>
                <w:sz w:val="20"/>
                <w:szCs w:val="20"/>
                <w:shd w:val="clear" w:color="auto" w:fill="EFEFEF"/>
              </w:rPr>
              <w:t xml:space="preserve">Altweg/</w:t>
            </w:r>
            <w:r>
              <w:t xml:space="preserve">, Fassade und Vorbereitungsschritt darum — Abnahme ist der </w:t>
            </w:r>
            <w:r>
              <w:rPr>
                <w:b/>
              </w:rPr>
              <w:t xml:space="preserve">byte-gleiche</w:t>
            </w:r>
            <w:r>
              <w:t xml:space="preserve"> Referenzlauf, nicht die Toleranz (E20)</w:t>
            </w:r>
          </w:p>
        </w:tc>
      </w:tr>
      <w:tr>
        <w:tc>
          <w:tcPr>
            <w:tcW w:w="0" w:type="auto"/>
          </w:tcPr>
          <w:p>
            <w:pPr>
              <w:spacing w:after="0" w:line="240" w:lineRule="auto"/>
            </w:pPr>
            <w:r>
              <w:rPr>
                <w:b/>
              </w:rPr>
              <w:t xml:space="preserve">Eine Fassung, zwei Werkzeuge</w:t>
            </w:r>
          </w:p>
        </w:tc>
        <w:tc>
          <w:tcPr>
            <w:tcW w:w="0" w:type="auto"/>
          </w:tcPr>
          <w:p>
            <w:pPr>
              <w:spacing w:after="0" w:line="240" w:lineRule="auto"/>
            </w:pPr>
            <w:r>
              <w:t xml:space="preserve">das plattformfreie und das Windows-Werkzeug teilen sich </w:t>
            </w:r>
            <w:r>
              <w:rPr>
                <w:b/>
              </w:rPr>
              <w:t xml:space="preserve">eine</w:t>
            </w:r>
            <w:r>
              <w:t xml:space="preserve"> Fassung von Export und Vergleich</w:t>
            </w:r>
          </w:p>
        </w:tc>
      </w:tr>
    </w:tbl>
    <w:p>
      <w:pPr>
        <w:spacing w:after="120"/>
      </w:pPr>
    </w:p>
    <w:p>
      <w:r>
        <w:t xml:space="preserve">Toleranz unverändert: Betrag ≥ 1 relativ 1e-4, sonst absolut 0,01; der Byte-Vergleich ist nur Information.</w:t>
      </w:r>
    </w:p>
    <w:p>
      <w:pPr>
        <w:pStyle w:val="Heading2"/>
      </w:pPr>
      <w:r>
        <w:t xml:space="preserve">6.5 CI, iOS-Prüfmodus, Setup und Lizenzseite</w:t>
      </w:r>
    </w:p>
    <w:tbl>
      <w:tblPr>
        <w:tblStyle w:val="TableGrid"/>
        <w:tblW w:w="5000" w:type="pct"/>
        <w:tblLayout w:type="autofit"/>
        <w:tblLook w:val="04A0" w:firstRow="true" w:lastRow="false" w:firstColumn="false" w:lastColumn="false" w:noHBand="false" w:noVBand="true"/>
      </w:tblPr>
      <w:tblGrid>
        <w:gridCol w:w="4819"/>
        <w:gridCol w:w="4819"/>
      </w:tblGrid>
      <w:tr>
        <w:trPr>
          <w:tblHeader/>
        </w:trPr>
        <w:tc>
          <w:tcPr>
            <w:tcW w:w="0" w:type="auto"/>
            <w:shd w:val="clear" w:color="auto" w:fill="D9D9D9"/>
          </w:tcPr>
          <w:p>
            <w:pPr>
              <w:spacing w:after="0" w:line="240" w:lineRule="auto"/>
              <w:rPr>
                <w:b/>
              </w:rPr>
            </w:pPr>
            <w:r>
              <w:rPr>
                <w:b/>
              </w:rPr>
              <w:t xml:space="preserve">Stelle</w:t>
            </w:r>
          </w:p>
        </w:tc>
        <w:tc>
          <w:tcPr>
            <w:tcW w:w="0" w:type="auto"/>
            <w:shd w:val="clear" w:color="auto" w:fill="D9D9D9"/>
          </w:tcPr>
          <w:p>
            <w:pPr>
              <w:spacing w:after="0" w:line="240" w:lineRule="auto"/>
              <w:rPr>
                <w:b/>
              </w:rPr>
            </w:pPr>
            <w:r>
              <w:rPr>
                <w:b/>
              </w:rPr>
              <w:t xml:space="preserve">Was je Stufe geschieht</w:t>
            </w:r>
          </w:p>
        </w:tc>
      </w:tr>
      <w:tr>
        <w:tc>
          <w:tcPr>
            <w:tcW w:w="0" w:type="auto"/>
          </w:tcPr>
          <w:p>
            <w:pPr>
              <w:spacing w:after="0" w:line="240" w:lineRule="auto"/>
            </w:pPr>
            <w:r>
              <w:rPr>
                <w:b/>
              </w:rPr>
              <w:t xml:space="preserve">Kern-Lauf auf ubuntu</w:t>
            </w:r>
            <w:r>
              <w:t xml:space="preserve"> (bei jedem Push)</w:t>
            </w:r>
          </w:p>
        </w:tc>
        <w:tc>
          <w:tcPr>
            <w:tcW w:w="0" w:type="auto"/>
          </w:tcPr>
          <w:p>
            <w:pPr>
              <w:spacing w:after="0" w:line="240" w:lineRule="auto"/>
            </w:pPr>
            <w:r>
              <w:t xml:space="preserve">Bau und Tests des plattformfreien Filters, Werkzeugtests, SQL-Dialekt-Prüfer, Diagrammproben, Referenzlauf der fünf Projekte gegen die Basis. </w:t>
            </w:r>
            <w:r>
              <w:rPr>
                <w:b/>
              </w:rPr>
              <w:t xml:space="preserve">Das ist der Nachweis für Kern, Oberfläche, Testdatenbank und Doku.</w:t>
            </w:r>
            <w:r>
              <w:t xml:space="preserve"> Ab G0 laufen die Normfälle </w:t>
            </w:r>
            <w:r>
              <w:rPr>
                <w:b/>
              </w:rPr>
              <w:t xml:space="preserve">schweigend</w:t>
            </w:r>
            <w:r>
              <w:t xml:space="preserve"> durch, weil die Zahlen nicht im Repositorium liegen — eine bewusste Lücke im Gate, die ins Protokoll gehört</w:t>
            </w:r>
          </w:p>
        </w:tc>
      </w:tr>
      <w:tr>
        <w:tc>
          <w:tcPr>
            <w:tcW w:w="0" w:type="auto"/>
          </w:tcPr>
          <w:p>
            <w:pPr>
              <w:spacing w:after="0" w:line="240" w:lineRule="auto"/>
            </w:pPr>
            <w:r>
              <w:rPr>
                <w:b/>
              </w:rPr>
              <w:t xml:space="preserve">Windows-Lauf</w:t>
            </w:r>
          </w:p>
        </w:tc>
        <w:tc>
          <w:tcPr>
            <w:tcW w:w="0" w:type="auto"/>
          </w:tcPr>
          <w:p>
            <w:pPr>
              <w:spacing w:after="0" w:line="240" w:lineRule="auto"/>
            </w:pPr>
            <w:r>
              <w:t xml:space="preserve">prüft die Windows-Schale samt Migrationsschritt und Hüllen; der Setup-Lauf ist beim Anwender zu erfragen, jedes Mal</w:t>
            </w:r>
          </w:p>
        </w:tc>
      </w:tr>
      <w:tr>
        <w:tc>
          <w:tcPr>
            <w:tcW w:w="0" w:type="auto"/>
          </w:tcPr>
          <w:p>
            <w:pPr>
              <w:spacing w:after="0" w:line="240" w:lineRule="auto"/>
            </w:pPr>
            <w:r>
              <w:rPr>
                <w:b/>
              </w:rPr>
              <w:t xml:space="preserve">iOS-Lauf</w:t>
            </w:r>
          </w:p>
        </w:tc>
        <w:tc>
          <w:tcPr>
            <w:tcW w:w="0" w:type="auto"/>
          </w:tcPr>
          <w:p>
            <w:pPr>
              <w:spacing w:after="0" w:line="240" w:lineRule="auto"/>
            </w:pPr>
            <w:r>
              <w:t xml:space="preserve">nur auf Zuruf und </w:t>
            </w:r>
            <w:r>
              <w:rPr>
                <w:b/>
              </w:rPr>
              <w:t xml:space="preserve">nur nach Rückfrage</w:t>
            </w:r>
            <w:r>
              <w:t xml:space="preserve">, jedes Mal. Begründet ist er allein, wenn die Änderung die iOS-Hülle selbst trifft — Dateifilter, Navigationszeile, Seed-Datenbank, Prüfmodus, ein Umgebungsdienst-Adapter</w:t>
            </w:r>
          </w:p>
        </w:tc>
      </w:tr>
      <w:tr>
        <w:tc>
          <w:tcPr>
            <w:tcW w:w="0" w:type="auto"/>
          </w:tcPr>
          <w:p>
            <w:pPr>
              <w:spacing w:after="0" w:line="240" w:lineRule="auto"/>
            </w:pPr>
            <w:r>
              <w:rPr>
                <w:b/>
              </w:rPr>
              <w:t xml:space="preserve">Der iOS-Prüfmodus</w:t>
            </w:r>
          </w:p>
        </w:tc>
        <w:tc>
          <w:tcPr>
            <w:tcW w:w="0" w:type="auto"/>
          </w:tcPr>
          <w:p>
            <w:pPr>
              <w:spacing w:after="0" w:line="240" w:lineRule="auto"/>
            </w:pPr>
            <w:r>
              <w:t xml:space="preserve">prüft die Seed-Datenbank über die Zahl der </w:t>
            </w:r>
            <w:r>
              <w:rPr>
                <w:rFonts w:ascii="Consolas" w:hAnsi="Consolas" w:cs="Consolas"/>
                <w:noProof/>
                <w:sz w:val="20"/>
                <w:szCs w:val="20"/>
                <w:shd w:val="clear" w:color="auto" w:fill="EFEFEF"/>
              </w:rPr>
              <w:t xml:space="preserve">STRICT</w:t>
            </w:r>
            <w:r>
              <w:t xml:space="preserve">-Tabellen; sie wächst mit jedem Tabellenschritt. </w:t>
            </w:r>
            <w:r>
              <w:rPr>
                <w:b/>
              </w:rPr>
              <w:t xml:space="preserve">Richtigstellung:</w:t>
            </w:r>
            <w:r>
              <w:t xml:space="preserve"> der iOS-Lauf rechnet heute ein Projekt, das </w:t>
            </w:r>
            <w:r>
              <w:rPr>
                <w:b/>
              </w:rPr>
              <w:t xml:space="preserve">kein</w:t>
            </w:r>
            <w:r>
              <w:t xml:space="preserve"> Gebäude führt — er kann das Gebäudemodell also nicht berühren, sondern prüft die Schale. Solange das nicht geändert wird, ist der grüne Kern-Lauf auf ubuntu der Nachweis, und das gehört so ins Protokoll</w:t>
            </w:r>
          </w:p>
        </w:tc>
      </w:tr>
      <w:tr>
        <w:tc>
          <w:tcPr>
            <w:tcW w:w="0" w:type="auto"/>
          </w:tcPr>
          <w:p>
            <w:pPr>
              <w:spacing w:after="0" w:line="240" w:lineRule="auto"/>
            </w:pPr>
            <w:r>
              <w:rPr>
                <w:b/>
              </w:rPr>
              <w:t xml:space="preserve">Seed-Datenbank</w:t>
            </w:r>
          </w:p>
        </w:tc>
        <w:tc>
          <w:tcPr>
            <w:tcW w:w="0" w:type="auto"/>
          </w:tcPr>
          <w:p>
            <w:pPr>
              <w:spacing w:after="0" w:line="240" w:lineRule="auto"/>
            </w:pPr>
            <w:r>
              <w:t xml:space="preserve">je Schemaschritt neu zu erzeugen: die Migration läuft auf iOS </w:t>
            </w:r>
            <w:r>
              <w:rPr>
                <w:b/>
              </w:rPr>
              <w:t xml:space="preserve">nicht</w:t>
            </w:r>
          </w:p>
        </w:tc>
      </w:tr>
      <w:tr>
        <w:tc>
          <w:tcPr>
            <w:tcW w:w="0" w:type="auto"/>
          </w:tcPr>
          <w:p>
            <w:pPr>
              <w:spacing w:after="0" w:line="240" w:lineRule="auto"/>
            </w:pPr>
            <w:r>
              <w:rPr>
                <w:b/>
              </w:rPr>
              <w:t xml:space="preserve">Setup und Lizenzseite</w:t>
            </w:r>
          </w:p>
        </w:tc>
        <w:tc>
          <w:tcPr>
            <w:tcW w:w="0" w:type="auto"/>
          </w:tcPr>
          <w:p>
            <w:pPr>
              <w:spacing w:after="0" w:line="240" w:lineRule="auto"/>
            </w:pPr>
            <w:r>
              <w:t xml:space="preserve">das Installationspaket führt heute </w:t>
            </w:r>
            <w:r>
              <w:rPr>
                <w:b/>
              </w:rPr>
              <w:t xml:space="preserve">keine</w:t>
            </w:r>
            <w:r>
              <w:t xml:space="preserve"> Seite für Fremdbibliotheken. Für xBIM verlangt die Lizenz den dauerhaften Quellenverweis an den Empfänger; es entsteht eine Datei mit je Fremdbibliothek Name, Fassung, Lizenz, Copyright-Vermerk und Quellenverweis — erster Eintrag xBIM, dazu die schon ausgelieferten Fremdanteile und three.js —, eine Kopierzeile im Installationsskript und als Pflegeweg eine Zeile je ausgelieferter Paketfassung. </w:t>
            </w:r>
            <w:r>
              <w:rPr>
                <w:b/>
              </w:rPr>
              <w:t xml:space="preserve">Ohne diese Seite ist der IFC-Weg nicht auslieferbar</w:t>
            </w:r>
            <w:r>
              <w:t xml:space="preserve">, Import wie Export</w:t>
            </w:r>
          </w:p>
        </w:tc>
      </w:tr>
    </w:tbl>
    <w:p>
      <w:pPr>
        <w:spacing w:after="120"/>
      </w:pPr>
    </w:p>
    <w:p>
      <w:r>
        <w:rPr>
          <w:b/>
        </w:rPr>
        <w:t xml:space="preserve">Zur Papierführung gehören drei Handgriffe je Stufe:</w:t>
      </w:r>
      <w:r>
        <w:t xml:space="preserve"> eine Indexzeile je Papier in </w:t>
      </w:r>
      <w:r>
        <w:rPr>
          <w:rFonts w:ascii="Consolas" w:hAnsi="Consolas" w:cs="Consolas"/>
          <w:noProof/>
          <w:sz w:val="20"/>
          <w:szCs w:val="20"/>
          <w:shd w:val="clear" w:color="auto" w:fill="EFEFEF"/>
        </w:rPr>
        <w:t xml:space="preserve">Dokumentation/LIESMICH.md</w:t>
      </w:r>
      <w:r>
        <w:t xml:space="preserve">, eine Zeile je Stufe in </w:t>
      </w:r>
      <w:r>
        <w:rPr>
          <w:rFonts w:ascii="Consolas" w:hAnsi="Consolas" w:cs="Consolas"/>
          <w:noProof/>
          <w:sz w:val="20"/>
          <w:szCs w:val="20"/>
          <w:shd w:val="clear" w:color="auto" w:fill="EFEFEF"/>
        </w:rPr>
        <w:t xml:space="preserve">Dokumentation/aktuell/Status_Gebaeudesimulation_VDI6007.md</w:t>
      </w:r>
      <w:r>
        <w:t xml:space="preserve"> samt ausführlichem Protokoll unter </w:t>
      </w:r>
      <w:r>
        <w:rPr>
          <w:rFonts w:ascii="Consolas" w:hAnsi="Consolas" w:cs="Consolas"/>
          <w:noProof/>
          <w:sz w:val="20"/>
          <w:szCs w:val="20"/>
          <w:shd w:val="clear" w:color="auto" w:fill="EFEFEF"/>
        </w:rPr>
        <w:t xml:space="preserve">Dokumentation/ueberholt/Protokolle/</w:t>
      </w:r>
      <w:r>
        <w:t xml:space="preserve">, und der Eintrag der neuen Ergebnisklassen in die Namensliste des Einheitenwächters — </w:t>
      </w:r>
      <w:r>
        <w:rPr>
          <w:b/>
        </w:rPr>
        <w:t xml:space="preserve">mit Unterordner</w:t>
      </w:r>
      <w:r>
        <w:t xml:space="preserve">.</w:t>
      </w:r>
    </w:p>
    <w:p>
      <w:r>
        <w:rPr>
          <w:b/>
        </w:rPr>
        <w:t xml:space="preserve">Einzelheiten:</w:t>
      </w:r>
      <w:r>
        <w:t xml:space="preserve"> </w:t>
      </w:r>
      <w:r>
        <w:rPr>
          <w:rFonts w:ascii="Consolas" w:hAnsi="Consolas" w:cs="Consolas"/>
          <w:noProof/>
          <w:sz w:val="20"/>
          <w:szCs w:val="20"/>
          <w:shd w:val="clear" w:color="auto" w:fill="EFEFEF"/>
        </w:rPr>
        <w:t xml:space="preserve">Dokumentation/aktuell/Softwarearchitektur_Gebaeudesimulation_EPOS-Plan.md</w:t>
      </w:r>
      <w:r>
        <w:t xml:space="preserve"> (Kapitel 4), </w:t>
      </w:r>
      <w:r>
        <w:rPr>
          <w:rFonts w:ascii="Consolas" w:hAnsi="Consolas" w:cs="Consolas"/>
          <w:noProof/>
          <w:sz w:val="20"/>
          <w:szCs w:val="20"/>
          <w:shd w:val="clear" w:color="auto" w:fill="EFEFEF"/>
        </w:rPr>
        <w:t xml:space="preserve">Dokumentation/aktuell/Umsetzungskonzept_Gebaeudesimulation_VDI6007_EPOS-Plan.md</w:t>
      </w:r>
      <w:r>
        <w:t xml:space="preserve"> (Kapitel 1) und </w:t>
      </w:r>
      <w:r>
        <w:rPr>
          <w:rFonts w:ascii="Consolas" w:hAnsi="Consolas" w:cs="Consolas"/>
          <w:noProof/>
          <w:sz w:val="20"/>
          <w:szCs w:val="20"/>
          <w:shd w:val="clear" w:color="auto" w:fill="EFEFEF"/>
        </w:rPr>
        <w:t xml:space="preserve">Dokumentation/aktuell/Gebaeudesimulation/2026-09-15_Befund_L_Einbindung_Kern.md</w:t>
      </w:r>
      <w:r>
        <w:t xml:space="preserve">.</w:t>
      </w:r>
    </w:p>
    <w:p>
      <w:pPr>
        <w:pStyle w:val="Trennlinie"/>
      </w:pPr>
    </w:p>
    <w:p>
      <w:pPr>
        <w:pStyle w:val="Heading1"/>
      </w:pPr>
      <w:r>
        <w:t xml:space="preserve">7 Datenaustausch gbXML und IFC</w:t>
      </w:r>
    </w:p>
    <w:p>
      <w:r>
        <w:t xml:space="preserve">Entscheid E9 verlangt Austausch in beide Richtungen und in beiden Formaten. Vier Wege, und sie sind ungleich viel wert.</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Weg</w:t>
            </w:r>
          </w:p>
        </w:tc>
        <w:tc>
          <w:tcPr>
            <w:tcW w:w="0" w:type="auto"/>
            <w:shd w:val="clear" w:color="auto" w:fill="D9D9D9"/>
          </w:tcPr>
          <w:p>
            <w:pPr>
              <w:spacing w:after="0" w:line="240" w:lineRule="auto"/>
              <w:rPr>
                <w:b/>
              </w:rPr>
            </w:pPr>
            <w:r>
              <w:rPr>
                <w:b/>
              </w:rPr>
              <w:t xml:space="preserve">Stufe</w:t>
            </w:r>
          </w:p>
        </w:tc>
        <w:tc>
          <w:tcPr>
            <w:tcW w:w="0" w:type="auto"/>
            <w:shd w:val="clear" w:color="auto" w:fill="D9D9D9"/>
          </w:tcPr>
          <w:p>
            <w:pPr>
              <w:spacing w:after="0" w:line="240" w:lineRule="auto"/>
              <w:rPr>
                <w:b/>
              </w:rPr>
            </w:pPr>
            <w:r>
              <w:rPr>
                <w:b/>
              </w:rPr>
              <w:t xml:space="preserve">Technik</w:t>
            </w:r>
          </w:p>
        </w:tc>
        <w:tc>
          <w:tcPr>
            <w:tcW w:w="0" w:type="auto"/>
            <w:shd w:val="clear" w:color="auto" w:fill="D9D9D9"/>
          </w:tcPr>
          <w:p>
            <w:pPr>
              <w:spacing w:after="0" w:line="240" w:lineRule="auto"/>
              <w:rPr>
                <w:b/>
              </w:rPr>
            </w:pPr>
            <w:r>
              <w:rPr>
                <w:b/>
              </w:rPr>
              <w:t xml:space="preserve">Aufwand</w:t>
            </w:r>
          </w:p>
        </w:tc>
        <w:tc>
          <w:tcPr>
            <w:tcW w:w="0" w:type="auto"/>
            <w:shd w:val="clear" w:color="auto" w:fill="D9D9D9"/>
          </w:tcPr>
          <w:p>
            <w:pPr>
              <w:spacing w:after="0" w:line="240" w:lineRule="auto"/>
              <w:rPr>
                <w:b/>
              </w:rPr>
            </w:pPr>
            <w:r>
              <w:rPr>
                <w:b/>
              </w:rPr>
              <w:t xml:space="preserve">Vorbehalt</w:t>
            </w:r>
          </w:p>
        </w:tc>
      </w:tr>
      <w:tr>
        <w:tc>
          <w:tcPr>
            <w:tcW w:w="0" w:type="auto"/>
          </w:tcPr>
          <w:p>
            <w:pPr>
              <w:spacing w:after="0" w:line="240" w:lineRule="auto"/>
            </w:pPr>
            <w:r>
              <w:rPr>
                <w:b/>
              </w:rPr>
              <w:t xml:space="preserve">gbXML-Import</w:t>
            </w:r>
          </w:p>
        </w:tc>
        <w:tc>
          <w:tcPr>
            <w:tcW w:w="0" w:type="auto"/>
          </w:tcPr>
          <w:p>
            <w:pPr>
              <w:spacing w:after="0" w:line="240" w:lineRule="auto"/>
            </w:pPr>
            <w:r>
              <w:rPr>
                <w:b/>
              </w:rPr>
              <w:t xml:space="preserve">G4c</w:t>
            </w:r>
            <w:r>
              <w:t xml:space="preserve"> (Pflicht)</w:t>
            </w:r>
          </w:p>
        </w:tc>
        <w:tc>
          <w:tcPr>
            <w:tcW w:w="0" w:type="auto"/>
          </w:tcPr>
          <w:p>
            <w:pPr>
              <w:spacing w:after="0" w:line="240" w:lineRule="auto"/>
            </w:pPr>
            <w:r>
              <w:t xml:space="preserve">LINQ to XML, handgeschriebenes Lesemodell, keine Fremdbibliothek, kein Geometriekernel; Flächen aus </w:t>
            </w:r>
            <w:r>
              <w:rPr>
                <w:rFonts w:ascii="Consolas" w:hAnsi="Consolas" w:cs="Consolas"/>
                <w:noProof/>
                <w:sz w:val="20"/>
                <w:szCs w:val="20"/>
                <w:shd w:val="clear" w:color="auto" w:fill="EFEFEF"/>
              </w:rPr>
              <w:t xml:space="preserve">RectangularGeometry</w:t>
            </w:r>
          </w:p>
        </w:tc>
        <w:tc>
          <w:tcPr>
            <w:tcW w:w="0" w:type="auto"/>
          </w:tcPr>
          <w:p>
            <w:pPr>
              <w:spacing w:after="0" w:line="240" w:lineRule="auto"/>
            </w:pPr>
            <w:r>
              <w:rPr>
                <w:b/>
              </w:rPr>
              <w:t xml:space="preserve">17–28 PT</w:t>
            </w:r>
          </w:p>
        </w:tc>
        <w:tc>
          <w:tcPr>
            <w:tcW w:w="0" w:type="auto"/>
          </w:tcPr>
          <w:p>
            <w:pPr>
              <w:spacing w:after="0" w:line="240" w:lineRule="auto"/>
            </w:pPr>
            <w:r>
              <w:t xml:space="preserve">Archicad ist der aussichtsreichste, aber </w:t>
            </w:r>
            <w:r>
              <w:rPr>
                <w:b/>
              </w:rPr>
              <w:t xml:space="preserve">ungemessene</w:t>
            </w:r>
            <w:r>
              <w:t xml:space="preserve"> Quellkandidat; zu Vectorworks fehlt jeder Beleg über Schichtaufbauten. Vor einer Zusage im Feld ist mit einer echten Kundendatei zu prüfen</w:t>
            </w:r>
          </w:p>
        </w:tc>
      </w:tr>
      <w:tr>
        <w:tc>
          <w:tcPr>
            <w:tcW w:w="0" w:type="auto"/>
          </w:tcPr>
          <w:p>
            <w:pPr>
              <w:spacing w:after="0" w:line="240" w:lineRule="auto"/>
            </w:pPr>
            <w:r>
              <w:rPr>
                <w:b/>
              </w:rPr>
              <w:t xml:space="preserve">IFC-Import</w:t>
            </w:r>
          </w:p>
        </w:tc>
        <w:tc>
          <w:tcPr>
            <w:tcW w:w="0" w:type="auto"/>
          </w:tcPr>
          <w:p>
            <w:pPr>
              <w:spacing w:after="0" w:line="240" w:lineRule="auto"/>
            </w:pPr>
            <w:r>
              <w:rPr>
                <w:b/>
              </w:rPr>
              <w:t xml:space="preserve">G4a</w:t>
            </w:r>
            <w:r>
              <w:t xml:space="preserve"> (Einzone), </w:t>
            </w:r>
            <w:r>
              <w:rPr>
                <w:b/>
              </w:rPr>
              <w:t xml:space="preserve">G6c</w:t>
            </w:r>
            <w:r>
              <w:t xml:space="preserve"> (Zonen)</w:t>
            </w:r>
          </w:p>
        </w:tc>
        <w:tc>
          <w:tcPr>
            <w:tcW w:w="0" w:type="auto"/>
          </w:tcPr>
          <w:p>
            <w:pPr>
              <w:spacing w:after="0" w:line="240" w:lineRule="auto"/>
            </w:pPr>
            <w:r>
              <w:t xml:space="preserve">xBIM, allein </w:t>
            </w:r>
            <w:r>
              <w:rPr>
                <w:rFonts w:ascii="Consolas" w:hAnsi="Consolas" w:cs="Consolas"/>
                <w:noProof/>
                <w:sz w:val="20"/>
                <w:szCs w:val="20"/>
                <w:shd w:val="clear" w:color="auto" w:fill="EFEFEF"/>
              </w:rPr>
              <w:t xml:space="preserve">Xbim.IO.MemoryModel</w:t>
            </w:r>
            <w:r>
              <w:t xml:space="preserve">, ohne Geometriekernel; Flächen aus den Mengensätzen, Orientierung aus der Placement-Kette</w:t>
            </w:r>
          </w:p>
        </w:tc>
        <w:tc>
          <w:tcPr>
            <w:tcW w:w="0" w:type="auto"/>
          </w:tcPr>
          <w:p>
            <w:pPr>
              <w:spacing w:after="0" w:line="240" w:lineRule="auto"/>
            </w:pPr>
            <w:r>
              <w:t xml:space="preserve">G4a </w:t>
            </w:r>
            <w:r>
              <w:rPr>
                <w:b/>
              </w:rPr>
              <w:t xml:space="preserve">13,5–21 PT</w:t>
            </w:r>
            <w:r>
              <w:t xml:space="preserve">, G4b 4–6 PT</w:t>
            </w:r>
          </w:p>
        </w:tc>
        <w:tc>
          <w:tcPr>
            <w:tcW w:w="0" w:type="auto"/>
          </w:tcPr>
          <w:p>
            <w:pPr>
              <w:spacing w:after="0" w:line="240" w:lineRule="auto"/>
            </w:pPr>
            <w:r>
              <w:t xml:space="preserve">IFC liefert Rohmaterial wechselnder Qualität, nie fertige Modelldaten; für den Wohnbestand ist die Ausbeute gering. In vier gemessenen Dateien steht </w:t>
            </w:r>
            <w:r>
              <w:rPr>
                <w:b/>
              </w:rPr>
              <w:t xml:space="preserve">keine einzige</w:t>
            </w:r>
            <w:r>
              <w:t xml:space="preserve"> Zonenentität, und </w:t>
            </w:r>
            <w:r>
              <w:rPr>
                <w:b/>
              </w:rPr>
              <w:t xml:space="preserve">kein einziger</w:t>
            </w:r>
            <w:r>
              <w:t xml:space="preserve"> opaker Baustoff trägt brauchbare Stoffwerte</w:t>
            </w:r>
          </w:p>
        </w:tc>
      </w:tr>
      <w:tr>
        <w:tc>
          <w:tcPr>
            <w:tcW w:w="0" w:type="auto"/>
          </w:tcPr>
          <w:p>
            <w:pPr>
              <w:spacing w:after="0" w:line="240" w:lineRule="auto"/>
            </w:pPr>
            <w:r>
              <w:rPr>
                <w:b/>
              </w:rPr>
              <w:t xml:space="preserve">gbXML-Export</w:t>
            </w:r>
          </w:p>
        </w:tc>
        <w:tc>
          <w:tcPr>
            <w:tcW w:w="0" w:type="auto"/>
          </w:tcPr>
          <w:p>
            <w:pPr>
              <w:spacing w:after="0" w:line="240" w:lineRule="auto"/>
            </w:pPr>
            <w:r>
              <w:rPr>
                <w:b/>
              </w:rPr>
              <w:t xml:space="preserve">G7a</w:t>
            </w:r>
            <w:r>
              <w:t xml:space="preserve"> (Daten), </w:t>
            </w:r>
            <w:r>
              <w:rPr>
                <w:b/>
              </w:rPr>
              <w:t xml:space="preserve">G7b</w:t>
            </w:r>
            <w:r>
              <w:t xml:space="preserve"> (Quader)</w:t>
            </w:r>
          </w:p>
        </w:tc>
        <w:tc>
          <w:tcPr>
            <w:tcW w:w="0" w:type="auto"/>
          </w:tcPr>
          <w:p>
            <w:pPr>
              <w:spacing w:after="0" w:line="240" w:lineRule="auto"/>
            </w:pPr>
            <w:r>
              <w:t xml:space="preserve">schemagültige Datei mit Version 6.01, vollständige Aufbaukette mit Schichtumkehr; mit G7b synthetische Quadergeometrie aus dem Zonengeometrie-Modell</w:t>
            </w:r>
          </w:p>
        </w:tc>
        <w:tc>
          <w:tcPr>
            <w:tcW w:w="0" w:type="auto"/>
          </w:tcPr>
          <w:p>
            <w:pPr>
              <w:spacing w:after="0" w:line="240" w:lineRule="auto"/>
            </w:pPr>
            <w:r>
              <w:t xml:space="preserve">9–14 PT + </w:t>
            </w:r>
            <w:r>
              <w:rPr>
                <w:b/>
              </w:rPr>
              <w:t xml:space="preserve">7–12 PT</w:t>
            </w:r>
          </w:p>
        </w:tc>
        <w:tc>
          <w:tcPr>
            <w:tcW w:w="0" w:type="auto"/>
          </w:tcPr>
          <w:p>
            <w:pPr>
              <w:spacing w:after="0" w:line="240" w:lineRule="auto"/>
            </w:pPr>
            <w:r>
              <w:t xml:space="preserve">ein gbXML ohne Polygongeometrie wird von keinem der geprüften </w:t>
            </w:r>
            <w:r>
              <w:rPr>
                <w:b/>
              </w:rPr>
              <w:t xml:space="preserve">dynamischen</w:t>
            </w:r>
            <w:r>
              <w:t xml:space="preserve"> Simulationswerkzeuge zu einem Modell; für die bilanzierenden Werkzeuge ist es weder belegt noch widerlegt</w:t>
            </w:r>
          </w:p>
        </w:tc>
      </w:tr>
      <w:tr>
        <w:tc>
          <w:tcPr>
            <w:tcW w:w="0" w:type="auto"/>
          </w:tcPr>
          <w:p>
            <w:pPr>
              <w:spacing w:after="0" w:line="240" w:lineRule="auto"/>
            </w:pPr>
            <w:r>
              <w:rPr>
                <w:b/>
              </w:rPr>
              <w:t xml:space="preserve">IFC-Export</w:t>
            </w:r>
          </w:p>
        </w:tc>
        <w:tc>
          <w:tcPr>
            <w:tcW w:w="0" w:type="auto"/>
          </w:tcPr>
          <w:p>
            <w:pPr>
              <w:spacing w:after="0" w:line="240" w:lineRule="auto"/>
            </w:pPr>
            <w:r>
              <w:rPr>
                <w:b/>
              </w:rPr>
              <w:t xml:space="preserve">G7c</w:t>
            </w:r>
            <w:r>
              <w:t xml:space="preserve"> (Semantik), </w:t>
            </w:r>
            <w:r>
              <w:rPr>
                <w:b/>
              </w:rPr>
              <w:t xml:space="preserve">G7d</w:t>
            </w:r>
            <w:r>
              <w:t xml:space="preserve"> (Round-Trip), </w:t>
            </w:r>
            <w:r>
              <w:rPr>
                <w:b/>
              </w:rPr>
              <w:t xml:space="preserve">G7e</w:t>
            </w:r>
            <w:r>
              <w:t xml:space="preserve"> (Körper)</w:t>
            </w:r>
          </w:p>
        </w:tc>
        <w:tc>
          <w:tcPr>
            <w:tcW w:w="0" w:type="auto"/>
          </w:tcPr>
          <w:p>
            <w:pPr>
              <w:spacing w:after="0" w:line="240" w:lineRule="auto"/>
            </w:pPr>
            <w:r>
              <w:t xml:space="preserve">IFC4 über das Speichermodell, deterministische Kennungen, eigener Ergebnis-Eigenschaftssatz, Energie in kWh mit explizitem Einheitenverweis</w:t>
            </w:r>
          </w:p>
        </w:tc>
        <w:tc>
          <w:tcPr>
            <w:tcW w:w="0" w:type="auto"/>
          </w:tcPr>
          <w:p>
            <w:pPr>
              <w:spacing w:after="0" w:line="240" w:lineRule="auto"/>
            </w:pPr>
            <w:r>
              <w:t xml:space="preserve">12–20 + 6–11 + </w:t>
            </w:r>
            <w:r>
              <w:rPr>
                <w:b/>
              </w:rPr>
              <w:t xml:space="preserve">8–15 PT</w:t>
            </w:r>
          </w:p>
        </w:tc>
        <w:tc>
          <w:tcPr>
            <w:tcW w:w="0" w:type="auto"/>
          </w:tcPr>
          <w:p>
            <w:pPr>
              <w:spacing w:after="0" w:line="240" w:lineRule="auto"/>
            </w:pPr>
            <w:r>
              <w:t xml:space="preserve">ein geometrieloses IFC ist für ein Rechenwerkzeug vollständig, für den Menschen am Bildschirm leer. Die Rückgabe fremder Dateien ist </w:t>
            </w:r>
            <w:r>
              <w:rPr>
                <w:b/>
              </w:rPr>
              <w:t xml:space="preserve">vor</w:t>
            </w:r>
            <w:r>
              <w:t xml:space="preserve"> G7d vertraglich zu klären, nicht danach</w:t>
            </w:r>
          </w:p>
        </w:tc>
      </w:tr>
    </w:tbl>
    <w:p>
      <w:pPr>
        <w:spacing w:after="120"/>
      </w:pPr>
    </w:p>
    <w:p>
      <w:r>
        <w:rPr>
          <w:b/>
        </w:rPr>
        <w:t xml:space="preserve">Summe G7 einschließlich der Körperansicht: 46–79 PT; Summe G4c + G7: 63–107 PT.</w:t>
      </w:r>
      <w:r>
        <w:t xml:space="preserve"> Die Differenz zur Summe der Stufenzeilen erklärt E11: G7b sinkt von 8–14 auf 7–12 PT und G7e von 10–18 auf 8–15 PT, weil beide die Geometrie nur noch schreiben (</w:t>
      </w:r>
      <w:r>
        <w:rPr>
          <w:b/>
        </w:rPr>
        <w:t xml:space="preserve">−3–5 PT</w:t>
      </w:r>
      <w:r>
        <w:t xml:space="preserve">), und die 3D-Ansicht kommt mit </w:t>
      </w:r>
      <w:r>
        <w:rPr>
          <w:b/>
        </w:rPr>
        <w:t xml:space="preserve">+4–7 PT</w:t>
      </w:r>
      <w:r>
        <w:t xml:space="preserve"> hinzu — Summe G7 damit </w:t>
      </w:r>
      <w:r>
        <w:rPr>
          <w:b/>
        </w:rPr>
        <w:t xml:space="preserve">46–79 PT</w:t>
      </w:r>
      <w:r>
        <w:t xml:space="preserve">. Die übrigen 6–10 PT des Betrachters (Zonengeometrie-Modell und 2D-Grundriss) stehen unter G6c und sind hier </w:t>
      </w:r>
      <w:r>
        <w:rPr>
          <w:b/>
        </w:rPr>
        <w:t xml:space="preserve">nicht</w:t>
      </w:r>
      <w:r>
        <w:t xml:space="preserve"> mitgezählt.</w:t>
      </w:r>
    </w:p>
    <w:p>
      <w:pPr>
        <w:pStyle w:val="Heading2"/>
      </w:pPr>
      <w:r>
        <w:t xml:space="preserve">7.1 Ein Zuordnungsgerüst für beide Formate</w:t>
      </w:r>
    </w:p>
    <w:p>
      <w:r>
        <w:t xml:space="preserve">Was die Datei beschreibt, bleibt beim Format; was das Ziel beschreibt, wandert eine Ebene höher. Gemeinsam und formatfrei liegen: die </w:t>
      </w:r>
      <w:r>
        <w:rPr>
          <w:b/>
        </w:rPr>
        <w:t xml:space="preserve">Importherkunft</w:t>
      </w:r>
      <w:r>
        <w:t xml:space="preserve"> als Wert und nicht als Anzeigetext — </w:t>
      </w:r>
      <w:r>
        <w:rPr>
          <w:b/>
        </w:rPr>
        <w:t xml:space="preserve">fünf persistierte Werte</w:t>
      </w:r>
      <w:r>
        <w:t xml:space="preserve"> (</w:t>
      </w:r>
      <w:r>
        <w:rPr>
          <w:rFonts w:ascii="Consolas" w:hAnsi="Consolas" w:cs="Consolas"/>
          <w:noProof/>
          <w:sz w:val="20"/>
          <w:szCs w:val="20"/>
          <w:shd w:val="clear" w:color="auto" w:fill="EFEFEF"/>
        </w:rPr>
        <w:t xml:space="preserve">Ifc</w:t>
      </w:r>
      <w:r>
        <w:t xml:space="preserve">, </w:t>
      </w:r>
      <w:r>
        <w:rPr>
          <w:rFonts w:ascii="Consolas" w:hAnsi="Consolas" w:cs="Consolas"/>
          <w:noProof/>
          <w:sz w:val="20"/>
          <w:szCs w:val="20"/>
          <w:shd w:val="clear" w:color="auto" w:fill="EFEFEF"/>
        </w:rPr>
        <w:t xml:space="preserve">GbXml</w:t>
      </w:r>
      <w:r>
        <w:t xml:space="preserve">, </w:t>
      </w:r>
      <w:r>
        <w:rPr>
          <w:rFonts w:ascii="Consolas" w:hAnsi="Consolas" w:cs="Consolas"/>
          <w:noProof/>
          <w:sz w:val="20"/>
          <w:szCs w:val="20"/>
          <w:shd w:val="clear" w:color="auto" w:fill="EFEFEF"/>
        </w:rPr>
        <w:t xml:space="preserve">Katalog</w:t>
      </w:r>
      <w:r>
        <w:t xml:space="preserve">, </w:t>
      </w:r>
      <w:r>
        <w:rPr>
          <w:rFonts w:ascii="Consolas" w:hAnsi="Consolas" w:cs="Consolas"/>
          <w:noProof/>
          <w:sz w:val="20"/>
          <w:szCs w:val="20"/>
          <w:shd w:val="clear" w:color="auto" w:fill="EFEFEF"/>
        </w:rPr>
        <w:t xml:space="preserve">Vorgabe</w:t>
      </w:r>
      <w:r>
        <w:t xml:space="preserve">, </w:t>
      </w:r>
      <w:r>
        <w:rPr>
          <w:rFonts w:ascii="Consolas" w:hAnsi="Consolas" w:cs="Consolas"/>
          <w:noProof/>
          <w:sz w:val="20"/>
          <w:szCs w:val="20"/>
          <w:shd w:val="clear" w:color="auto" w:fill="EFEFEF"/>
        </w:rPr>
        <w:t xml:space="preserve">Manuell</w:t>
      </w:r>
      <w:r>
        <w:t xml:space="preserve">), dazu </w:t>
      </w:r>
      <w:r>
        <w:rPr>
          <w:rFonts w:ascii="Consolas" w:hAnsi="Consolas" w:cs="Consolas"/>
          <w:noProof/>
          <w:sz w:val="20"/>
          <w:szCs w:val="20"/>
          <w:shd w:val="clear" w:color="auto" w:fill="EFEFEF"/>
        </w:rPr>
        <w:t xml:space="preserve">Leer</w:t>
      </w:r>
      <w:r>
        <w:t xml:space="preserve"> als sechster Wert der Zuordnungsanzeige, der </w:t>
      </w:r>
      <w:r>
        <w:rPr>
          <w:b/>
        </w:rPr>
        <w:t xml:space="preserve">kein</w:t>
      </w:r>
      <w:r>
        <w:t xml:space="preserve"> Spaltenwert ist —, die </w:t>
      </w:r>
      <w:r>
        <w:rPr>
          <w:b/>
        </w:rPr>
        <w:t xml:space="preserve">Quelle</w:t>
      </w:r>
      <w:r>
        <w:t xml:space="preserve"> mit Format, Dateiname, Hash, Größe, Schema, Zeitpunkt und Programmfassung, der </w:t>
      </w:r>
      <w:r>
        <w:rPr>
          <w:b/>
        </w:rPr>
        <w:t xml:space="preserve">Satz</w:t>
      </w:r>
      <w:r>
        <w:t xml:space="preserve"> mit einer Zeile je </w:t>
      </w:r>
      <w:r>
        <w:rPr>
          <w:b/>
        </w:rPr>
        <w:t xml:space="preserve">Zielfeld</w:t>
      </w:r>
      <w:r>
        <w:t xml:space="preserve"> und das oberflächenfreie </w:t>
      </w:r>
      <w:r>
        <w:rPr>
          <w:b/>
        </w:rPr>
        <w:t xml:space="preserve">Zuordnungsmodell</w:t>
      </w:r>
      <w:r>
        <w:t xml:space="preserve">. Je Format bleiben die Leser und ihr Zwischenmodell, weil es die Datei spiegelt und mit ihr veraltet.</w:t>
      </w:r>
    </w:p>
    <w:p>
      <w:r>
        <w:t xml:space="preserve">Drei Regeln des Bestands gelten wörtlich: der Ablauf zeigt nichts an, ein fehlerhafter Eintrag bricht den Lauf nicht ab, und der Zustand lebt im Ablauf, nicht in der Komponente. Fehlerbilder sind </w:t>
      </w:r>
      <w:r>
        <w:rPr>
          <w:b/>
        </w:rPr>
        <w:t xml:space="preserve">Meldungen, keine Ausnahmen</w:t>
      </w:r>
      <w:r>
        <w:t xml:space="preserve">, mit Schlüssel und invariant formatierten Werten, nie mit Text. Und: </w:t>
      </w:r>
      <w:r>
        <w:rPr>
          <w:b/>
        </w:rPr>
        <w:t xml:space="preserve">kein Anzeigetext darf Steuerwert sein.</w:t>
      </w:r>
    </w:p>
    <w:p>
      <w:r>
        <w:rPr>
          <w:b/>
        </w:rPr>
        <w:t xml:space="preserve">Jede Zahl trägt zwei Angaben: woher und woraus.</w:t>
      </w:r>
      <w:r>
        <w:t xml:space="preserve"> Eine Zelle ohne Beleg ist eine Vorgabe. Die Herkunft wandert mit der Zeile in die Datenbank und bleibt damit nach dem Lauf sichtbar — die Voraussetzung dafür, dass der Gebäudedialog neben U, A und U·A anzeigen kann, ob eine Zahl gelesen, kopiert, vorbelegt oder geändert ist.</w:t>
      </w:r>
    </w:p>
    <w:p>
      <w:r>
        <w:rPr>
          <w:b/>
        </w:rPr>
        <w:t xml:space="preserve">Die Persistenz der Zuordnung</w:t>
      </w:r>
      <w:r>
        <w:t xml:space="preserve"> überlebt heute den Dialog nicht und muss es, aus drei Gründen: der Round-Trip findet sonst nicht wieder, welche Quellentität zu welcher Zone gehört; ein zweiter Import derselben Datei kann nicht erkennen, was schon zugeordnet ist; und „aus Datei X vom Y" ist ohne die Quelldatei nur die halbe Auskunft. Drei Festlegungen dazu: </w:t>
      </w:r>
      <w:r>
        <w:rPr>
          <w:b/>
        </w:rPr>
        <w:t xml:space="preserve">nur der Dateiname, nie der Pfad</w:t>
      </w:r>
      <w:r>
        <w:t xml:space="preserve"> (iOS-Sandbox-Pfade tragen eine bei jeder Neuinstallation wechselnde Kennung); </w:t>
      </w:r>
      <w:r>
        <w:rPr>
          <w:b/>
        </w:rPr>
        <w:t xml:space="preserve">SHA-256 des Dateiinhalts</w:t>
      </w:r>
      <w:r>
        <w:t xml:space="preserve">, weil nur er die Frage „ist das dieselbe Datei?" beantwortet; und die Zuordnung ist Projektware und kaskadiert mit dem Gebäude.</w:t>
      </w:r>
    </w:p>
    <w:p>
      <w:r>
        <w:rPr>
          <w:b/>
        </w:rPr>
        <w:t xml:space="preserve">Zwei Festlegungen sind unwiderruflich und gehören vor die erste Zeile Quelltext:</w:t>
      </w:r>
      <w:r>
        <w:t xml:space="preserve"> die gbXML-Version muss </w:t>
      </w:r>
      <w:r>
        <w:rPr>
          <w:b/>
        </w:rPr>
        <w:t xml:space="preserve">6.01</w:t>
      </w:r>
      <w:r>
        <w:t xml:space="preserve"> heißen, weil die eigene Aufzählung des Schemas dort endet und eine Datei mit 8.01 nach dem eigenen Schema ungültig wäre; und die Kennungen des IFC-Exports müssen </w:t>
      </w:r>
      <w:r>
        <w:rPr>
          <w:b/>
        </w:rPr>
        <w:t xml:space="preserve">deterministisch</w:t>
      </w:r>
      <w:r>
        <w:t xml:space="preserve"> aus den EPOS-Schlüsseln entstehen, sonst trägt jeder zweite Export derselben Zone eine andere Kennung und entwertet den Modellvergleich beim Empfänger.</w:t>
      </w:r>
    </w:p>
    <w:p>
      <w:pPr>
        <w:pStyle w:val="Heading2"/>
      </w:pPr>
      <w:r>
        <w:t xml:space="preserve">7.2 Lizenzlage</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Gegenstand</w:t>
            </w:r>
          </w:p>
        </w:tc>
        <w:tc>
          <w:tcPr>
            <w:tcW w:w="0" w:type="auto"/>
            <w:shd w:val="clear" w:color="auto" w:fill="D9D9D9"/>
          </w:tcPr>
          <w:p>
            <w:pPr>
              <w:spacing w:after="0" w:line="240" w:lineRule="auto"/>
              <w:rPr>
                <w:b/>
              </w:rPr>
            </w:pPr>
            <w:r>
              <w:rPr>
                <w:b/>
              </w:rPr>
              <w:t xml:space="preserve">Lage</w:t>
            </w:r>
          </w:p>
        </w:tc>
        <w:tc>
          <w:tcPr>
            <w:tcW w:w="0" w:type="auto"/>
            <w:shd w:val="clear" w:color="auto" w:fill="D9D9D9"/>
          </w:tcPr>
          <w:p>
            <w:pPr>
              <w:spacing w:after="0" w:line="240" w:lineRule="auto"/>
              <w:rPr>
                <w:b/>
              </w:rPr>
            </w:pPr>
            <w:r>
              <w:rPr>
                <w:b/>
              </w:rPr>
              <w:t xml:space="preserve">Folge</w:t>
            </w:r>
          </w:p>
        </w:tc>
      </w:tr>
      <w:tr>
        <w:tc>
          <w:tcPr>
            <w:tcW w:w="0" w:type="auto"/>
          </w:tcPr>
          <w:p>
            <w:pPr>
              <w:spacing w:after="0" w:line="240" w:lineRule="auto"/>
            </w:pPr>
            <w:r>
              <w:rPr>
                <w:b/>
              </w:rPr>
              <w:t xml:space="preserve">xBIM</w:t>
            </w:r>
          </w:p>
        </w:tc>
        <w:tc>
          <w:tcPr>
            <w:tcW w:w="0" w:type="auto"/>
          </w:tcPr>
          <w:p>
            <w:pPr>
              <w:spacing w:after="0" w:line="240" w:lineRule="auto"/>
            </w:pPr>
            <w:r>
              <w:t xml:space="preserve">unverändertes NuGet-Paket unter CDDL-1.0, nie geforkt (E3)</w:t>
            </w:r>
          </w:p>
        </w:tc>
        <w:tc>
          <w:tcPr>
            <w:tcW w:w="0" w:type="auto"/>
          </w:tcPr>
          <w:p>
            <w:pPr>
              <w:spacing w:after="0" w:line="240" w:lineRule="auto"/>
            </w:pPr>
            <w:r>
              <w:rPr>
                <w:b/>
              </w:rPr>
              <w:t xml:space="preserve">Datei-Copyleft</w:t>
            </w:r>
            <w:r>
              <w:t xml:space="preserve">: dauerhafter Lizenztext und Quellenverweis an den Empfänger. Die Lizenzhinweisseite ist </w:t>
            </w:r>
            <w:r>
              <w:rPr>
                <w:b/>
              </w:rPr>
              <w:t xml:space="preserve">Vorbedingung der Auslieferung</w:t>
            </w:r>
            <w:r>
              <w:t xml:space="preserve"> des IFC-Wegs</w:t>
            </w:r>
          </w:p>
        </w:tc>
      </w:tr>
      <w:tr>
        <w:tc>
          <w:tcPr>
            <w:tcW w:w="0" w:type="auto"/>
          </w:tcPr>
          <w:p>
            <w:pPr>
              <w:spacing w:after="0" w:line="240" w:lineRule="auto"/>
            </w:pPr>
            <w:r>
              <w:rPr>
                <w:b/>
              </w:rPr>
              <w:t xml:space="preserve">gbXML-Schema</w:t>
            </w:r>
          </w:p>
        </w:tc>
        <w:tc>
          <w:tcPr>
            <w:tcW w:w="0" w:type="auto"/>
          </w:tcPr>
          <w:p>
            <w:pPr>
              <w:spacing w:after="0" w:line="240" w:lineRule="auto"/>
            </w:pPr>
            <w:r>
              <w:t xml:space="preserve">ohne ausdrückliche Lizenz</w:t>
            </w:r>
          </w:p>
        </w:tc>
        <w:tc>
          <w:tcPr>
            <w:tcW w:w="0" w:type="auto"/>
          </w:tcPr>
          <w:p>
            <w:pPr>
              <w:spacing w:after="0" w:line="240" w:lineRule="auto"/>
            </w:pPr>
            <w:r>
              <w:rPr>
                <w:b/>
              </w:rPr>
              <w:t xml:space="preserve">nicht ausliefern</w:t>
            </w:r>
            <w:r>
              <w:t xml:space="preserve">, nie aus dem Netz laden; der Leser validiert nie, das Schema dient allein der Prüfung des </w:t>
            </w:r>
            <w:r>
              <w:rPr>
                <w:b/>
              </w:rPr>
              <w:t xml:space="preserve">Exports</w:t>
            </w:r>
            <w:r>
              <w:t xml:space="preserve">, lokal. Die Ablage der Kopie im Repositorium ist offen</w:t>
            </w:r>
          </w:p>
        </w:tc>
      </w:tr>
      <w:tr>
        <w:tc>
          <w:tcPr>
            <w:tcW w:w="0" w:type="auto"/>
          </w:tcPr>
          <w:p>
            <w:pPr>
              <w:spacing w:after="0" w:line="240" w:lineRule="auto"/>
            </w:pPr>
            <w:r>
              <w:rPr>
                <w:b/>
              </w:rPr>
              <w:t xml:space="preserve">Prüf- und Probendateien</w:t>
            </w:r>
          </w:p>
        </w:tc>
        <w:tc>
          <w:tcPr>
            <w:tcW w:w="0" w:type="auto"/>
          </w:tcPr>
          <w:p>
            <w:pPr>
              <w:spacing w:after="0" w:line="240" w:lineRule="auto"/>
            </w:pPr>
            <w:r>
              <w:t xml:space="preserve">je Datei eigene Rechtslage</w:t>
            </w:r>
          </w:p>
        </w:tc>
        <w:tc>
          <w:tcPr>
            <w:tcW w:w="0" w:type="auto"/>
          </w:tcPr>
          <w:p>
            <w:pPr>
              <w:spacing w:after="0" w:line="240" w:lineRule="auto"/>
            </w:pPr>
            <w:r>
              <w:t xml:space="preserve">nur Dateien mit klarer Erlaubnis ins Repositorium; die übrigen erzeugt der eigene Exporteur im Rundlauf. Je Datei eine Liesmich-Zeile mit Herkunft, Abrufdatum und Lizenzstand</w:t>
            </w:r>
          </w:p>
        </w:tc>
      </w:tr>
      <w:tr>
        <w:tc>
          <w:tcPr>
            <w:tcW w:w="0" w:type="auto"/>
          </w:tcPr>
          <w:p>
            <w:pPr>
              <w:spacing w:after="0" w:line="240" w:lineRule="auto"/>
            </w:pPr>
            <w:r>
              <w:rPr>
                <w:b/>
              </w:rPr>
              <w:t xml:space="preserve">three.js</w:t>
            </w:r>
          </w:p>
        </w:tc>
        <w:tc>
          <w:tcPr>
            <w:tcW w:w="0" w:type="auto"/>
          </w:tcPr>
          <w:p>
            <w:pPr>
              <w:spacing w:after="0" w:line="240" w:lineRule="auto"/>
            </w:pPr>
            <w:r>
              <w:t xml:space="preserve">MIT, lokal ausgeliefert</w:t>
            </w:r>
          </w:p>
        </w:tc>
        <w:tc>
          <w:tcPr>
            <w:tcW w:w="0" w:type="auto"/>
          </w:tcPr>
          <w:p>
            <w:pPr>
              <w:spacing w:after="0" w:line="240" w:lineRule="auto"/>
            </w:pPr>
            <w:r>
              <w:t xml:space="preserve">kommt auf dieselbe Lizenzhinweisseite</w:t>
            </w:r>
          </w:p>
        </w:tc>
      </w:tr>
      <w:tr>
        <w:tc>
          <w:tcPr>
            <w:tcW w:w="0" w:type="auto"/>
          </w:tcPr>
          <w:p>
            <w:pPr>
              <w:spacing w:after="0" w:line="240" w:lineRule="auto"/>
            </w:pPr>
            <w:r>
              <w:rPr>
                <w:b/>
              </w:rPr>
              <w:t xml:space="preserve">Paketgröße und Trimming auf iOS</w:t>
            </w:r>
          </w:p>
        </w:tc>
        <w:tc>
          <w:tcPr>
            <w:tcW w:w="0" w:type="auto"/>
          </w:tcPr>
          <w:p>
            <w:pPr>
              <w:spacing w:after="0" w:line="240" w:lineRule="auto"/>
            </w:pPr>
            <w:r>
              <w:t xml:space="preserve">zu messen, nicht zu schätzen</w:t>
            </w:r>
          </w:p>
        </w:tc>
        <w:tc>
          <w:tcPr>
            <w:tcW w:w="0" w:type="auto"/>
          </w:tcPr>
          <w:p>
            <w:pPr>
              <w:spacing w:after="0" w:line="240" w:lineRule="auto"/>
            </w:pPr>
            <w:r>
              <w:t xml:space="preserve">deshalb steht die Formatnaht </w:t>
            </w:r>
            <w:r>
              <w:rPr>
                <w:b/>
              </w:rPr>
              <w:t xml:space="preserve">von Anfang an</w:t>
            </w:r>
            <w:r>
              <w:t xml:space="preserve">: zieht der Leser später in ein eigenes Projekt, kostet der Umzug eine Fabrikzeile statt eines Umbaus</w:t>
            </w:r>
          </w:p>
        </w:tc>
      </w:tr>
      <w:tr>
        <w:tc>
          <w:tcPr>
            <w:tcW w:w="0" w:type="auto"/>
          </w:tcPr>
          <w:p>
            <w:pPr>
              <w:spacing w:after="0" w:line="240" w:lineRule="auto"/>
            </w:pPr>
            <w:r>
              <w:rPr>
                <w:b/>
              </w:rPr>
              <w:t xml:space="preserve">Kennzeichnung schematischer Geometrie</w:t>
            </w:r>
          </w:p>
        </w:tc>
        <w:tc>
          <w:tcPr>
            <w:tcW w:w="0" w:type="auto"/>
          </w:tcPr>
          <w:p>
            <w:pPr>
              <w:spacing w:after="0" w:line="240" w:lineRule="auto"/>
            </w:pPr>
            <w:r>
              <w:t xml:space="preserve">Auslieferungsauflage</w:t>
            </w:r>
          </w:p>
        </w:tc>
        <w:tc>
          <w:tcPr>
            <w:tcW w:w="0" w:type="auto"/>
          </w:tcPr>
          <w:p>
            <w:pPr>
              <w:spacing w:after="0" w:line="240" w:lineRule="auto"/>
            </w:pPr>
            <w:r>
              <w:t xml:space="preserve">in der Datei, im Beipackzettel und in der Oberfläche; eine exportierte Ersatzgeometrie darf nirgends als Vermessung erscheinen</w:t>
            </w:r>
          </w:p>
        </w:tc>
      </w:tr>
    </w:tbl>
    <w:p>
      <w:pPr>
        <w:spacing w:after="120"/>
      </w:pPr>
    </w:p>
    <w:p>
      <w:r>
        <w:rPr>
          <w:b/>
        </w:rPr>
        <w:t xml:space="preserve">Kein Export darf mehr behaupten, als er weiß.</w:t>
      </w:r>
      <w:r>
        <w:t xml:space="preserve"> Die synthetische Quadergeometrie und die schematischen Körper haben die richtige Bilanz und eine erfundene Gestalt. Eine Datei, die aussieht wie ein Gebäude, aber keines ist, ist gefährlicher als eine, die offensichtlich leer ist.</w:t>
      </w:r>
    </w:p>
    <w:p>
      <w:pPr>
        <w:pStyle w:val="Heading2"/>
      </w:pPr>
      <w:r>
        <w:t xml:space="preserve">7.3 Der Gebäudebetrachter auf der Exportgeometrie</w:t>
      </w:r>
    </w:p>
    <w:p>
      <w:r>
        <w:t xml:space="preserve">Entscheid E11 ändert an diesen Wegen die </w:t>
      </w:r>
      <w:r>
        <w:rPr>
          <w:b/>
        </w:rPr>
        <w:t xml:space="preserve">Herkunft</w:t>
      </w:r>
      <w:r>
        <w:t xml:space="preserve">, nicht den Inhalt: die Geometrie, die G7b und G7e schreiben, wird nicht mehr im Exporteur gerechnet. Sie entsteht </w:t>
      </w:r>
      <w:r>
        <w:rPr>
          <w:b/>
        </w:rPr>
        <w:t xml:space="preserve">einmal im Kern</w:t>
      </w:r>
      <w:r>
        <w:t xml:space="preserve"> als Zonengeometrie-Modell und wird von der Ansicht und von beiden Exporten gelesen.</w:t>
      </w:r>
    </w:p>
    <w:p>
      <w:pPr>
        <w:pStyle w:val="ListBullet"/>
        <w:numPr>
          <w:ilvl w:val="0"/>
          <w:numId w:val="6"/>
        </w:numPr>
      </w:pPr>
      <w:r>
        <w:rPr>
          <w:b/>
        </w:rPr>
        <w:t xml:space="preserve">Woher das Polygon kommt:</w:t>
      </w:r>
      <w:r>
        <w:t xml:space="preserve"> mit IFC aus den Raumgrenzen, deren Flächeninhalt ohne Geometriekernel zu rechnen ist, mit dem Geschoss aus der Bauwerksetage; ohne IFC als Rechteck aus Zonenfläche und Seitenverhältnis der Bauteilgruppen — </w:t>
      </w:r>
      <m:oMath xmlns:m="http://schemas.openxmlformats.org/officeDocument/2006/math">
        <m:r>
          <w:rPr>
            <w:rFonts w:ascii="Cambria Math" w:hAnsi="Cambria Math"/>
          </w:rPr>
          <m:t>h</m:t>
        </m:r>
        <m:r>
          <w:rPr>
            <w:rFonts w:ascii="Cambria Math" w:hAnsi="Cambria Math"/>
          </w:rPr>
          <m:t>=</m:t>
        </m:r>
        <m:r>
          <w:rPr>
            <w:rFonts w:ascii="Cambria Math" w:hAnsi="Cambria Math"/>
          </w:rPr>
          <m:t>V</m:t>
        </m:r>
        <m:r>
          <w:rPr>
            <w:rFonts w:ascii="Cambria Math" w:hAnsi="Cambria Math"/>
          </w:rPr>
          <m:t>/</m:t>
        </m:r>
        <m:r>
          <w:rPr>
            <w:rFonts w:ascii="Cambria Math" w:hAnsi="Cambria Math"/>
          </w:rPr>
          <m:t>A</m:t>
        </m:r>
      </m:oMath>
      <w:r>
        <w:t xml:space="preserve">, </w:t>
      </w:r>
      <m:oMath xmlns:m="http://schemas.openxmlformats.org/officeDocument/2006/math">
        <m:r>
          <w:rPr>
            <w:rFonts w:ascii="Cambria Math" w:hAnsi="Cambria Math"/>
          </w:rPr>
          <m:t>l</m:t>
        </m:r>
        <m:r>
          <w:rPr>
            <w:rFonts w:ascii="Cambria Math" w:hAnsi="Cambria Math"/>
          </w:rPr>
          <m:t>=</m:t>
        </m:r>
        <m:sSub>
          <m:e>
            <m:r>
              <w:rPr>
                <w:rFonts w:ascii="Cambria Math" w:hAnsi="Cambria Math"/>
              </w:rPr>
              <m:t>A</m:t>
            </m:r>
          </m:e>
          <m:sub>
            <m:r>
              <m:rPr>
                <m:sty m:val="p"/>
              </m:rPr>
              <w:rPr>
                <w:rFonts w:ascii="Cambria Math" w:hAnsi="Cambria Math"/>
              </w:rPr>
              <m:t>NS</m:t>
            </m:r>
          </m:sub>
        </m:sSub>
        <m:r>
          <w:rPr>
            <w:rFonts w:ascii="Cambria Math" w:hAnsi="Cambria Math"/>
          </w:rPr>
          <m:t>/</m:t>
        </m:r>
        <m:r>
          <w:rPr>
            <w:rFonts w:ascii="Cambria Math" w:hAnsi="Cambria Math"/>
          </w:rPr>
          <m:t>(</m:t>
        </m:r>
        <m:r>
          <w:rPr>
            <w:rFonts w:ascii="Cambria Math" w:hAnsi="Cambria Math"/>
          </w:rPr>
          <m:t>2</m:t>
        </m:r>
        <m:r>
          <w:rPr>
            <w:rFonts w:ascii="Cambria Math" w:hAnsi="Cambria Math"/>
          </w:rPr>
          <m:t>⋅</m:t>
        </m:r>
        <m:r>
          <w:rPr>
            <w:rFonts w:ascii="Cambria Math" w:hAnsi="Cambria Math"/>
          </w:rPr>
          <m:t>h</m:t>
        </m:r>
        <m:r>
          <w:rPr>
            <w:rFonts w:ascii="Cambria Math" w:hAnsi="Cambria Math"/>
          </w:rPr>
          <m:t>)</m:t>
        </m:r>
      </m:oMath>
      <w:r>
        <w:t xml:space="preserve">, </w:t>
      </w:r>
      <m:oMath xmlns:m="http://schemas.openxmlformats.org/officeDocument/2006/math">
        <m:r>
          <w:rPr>
            <w:rFonts w:ascii="Cambria Math" w:hAnsi="Cambria Math"/>
          </w:rPr>
          <m:t>b</m:t>
        </m:r>
        <m:r>
          <w:rPr>
            <w:rFonts w:ascii="Cambria Math" w:hAnsi="Cambria Math"/>
          </w:rPr>
          <m:t>=</m:t>
        </m:r>
        <m:sSub>
          <m:e>
            <m:r>
              <w:rPr>
                <w:rFonts w:ascii="Cambria Math" w:hAnsi="Cambria Math"/>
              </w:rPr>
              <m:t>A</m:t>
            </m:r>
          </m:e>
          <m:sub>
            <m:r>
              <m:rPr>
                <m:sty m:val="p"/>
              </m:rPr>
              <w:rPr>
                <w:rFonts w:ascii="Cambria Math" w:hAnsi="Cambria Math"/>
              </w:rPr>
              <m:t>OW</m:t>
            </m:r>
          </m:sub>
        </m:sSub>
        <m:r>
          <w:rPr>
            <w:rFonts w:ascii="Cambria Math" w:hAnsi="Cambria Math"/>
          </w:rPr>
          <m:t>/</m:t>
        </m:r>
        <m:r>
          <w:rPr>
            <w:rFonts w:ascii="Cambria Math" w:hAnsi="Cambria Math"/>
          </w:rPr>
          <m:t>(</m:t>
        </m:r>
        <m:r>
          <w:rPr>
            <w:rFonts w:ascii="Cambria Math" w:hAnsi="Cambria Math"/>
          </w:rPr>
          <m:t>2</m:t>
        </m:r>
        <m:r>
          <w:rPr>
            <w:rFonts w:ascii="Cambria Math" w:hAnsi="Cambria Math"/>
          </w:rPr>
          <m:t>⋅</m:t>
        </m:r>
        <m:r>
          <w:rPr>
            <w:rFonts w:ascii="Cambria Math" w:hAnsi="Cambria Math"/>
          </w:rPr>
          <m:t>h</m:t>
        </m:r>
        <m:r>
          <w:rPr>
            <w:rFonts w:ascii="Cambria Math" w:hAnsi="Cambria Math"/>
          </w:rPr>
          <m:t>)</m:t>
        </m:r>
      </m:oMath>
      <w:r>
        <w:t xml:space="preserve"> —, samt Bruttoflächenregel, 10-%-Probe gegen die Nutzfläche und Rückfall auf das Quadrat; im Einzonenmodell ist das ein Quader je Gebäude.</w:t>
      </w:r>
    </w:p>
    <w:p>
      <w:pPr>
        <w:pStyle w:val="ListBullet"/>
        <w:numPr>
          <w:ilvl w:val="0"/>
          <w:numId w:val="6"/>
        </w:numPr>
      </w:pPr>
      <w:r>
        <w:rPr>
          <w:b/>
        </w:rPr>
        <w:t xml:space="preserve">G7b</w:t>
      </w:r>
      <w:r>
        <w:t xml:space="preserve"> liest Polygone und Höhen und schreibt sie als Polygongeometrie samt Hülle; die kantenschlüssige Regel von 1 mm und die benannte Ablehnung bei widersprüchlicher Anordnung greifen jetzt am Modell, nicht im Exporteur.</w:t>
      </w:r>
    </w:p>
    <w:p>
      <w:pPr>
        <w:pStyle w:val="ListBullet"/>
        <w:numPr>
          <w:ilvl w:val="0"/>
          <w:numId w:val="6"/>
        </w:numPr>
      </w:pPr>
      <w:r>
        <w:rPr>
          <w:b/>
        </w:rPr>
        <w:t xml:space="preserve">G7e</w:t>
      </w:r>
      <w:r>
        <w:t xml:space="preserve"> liest dasselbe Modell und schreibt Rechteckprofil, Extrusionskörper und Placement-Kette. </w:t>
      </w:r>
      <w:r>
        <w:rPr>
          <w:b/>
        </w:rPr>
        <w:t xml:space="preserve">Derselbe Grundriss, dieselbe Höhe, dieselbe Anordnung</w:t>
      </w:r>
      <w:r>
        <w:t xml:space="preserve"> wie in der Ansicht und im gbXML; ein Unterschied zwischen beiden Dateien ist damit ein Fehler, keine Auslegung.</w:t>
      </w:r>
    </w:p>
    <w:p>
      <w:pPr>
        <w:pStyle w:val="ListBullet"/>
        <w:numPr>
          <w:ilvl w:val="0"/>
          <w:numId w:val="6"/>
        </w:numPr>
      </w:pPr>
      <w:r>
        <w:rPr>
          <w:b/>
        </w:rPr>
        <w:t xml:space="preserve">Drei Abnahmeproben (Proben 25 bis 27):</w:t>
      </w:r>
      <w:r>
        <w:t xml:space="preserve"> Determinismus der Geometrie (dieselbe Eingabe, dieselben Polygone auf 1e-6, byteweise gleiche Exporte — über das Modell, nicht über das Bild); Komponentenprobe der Ansicht; und „Ansicht und Datei zeigen dasselbe", gemessen </w:t>
      </w:r>
      <w:r>
        <w:rPr>
          <w:b/>
        </w:rPr>
        <w:t xml:space="preserve">gegen das Zonengeometrie-Modell</w:t>
      </w:r>
      <w:r>
        <w:t xml:space="preserve">, nicht gegeneinander.</w:t>
      </w:r>
    </w:p>
    <w:p>
      <w:r>
        <w:rPr>
          <w:b/>
        </w:rPr>
        <w:t xml:space="preserve">Einzelheiten:</w:t>
      </w:r>
      <w:r>
        <w:t xml:space="preserve"> </w:t>
      </w:r>
      <w:r>
        <w:rPr>
          <w:rFonts w:ascii="Consolas" w:hAnsi="Consolas" w:cs="Consolas"/>
          <w:noProof/>
          <w:sz w:val="20"/>
          <w:szCs w:val="20"/>
          <w:shd w:val="clear" w:color="auto" w:fill="EFEFEF"/>
        </w:rPr>
        <w:t xml:space="preserve">Dokumentation/aktuell/Konzept_Datenaustausch_gbXML_IFC_EPOS-Plan.md</w:t>
      </w:r>
      <w:r>
        <w:t xml:space="preserve"> (Kapitel 0, 2, 3, 5, 6, 7, 8, 10 und Nachtrag 1), </w:t>
      </w:r>
      <w:r>
        <w:rPr>
          <w:rFonts w:ascii="Consolas" w:hAnsi="Consolas" w:cs="Consolas"/>
          <w:noProof/>
          <w:sz w:val="20"/>
          <w:szCs w:val="20"/>
          <w:shd w:val="clear" w:color="auto" w:fill="EFEFEF"/>
        </w:rPr>
        <w:t xml:space="preserve">Dokumentation/aktuell/Umsetzungskonzept_Gebaeudesimulation_VDI6007_EPOS-Plan.md</w:t>
      </w:r>
      <w:r>
        <w:t xml:space="preserve"> (Kapitel 3) sowie die Befunde C, N, P, R und S unter </w:t>
      </w:r>
      <w:r>
        <w:rPr>
          <w:rFonts w:ascii="Consolas" w:hAnsi="Consolas" w:cs="Consolas"/>
          <w:noProof/>
          <w:sz w:val="20"/>
          <w:szCs w:val="20"/>
          <w:shd w:val="clear" w:color="auto" w:fill="EFEFEF"/>
        </w:rPr>
        <w:t xml:space="preserve">Dokumentation/aktuell/Gebaeudesimulation/</w:t>
      </w:r>
      <w:r>
        <w:t xml:space="preserve">.</w:t>
      </w:r>
    </w:p>
    <w:p>
      <w:pPr>
        <w:pStyle w:val="Trennlinie"/>
      </w:pPr>
    </w:p>
    <w:p>
      <w:pPr>
        <w:pStyle w:val="Heading1"/>
      </w:pPr>
      <w:r>
        <w:t xml:space="preserve">8 Mehrzonenmodell</w:t>
      </w:r>
    </w:p>
    <w:p>
      <w:pPr>
        <w:pStyle w:val="Heading2"/>
      </w:pPr>
      <w:r>
        <w:t xml:space="preserve">8.1 Zonenkopplung in fünf Sätzen</w:t>
      </w:r>
    </w:p>
    <w:p>
      <w:r>
        <w:rPr>
          <w:b/>
        </w:rPr>
        <w:t xml:space="preserve">Erstens:</w:t>
      </w:r>
      <w:r>
        <w:t xml:space="preserve"> Die Richtlinie kennt keine Zonenkopplung, sie kennt die </w:t>
      </w:r>
      <w:r>
        <w:rPr>
          <w:b/>
        </w:rPr>
        <w:t xml:space="preserve">Randbedingung</w:t>
      </w:r>
      <w:r>
        <w:t xml:space="preserve"> — die Zusammenfassung von Räumen zu Gebäudezonen ist ausdrücklich ausgenommen, geregelt ist allein der Nachbarraum, dessen Bauteile in die Außenbauteilgruppe gehören und dessen Lufttemperatur als äquivalente Temperatur eingeht und mit U·A gewichtet wird. </w:t>
      </w:r>
      <w:r>
        <w:rPr>
          <w:b/>
        </w:rPr>
        <w:t xml:space="preserve">Zweitens:</w:t>
      </w:r>
      <w:r>
        <w:t xml:space="preserve"> Ein Mehrzonenmodell ist deshalb eine </w:t>
      </w:r>
      <w:r>
        <w:rPr>
          <w:b/>
        </w:rPr>
        <w:t xml:space="preserve">EPOS-Erweiterung</w:t>
      </w:r>
      <w:r>
        <w:t xml:space="preserve"> wie Kusuda und Hay-Davies, und die Produktaussage bleibt „Rechenkern nach VDI 6007 Blatt 1" </w:t>
      </w:r>
      <w:r>
        <w:rPr>
          <w:b/>
        </w:rPr>
        <w:t xml:space="preserve">je Zone</w:t>
      </w:r>
      <w:r>
        <w:t xml:space="preserve">. </w:t>
      </w:r>
      <w:r>
        <w:rPr>
          <w:b/>
        </w:rPr>
        <w:t xml:space="preserve">Drittens:</w:t>
      </w:r>
      <w:r>
        <w:t xml:space="preserve"> Der Rechenweg ist keine zweite Physik, sondern eine zusätzliche Randbedingung — je Zone läuft das validierte Netz weiter, die Kopplung sitzt ausschließlich in der gewichteten äquivalenten Außentemperatur. </w:t>
      </w:r>
      <w:r>
        <w:rPr>
          <w:b/>
        </w:rPr>
        <w:t xml:space="preserve">Viertens:</w:t>
      </w:r>
      <w:r>
        <w:t xml:space="preserve"> Vorgeschlagen ist </w:t>
      </w:r>
      <w:r>
        <w:rPr>
          <w:b/>
        </w:rPr>
        <w:t xml:space="preserve">Gauß-Seidel innerhalb der Stunde</w:t>
      </w:r>
      <w:r>
        <w:t xml:space="preserve"> mit fester Reihenfolge, den Abbruchmaßen 0,01 K </w:t>
      </w:r>
      <w:r>
        <w:rPr>
          <w:b/>
        </w:rPr>
        <w:t xml:space="preserve">und 0,1 W</w:t>
      </w:r>
      <w:r>
        <w:t xml:space="preserve">, höchstens 50 Durchläufen und benanntem Fehler; das Regelungsmuster des ersten Durchlaufs einer Stunde wird festgehalten und jeder Wechsel gezählt. </w:t>
      </w:r>
      <w:r>
        <w:rPr>
          <w:b/>
        </w:rPr>
        <w:t xml:space="preserve">Fünftens:</w:t>
      </w:r>
      <w:r>
        <w:t xml:space="preserve"> Der Nachweis kommt aus Grenzfällen, weil es keinen Normtestfall für gekoppelte Zonen gibt — eine Zone </w:t>
      </w:r>
      <w:r>
        <w:rPr>
          <w:b/>
        </w:rPr>
        <w:t xml:space="preserve">bitgleich</w:t>
      </w:r>
      <w:r>
        <w:t xml:space="preserve"> zum Einzonenmodell desselben Programmstands als Gate, zwei identische Zonen ohne Austausch gleich zwei Einzonenmodellen, das exakte Gesamtsystem für zwei Zonen als Prüforakel, die Kopplung über die Vorstunde als Vergleichsrechnung.</w:t>
      </w:r>
    </w:p>
    <w:p>
      <w:r>
        <w:t xml:space="preserve">Der Strahlungsaustausch endet an der Zonengrenze; das ist ein Argument für </w:t>
      </w:r>
      <w:r>
        <w:rPr>
          <w:b/>
        </w:rPr>
        <w:t xml:space="preserve">große</w:t>
      </w:r>
      <w:r>
        <w:t xml:space="preserve"> Zonen, und die 4-K-Regel sowie die Mindestgröße einer Zone wirken in dieselbe Richtung.</w:t>
      </w:r>
    </w:p>
    <w:p>
      <w:pPr>
        <w:pStyle w:val="Heading2"/>
      </w:pPr>
      <w:r>
        <w:t xml:space="preserve">8.2 Datenmodell Zone → Bauteil → Aufbau → Schicht → Baustoff</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Tabelle</w:t>
            </w:r>
          </w:p>
        </w:tc>
        <w:tc>
          <w:tcPr>
            <w:tcW w:w="0" w:type="auto"/>
            <w:shd w:val="clear" w:color="auto" w:fill="D9D9D9"/>
          </w:tcPr>
          <w:p>
            <w:pPr>
              <w:spacing w:after="0" w:line="240" w:lineRule="auto"/>
              <w:rPr>
                <w:b/>
              </w:rPr>
            </w:pPr>
            <w:r>
              <w:rPr>
                <w:b/>
              </w:rPr>
              <w:t xml:space="preserve">Bauform</w:t>
            </w:r>
          </w:p>
        </w:tc>
        <w:tc>
          <w:tcPr>
            <w:tcW w:w="0" w:type="auto"/>
            <w:shd w:val="clear" w:color="auto" w:fill="D9D9D9"/>
          </w:tcPr>
          <w:p>
            <w:pPr>
              <w:spacing w:after="0" w:line="240" w:lineRule="auto"/>
              <w:rPr>
                <w:b/>
              </w:rPr>
            </w:pPr>
            <w:r>
              <w:rPr>
                <w:b/>
              </w:rPr>
              <w:t xml:space="preserve">Kennzeichnende Spalten</w:t>
            </w:r>
          </w:p>
        </w:tc>
      </w:tr>
      <w:tr>
        <w:tc>
          <w:tcPr>
            <w:tcW w:w="0" w:type="auto"/>
          </w:tcPr>
          <w:p>
            <w:pPr>
              <w:spacing w:after="0" w:line="240" w:lineRule="auto"/>
            </w:pPr>
            <w:r>
              <w:rPr>
                <w:rFonts w:ascii="Consolas" w:hAnsi="Consolas" w:cs="Consolas"/>
                <w:noProof/>
                <w:sz w:val="20"/>
                <w:szCs w:val="20"/>
                <w:shd w:val="clear" w:color="auto" w:fill="EFEFEF"/>
              </w:rPr>
              <w:t xml:space="preserve">Tab_Zone</w:t>
            </w:r>
          </w:p>
        </w:tc>
        <w:tc>
          <w:tcPr>
            <w:tcW w:w="0" w:type="auto"/>
          </w:tcPr>
          <w:p>
            <w:pPr>
              <w:spacing w:after="0" w:line="240" w:lineRule="auto"/>
            </w:pPr>
            <w:r>
              <w:t xml:space="preserve">geordnete Kindliste an </w:t>
            </w:r>
            <w:r>
              <w:rPr>
                <w:rFonts w:ascii="Consolas" w:hAnsi="Consolas" w:cs="Consolas"/>
                <w:noProof/>
                <w:sz w:val="20"/>
                <w:szCs w:val="20"/>
                <w:shd w:val="clear" w:color="auto" w:fill="EFEFEF"/>
              </w:rPr>
              <w:t xml:space="preserve">Tab_Gebaeude</w:t>
            </w:r>
            <w:r>
              <w:t xml:space="preserve">, </w:t>
            </w:r>
            <w:r>
              <w:rPr>
                <w:b/>
              </w:rPr>
              <w:t xml:space="preserve">kein</w:t>
            </w:r>
            <w:r>
              <w:t xml:space="preserve"> Katalogzwilling — eine Zone ist Projektware</w:t>
            </w:r>
          </w:p>
        </w:tc>
        <w:tc>
          <w:tcPr>
            <w:tcW w:w="0" w:type="auto"/>
          </w:tcPr>
          <w:p>
            <w:pPr>
              <w:spacing w:after="0" w:line="240" w:lineRule="auto"/>
            </w:pPr>
            <w:r>
              <w:rPr>
                <w:rFonts w:ascii="Consolas" w:hAnsi="Consolas" w:cs="Consolas"/>
                <w:noProof/>
                <w:sz w:val="20"/>
                <w:szCs w:val="20"/>
                <w:shd w:val="clear" w:color="auto" w:fill="EFEFEF"/>
              </w:rPr>
              <w:t xml:space="preserve">Rang</w:t>
            </w:r>
            <w:r>
              <w:t xml:space="preserve"> lückenlos ab 1 (zugleich die Iterationsreihenfolge), </w:t>
            </w:r>
            <w:r>
              <w:rPr>
                <w:rFonts w:ascii="Consolas" w:hAnsi="Consolas" w:cs="Consolas"/>
                <w:noProof/>
                <w:sz w:val="20"/>
                <w:szCs w:val="20"/>
                <w:shd w:val="clear" w:color="auto" w:fill="EFEFEF"/>
              </w:rPr>
              <w:t xml:space="preserve">Bezeichner</w:t>
            </w:r>
            <w:r>
              <w:t xml:space="preserve">, </w:t>
            </w:r>
            <w:r>
              <w:rPr>
                <w:rFonts w:ascii="Consolas" w:hAnsi="Consolas" w:cs="Consolas"/>
                <w:noProof/>
                <w:sz w:val="20"/>
                <w:szCs w:val="20"/>
                <w:shd w:val="clear" w:color="auto" w:fill="EFEFEF"/>
              </w:rPr>
              <w:t xml:space="preserve">Nutzflaeche</w:t>
            </w:r>
            <w:r>
              <w:t xml:space="preserve">/</w:t>
            </w:r>
            <w:r>
              <w:rPr>
                <w:rFonts w:ascii="Consolas" w:hAnsi="Consolas" w:cs="Consolas"/>
                <w:noProof/>
                <w:sz w:val="20"/>
                <w:szCs w:val="20"/>
                <w:shd w:val="clear" w:color="auto" w:fill="EFEFEF"/>
              </w:rPr>
              <w:t xml:space="preserve">Raumhoehe</w:t>
            </w:r>
            <w:r>
              <w:t xml:space="preserve">/</w:t>
            </w:r>
            <w:r>
              <w:rPr>
                <w:rFonts w:ascii="Consolas" w:hAnsi="Consolas" w:cs="Consolas"/>
                <w:noProof/>
                <w:sz w:val="20"/>
                <w:szCs w:val="20"/>
                <w:shd w:val="clear" w:color="auto" w:fill="EFEFEF"/>
              </w:rPr>
              <w:t xml:space="preserve">Volumen</w:t>
            </w:r>
            <w:r>
              <w:t xml:space="preserve"> (NULL = abgeleitet), </w:t>
            </w:r>
            <w:r>
              <w:rPr>
                <w:rFonts w:ascii="Consolas" w:hAnsi="Consolas" w:cs="Consolas"/>
                <w:noProof/>
                <w:sz w:val="20"/>
                <w:szCs w:val="20"/>
                <w:shd w:val="clear" w:color="auto" w:fill="EFEFEF"/>
              </w:rPr>
              <w:t xml:space="preserve">IstBeheizt</w:t>
            </w:r>
            <w:r>
              <w:t xml:space="preserve"> als Schalter, alle Sollwerte und Luftwechsel als NULL = Wert des Gebäudes, </w:t>
            </w:r>
            <w:r>
              <w:rPr>
                <w:rFonts w:ascii="Consolas" w:hAnsi="Consolas" w:cs="Consolas"/>
                <w:noProof/>
                <w:sz w:val="20"/>
                <w:szCs w:val="20"/>
                <w:shd w:val="clear" w:color="auto" w:fill="EFEFEF"/>
              </w:rPr>
              <w:t xml:space="preserve">Herkunft</w:t>
            </w:r>
            <w:r>
              <w:t xml:space="preserve"> und </w:t>
            </w:r>
            <w:r>
              <w:rPr>
                <w:rFonts w:ascii="Consolas" w:hAnsi="Consolas" w:cs="Consolas"/>
                <w:noProof/>
                <w:sz w:val="20"/>
                <w:szCs w:val="20"/>
                <w:shd w:val="clear" w:color="auto" w:fill="EFEFEF"/>
              </w:rPr>
              <w:t xml:space="preserve">Quellkennung</w:t>
            </w:r>
          </w:p>
        </w:tc>
      </w:tr>
      <w:tr>
        <w:tc>
          <w:tcPr>
            <w:tcW w:w="0" w:type="auto"/>
          </w:tcPr>
          <w:p>
            <w:pPr>
              <w:spacing w:after="0" w:line="240" w:lineRule="auto"/>
            </w:pPr>
            <w:r>
              <w:rPr>
                <w:rFonts w:ascii="Consolas" w:hAnsi="Consolas" w:cs="Consolas"/>
                <w:noProof/>
                <w:sz w:val="20"/>
                <w:szCs w:val="20"/>
                <w:shd w:val="clear" w:color="auto" w:fill="EFEFEF"/>
              </w:rPr>
              <w:t xml:space="preserve">Tab_Bauteil</w:t>
            </w:r>
          </w:p>
        </w:tc>
        <w:tc>
          <w:tcPr>
            <w:tcW w:w="0" w:type="auto"/>
          </w:tcPr>
          <w:p>
            <w:pPr>
              <w:spacing w:after="0" w:line="240" w:lineRule="auto"/>
            </w:pPr>
            <w:r>
              <w:t xml:space="preserve">geordnete Kindliste an </w:t>
            </w:r>
            <w:r>
              <w:rPr>
                <w:rFonts w:ascii="Consolas" w:hAnsi="Consolas" w:cs="Consolas"/>
                <w:noProof/>
                <w:sz w:val="20"/>
                <w:szCs w:val="20"/>
                <w:shd w:val="clear" w:color="auto" w:fill="EFEFEF"/>
              </w:rPr>
              <w:t xml:space="preserve">Tab_Zone</w:t>
            </w:r>
            <w:r>
              <w:t xml:space="preserve"> — </w:t>
            </w:r>
            <w:r>
              <w:rPr>
                <w:b/>
              </w:rPr>
              <w:t xml:space="preserve">nicht</w:t>
            </w:r>
            <w:r>
              <w:t xml:space="preserve"> am Gebäude, damit die Abfragen im Einzonenfall gleich bleiben</w:t>
            </w:r>
          </w:p>
        </w:tc>
        <w:tc>
          <w:tcPr>
            <w:tcW w:w="0" w:type="auto"/>
          </w:tcPr>
          <w:p>
            <w:pPr>
              <w:spacing w:after="0" w:line="240" w:lineRule="auto"/>
            </w:pPr>
            <w:r>
              <w:rPr>
                <w:rFonts w:ascii="Consolas" w:hAnsi="Consolas" w:cs="Consolas"/>
                <w:noProof/>
                <w:sz w:val="20"/>
                <w:szCs w:val="20"/>
                <w:shd w:val="clear" w:color="auto" w:fill="EFEFEF"/>
              </w:rPr>
              <w:t xml:space="preserve">Bauteilart</w:t>
            </w:r>
            <w:r>
              <w:t xml:space="preserve"> mit neun geprüften Werten, </w:t>
            </w:r>
            <w:r>
              <w:rPr>
                <w:rFonts w:ascii="Consolas" w:hAnsi="Consolas" w:cs="Consolas"/>
                <w:noProof/>
                <w:sz w:val="20"/>
                <w:szCs w:val="20"/>
                <w:shd w:val="clear" w:color="auto" w:fill="EFEFEF"/>
              </w:rPr>
              <w:t xml:space="preserve">Flaeche</w:t>
            </w:r>
            <w:r>
              <w:t xml:space="preserve">, </w:t>
            </w:r>
            <w:r>
              <w:rPr>
                <w:rFonts w:ascii="Consolas" w:hAnsi="Consolas" w:cs="Consolas"/>
                <w:noProof/>
                <w:sz w:val="20"/>
                <w:szCs w:val="20"/>
                <w:shd w:val="clear" w:color="auto" w:fill="EFEFEF"/>
              </w:rPr>
              <w:t xml:space="preserve">U_Wert</w:t>
            </w:r>
            <w:r>
              <w:t xml:space="preserve"> (NULL = aus dem Aufbau), </w:t>
            </w:r>
            <w:r>
              <w:rPr>
                <w:rFonts w:ascii="Consolas" w:hAnsi="Consolas" w:cs="Consolas"/>
                <w:noProof/>
                <w:sz w:val="20"/>
                <w:szCs w:val="20"/>
                <w:shd w:val="clear" w:color="auto" w:fill="EFEFEF"/>
              </w:rPr>
              <w:t xml:space="preserve">g_Wert</w:t>
            </w:r>
            <w:r>
              <w:t xml:space="preserve">/</w:t>
            </w:r>
            <w:r>
              <w:rPr>
                <w:rFonts w:ascii="Consolas" w:hAnsi="Consolas" w:cs="Consolas"/>
                <w:noProof/>
                <w:sz w:val="20"/>
                <w:szCs w:val="20"/>
                <w:shd w:val="clear" w:color="auto" w:fill="EFEFEF"/>
              </w:rPr>
              <w:t xml:space="preserve">Rahmenanteil</w:t>
            </w:r>
            <w:r>
              <w:t xml:space="preserve">/</w:t>
            </w:r>
            <w:r>
              <w:rPr>
                <w:rFonts w:ascii="Consolas" w:hAnsi="Consolas" w:cs="Consolas"/>
                <w:noProof/>
                <w:sz w:val="20"/>
                <w:szCs w:val="20"/>
                <w:shd w:val="clear" w:color="auto" w:fill="EFEFEF"/>
              </w:rPr>
              <w:t xml:space="preserve">Verschattungsfaktor</w:t>
            </w:r>
            <w:r>
              <w:t xml:space="preserve"> nur für Fenster, </w:t>
            </w:r>
            <w:r>
              <w:rPr>
                <w:rFonts w:ascii="Consolas" w:hAnsi="Consolas" w:cs="Consolas"/>
                <w:noProof/>
                <w:sz w:val="20"/>
                <w:szCs w:val="20"/>
                <w:shd w:val="clear" w:color="auto" w:fill="EFEFEF"/>
              </w:rPr>
              <w:t xml:space="preserve">Neigung</w:t>
            </w:r>
            <w:r>
              <w:t xml:space="preserve"> (NULL = nach Bauteilart), </w:t>
            </w:r>
            <w:r>
              <w:rPr>
                <w:rFonts w:ascii="Consolas" w:hAnsi="Consolas" w:cs="Consolas"/>
                <w:noProof/>
                <w:sz w:val="20"/>
                <w:szCs w:val="20"/>
                <w:shd w:val="clear" w:color="auto" w:fill="EFEFEF"/>
              </w:rPr>
              <w:t xml:space="preserve">Azimut</w:t>
            </w:r>
            <w:r>
              <w:t xml:space="preserve"> — </w:t>
            </w:r>
            <w:r>
              <w:rPr>
                <w:b/>
              </w:rPr>
              <w:t xml:space="preserve">NULL nur bei waagerechten Bauteilen zulässig</w:t>
            </w:r>
            <w:r>
              <w:t xml:space="preserve">, eine Wand ohne Azimut wird benannt abgelehnt, nicht auf Nord vorbelegt —, </w:t>
            </w:r>
            <w:r>
              <w:rPr>
                <w:rFonts w:ascii="Consolas" w:hAnsi="Consolas" w:cs="Consolas"/>
                <w:noProof/>
                <w:sz w:val="20"/>
                <w:szCs w:val="20"/>
                <w:shd w:val="clear" w:color="auto" w:fill="EFEFEF"/>
              </w:rPr>
              <w:t xml:space="preserve">Randbedingung</w:t>
            </w:r>
            <w:r>
              <w:t xml:space="preserve">, </w:t>
            </w:r>
            <w:r>
              <w:rPr>
                <w:rFonts w:ascii="Consolas" w:hAnsi="Consolas" w:cs="Consolas"/>
                <w:noProof/>
                <w:sz w:val="20"/>
                <w:szCs w:val="20"/>
                <w:shd w:val="clear" w:color="auto" w:fill="EFEFEF"/>
              </w:rPr>
              <w:t xml:space="preserve">ID_Nachbarzone</w:t>
            </w:r>
            <w:r>
              <w:t xml:space="preserve">, </w:t>
            </w:r>
            <m:oMath xmlns:m="http://schemas.openxmlformats.org/officeDocument/2006/math">
              <m:r>
                <w:rPr>
                  <w:rFonts w:ascii="Cambria Math" w:hAnsi="Cambria Math"/>
                </w:rPr>
                <m:t>ψ</m:t>
              </m:r>
              <m:r>
                <w:rPr>
                  <w:rFonts w:ascii="Cambria Math" w:hAnsi="Cambria Math"/>
                </w:rPr>
                <m:t>⋅</m:t>
              </m:r>
              <m:r>
                <w:rPr>
                  <w:rFonts w:ascii="Cambria Math" w:hAnsi="Cambria Math"/>
                </w:rPr>
                <m:t>L</m:t>
              </m:r>
            </m:oMath>
          </w:p>
        </w:tc>
      </w:tr>
      <w:tr>
        <w:tc>
          <w:tcPr>
            <w:tcW w:w="0" w:type="auto"/>
          </w:tcPr>
          <w:p>
            <w:pPr>
              <w:spacing w:after="0" w:line="240" w:lineRule="auto"/>
            </w:pPr>
            <w:r>
              <w:rPr>
                <w:rFonts w:ascii="Consolas" w:hAnsi="Consolas" w:cs="Consolas"/>
                <w:noProof/>
                <w:sz w:val="20"/>
                <w:szCs w:val="20"/>
                <w:shd w:val="clear" w:color="auto" w:fill="EFEFEF"/>
              </w:rPr>
              <w:t xml:space="preserve">Tab_Bauteilaufbau</w:t>
            </w:r>
            <w:r>
              <w:t xml:space="preserve"> und Zwilling</w:t>
            </w:r>
          </w:p>
        </w:tc>
        <w:tc>
          <w:tcPr>
            <w:tcW w:w="0" w:type="auto"/>
          </w:tcPr>
          <w:p>
            <w:pPr>
              <w:spacing w:after="0" w:line="240" w:lineRule="auto"/>
            </w:pPr>
            <w:r>
              <w:t xml:space="preserve">der wiederverwendbare Schichtaufbau</w:t>
            </w:r>
          </w:p>
        </w:tc>
        <w:tc>
          <w:tcPr>
            <w:tcW w:w="0" w:type="auto"/>
          </w:tcPr>
          <w:p>
            <w:pPr>
              <w:spacing w:after="0" w:line="240" w:lineRule="auto"/>
            </w:pPr>
            <w:r>
              <w:t xml:space="preserve">Bezeichner, Beschreibung, Bauteilart, Quelle, Herkunft</w:t>
            </w:r>
          </w:p>
        </w:tc>
      </w:tr>
      <w:tr>
        <w:tc>
          <w:tcPr>
            <w:tcW w:w="0" w:type="auto"/>
          </w:tcPr>
          <w:p>
            <w:pPr>
              <w:spacing w:after="0" w:line="240" w:lineRule="auto"/>
            </w:pPr>
            <w:r>
              <w:rPr>
                <w:rFonts w:ascii="Consolas" w:hAnsi="Consolas" w:cs="Consolas"/>
                <w:noProof/>
                <w:sz w:val="20"/>
                <w:szCs w:val="20"/>
                <w:shd w:val="clear" w:color="auto" w:fill="EFEFEF"/>
              </w:rPr>
              <w:t xml:space="preserve">Tab_Bauteilschicht</w:t>
            </w:r>
            <w:r>
              <w:t xml:space="preserve"> und Zwilling</w:t>
            </w:r>
          </w:p>
        </w:tc>
        <w:tc>
          <w:tcPr>
            <w:tcW w:w="0" w:type="auto"/>
          </w:tcPr>
          <w:p>
            <w:pPr>
              <w:spacing w:after="0" w:line="240" w:lineRule="auto"/>
            </w:pPr>
            <w:r>
              <w:t xml:space="preserve">Kindliste am Aufbau</w:t>
            </w:r>
          </w:p>
        </w:tc>
        <w:tc>
          <w:tcPr>
            <w:tcW w:w="0" w:type="auto"/>
          </w:tcPr>
          <w:p>
            <w:pPr>
              <w:spacing w:after="0" w:line="240" w:lineRule="auto"/>
            </w:pPr>
            <w:r>
              <w:rPr>
                <w:rFonts w:ascii="Consolas" w:hAnsi="Consolas" w:cs="Consolas"/>
                <w:noProof/>
                <w:sz w:val="20"/>
                <w:szCs w:val="20"/>
                <w:shd w:val="clear" w:color="auto" w:fill="EFEFEF"/>
              </w:rPr>
              <w:t xml:space="preserve">Reihenfolge</w:t>
            </w:r>
            <w:r>
              <w:t xml:space="preserve"> </w:t>
            </w:r>
            <w:r>
              <w:rPr>
                <w:b/>
              </w:rPr>
              <w:t xml:space="preserve">innen nach außen</w:t>
            </w:r>
            <w:r>
              <w:t xml:space="preserve"> ab 1, </w:t>
            </w:r>
            <w:r>
              <w:rPr>
                <w:rFonts w:ascii="Consolas" w:hAnsi="Consolas" w:cs="Consolas"/>
                <w:noProof/>
                <w:sz w:val="20"/>
                <w:szCs w:val="20"/>
                <w:shd w:val="clear" w:color="auto" w:fill="EFEFEF"/>
              </w:rPr>
              <w:t xml:space="preserve">Dicke</w:t>
            </w:r>
            <w:r>
              <w:t xml:space="preserve">, </w:t>
            </w:r>
            <w:r>
              <w:rPr>
                <w:rFonts w:ascii="Consolas" w:hAnsi="Consolas" w:cs="Consolas"/>
                <w:noProof/>
                <w:sz w:val="20"/>
                <w:szCs w:val="20"/>
                <w:shd w:val="clear" w:color="auto" w:fill="EFEFEF"/>
              </w:rPr>
              <w:t xml:space="preserve">IstLuftschicht</w:t>
            </w:r>
            <w:r>
              <w:t xml:space="preserve">, und </w:t>
            </w:r>
            <m:oMath xmlns:m="http://schemas.openxmlformats.org/officeDocument/2006/math">
              <m:r>
                <w:rPr>
                  <w:rFonts w:ascii="Cambria Math" w:hAnsi="Cambria Math"/>
                </w:rPr>
                <m:t>λ</m:t>
              </m:r>
            </m:oMath>
            <w:r>
              <w:t xml:space="preserve">, </w:t>
            </w:r>
            <m:oMath xmlns:m="http://schemas.openxmlformats.org/officeDocument/2006/math">
              <m:r>
                <w:rPr>
                  <w:rFonts w:ascii="Cambria Math" w:hAnsi="Cambria Math"/>
                </w:rPr>
                <m:t>ρ</m:t>
              </m:r>
            </m:oMath>
            <w:r>
              <w:t xml:space="preserve">, </w:t>
            </w:r>
            <m:oMath xmlns:m="http://schemas.openxmlformats.org/officeDocument/2006/math">
              <m:r>
                <w:rPr>
                  <w:rFonts w:ascii="Cambria Math" w:hAnsi="Cambria Math"/>
                </w:rPr>
                <m:t>c</m:t>
              </m:r>
            </m:oMath>
            <w:r>
              <w:t xml:space="preserve"> als </w:t>
            </w:r>
            <w:r>
              <w:rPr>
                <w:b/>
              </w:rPr>
              <w:t xml:space="preserve">Kopie der Stoffwerte zum Zeitpunkt der Zuordnung</w:t>
            </w:r>
            <w:r>
              <w:t xml:space="preserve">, damit eine späte Katalogänderung kein gerechnetes Ergebnis rückwirkend verschiebt; </w:t>
            </w:r>
            <w:r>
              <w:rPr>
                <w:b/>
              </w:rPr>
              <w:t xml:space="preserve">keine eigene Herkunft</w:t>
            </w:r>
            <w:r>
              <w:t xml:space="preserve"> — sie erbt die des Aufbaus</w:t>
            </w:r>
          </w:p>
        </w:tc>
      </w:tr>
      <w:tr>
        <w:tc>
          <w:tcPr>
            <w:tcW w:w="0" w:type="auto"/>
          </w:tcPr>
          <w:p>
            <w:pPr>
              <w:spacing w:after="0" w:line="240" w:lineRule="auto"/>
            </w:pPr>
            <w:r>
              <w:rPr>
                <w:rFonts w:ascii="Consolas" w:hAnsi="Consolas" w:cs="Consolas"/>
                <w:noProof/>
                <w:sz w:val="20"/>
                <w:szCs w:val="20"/>
                <w:shd w:val="clear" w:color="auto" w:fill="EFEFEF"/>
              </w:rPr>
              <w:t xml:space="preserve">Tab_Baustoff</w:t>
            </w:r>
            <w:r>
              <w:t xml:space="preserve"> und Zwilling</w:t>
            </w:r>
          </w:p>
        </w:tc>
        <w:tc>
          <w:tcPr>
            <w:tcW w:w="0" w:type="auto"/>
          </w:tcPr>
          <w:p>
            <w:pPr>
              <w:spacing w:after="0" w:line="240" w:lineRule="auto"/>
            </w:pPr>
            <w:r>
              <w:t xml:space="preserve">spaltengleich, weil eine Spalte auf nur einer Seite beim Kopieren sofort Datenverlust wäre</w:t>
            </w:r>
          </w:p>
        </w:tc>
        <w:tc>
          <w:tcPr>
            <w:tcW w:w="0" w:type="auto"/>
          </w:tcPr>
          <w:p>
            <w:pPr>
              <w:spacing w:after="0" w:line="240" w:lineRule="auto"/>
            </w:pPr>
            <w:r>
              <w:t xml:space="preserve">Bezeichner, Gruppe, </w:t>
            </w:r>
            <m:oMath xmlns:m="http://schemas.openxmlformats.org/officeDocument/2006/math">
              <m:r>
                <w:rPr>
                  <w:rFonts w:ascii="Cambria Math" w:hAnsi="Cambria Math"/>
                </w:rPr>
                <m:t>λ</m:t>
              </m:r>
            </m:oMath>
            <w:r>
              <w:t xml:space="preserve">, </w:t>
            </w:r>
            <m:oMath xmlns:m="http://schemas.openxmlformats.org/officeDocument/2006/math">
              <m:r>
                <w:rPr>
                  <w:rFonts w:ascii="Cambria Math" w:hAnsi="Cambria Math"/>
                </w:rPr>
                <m:t>ρ</m:t>
              </m:r>
            </m:oMath>
            <w:r>
              <w:t xml:space="preserve">, </w:t>
            </w:r>
            <m:oMath xmlns:m="http://schemas.openxmlformats.org/officeDocument/2006/math">
              <m:r>
                <w:rPr>
                  <w:rFonts w:ascii="Cambria Math" w:hAnsi="Cambria Math"/>
                </w:rPr>
                <m:t>c</m:t>
              </m:r>
            </m:oMath>
            <w:r>
              <w:t xml:space="preserve">, Quelle, Herkunft; Saat rund 60 Stoffe nach DIN 4108-4 und ISO 10456</w:t>
            </w:r>
          </w:p>
        </w:tc>
      </w:tr>
      <w:tr>
        <w:tc>
          <w:tcPr>
            <w:tcW w:w="0" w:type="auto"/>
          </w:tcPr>
          <w:p>
            <w:pPr>
              <w:spacing w:after="0" w:line="240" w:lineRule="auto"/>
            </w:pPr>
            <w:r>
              <w:rPr>
                <w:rFonts w:ascii="Consolas" w:hAnsi="Consolas" w:cs="Consolas"/>
                <w:noProof/>
                <w:sz w:val="20"/>
                <w:szCs w:val="20"/>
                <w:shd w:val="clear" w:color="auto" w:fill="EFEFEF"/>
              </w:rPr>
              <w:t xml:space="preserve">Tab_Zonenluftstrom</w:t>
            </w:r>
          </w:p>
        </w:tc>
        <w:tc>
          <w:tcPr>
            <w:tcW w:w="0" w:type="auto"/>
          </w:tcPr>
          <w:p>
            <w:pPr>
              <w:spacing w:after="0" w:line="240" w:lineRule="auto"/>
            </w:pPr>
            <w:r>
              <w:t xml:space="preserve">Paartabelle</w:t>
            </w:r>
          </w:p>
        </w:tc>
        <w:tc>
          <w:tcPr>
            <w:tcW w:w="0" w:type="auto"/>
          </w:tcPr>
          <w:p>
            <w:pPr>
              <w:spacing w:after="0" w:line="240" w:lineRule="auto"/>
            </w:pPr>
            <w:r>
              <w:rPr>
                <w:rFonts w:ascii="Consolas" w:hAnsi="Consolas" w:cs="Consolas"/>
                <w:noProof/>
                <w:sz w:val="20"/>
                <w:szCs w:val="20"/>
                <w:shd w:val="clear" w:color="auto" w:fill="EFEFEF"/>
              </w:rPr>
              <w:t xml:space="preserve">CHECK (ID_ZoneA &lt; ID_ZoneB)</w:t>
            </w:r>
            <w:r>
              <w:t xml:space="preserve"> normiert die Richtung, ein eindeutiger Index erzwingt </w:t>
            </w:r>
            <w:r>
              <w:rPr>
                <w:b/>
              </w:rPr>
              <w:t xml:space="preserve">eine</w:t>
            </w:r>
            <w:r>
              <w:t xml:space="preserve"> Zeile je Paar — erst beides zusammen trägt die Massenbilanz von selbst</w:t>
            </w:r>
          </w:p>
        </w:tc>
      </w:tr>
    </w:tbl>
    <w:p>
      <w:pPr>
        <w:spacing w:after="120"/>
      </w:pPr>
    </w:p>
    <w:p>
      <w:r>
        <w:rPr>
          <w:b/>
        </w:rPr>
        <w:t xml:space="preserve">Ein Gebäude ohne Zone bleibt ein Gebäude ohne Zone:</w:t>
      </w:r>
      <w:r>
        <w:t xml:space="preserve"> eine leere Zonentabelle heißt, der Klassenweg rechnet wie bisher. Zonen entstehen erst nach ausdrücklicher Übernahme, nie implizit. Der Keller ist im Mehrzonenmodell eine </w:t>
      </w:r>
      <w:r>
        <w:rPr>
          <w:b/>
        </w:rPr>
        <w:t xml:space="preserve">unbeheizte Zone</w:t>
      </w:r>
      <w:r>
        <w:t xml:space="preserve">, nicht eine Randbedingung; unbeheizte Zonen bekommen eigene Zeilen im Ergebnis — sie tragen keine Heizlast, aber Temperatur und Überhitzungsstunden, und das ist der fachliche Gewinn.</w:t>
      </w:r>
    </w:p>
    <w:p>
      <w:pPr>
        <w:pStyle w:val="Heading2"/>
      </w:pPr>
      <w:r>
        <w:t xml:space="preserve">8.3 Import in Zonen</w:t>
      </w:r>
    </w:p>
    <w:p>
      <w:r>
        <w:rPr>
          <w:b/>
        </w:rPr>
        <w:t xml:space="preserve">Die Zonentopologie steht nicht in der IFC-Datei.</w:t>
      </w:r>
      <w:r>
        <w:t xml:space="preserve"> In keiner der vier gemessenen Dateien steht eine Zonenentität; für die zweite in Frage kommende Entität steht die Messung aus und ist vor G6c nachzuholen. EPOS-Plan </w:t>
      </w:r>
      <w:r>
        <w:rPr>
          <w:b/>
        </w:rPr>
        <w:t xml:space="preserve">schlägt</w:t>
      </w:r>
      <w:r>
        <w:t xml:space="preserve"> die Zonierung deshalb vor — fünf Regeln mit der Vorbelegung „je Geschoss", Rückfall „alles in eine Zone" — und lässt bestätigen. Flächen, Nachbarschaft und Randbedingung dagegen sind belegt gewinnbar: 100 % der gemessenen Grenzflächen ergaben einen Polygonflächeninhalt ohne Geometriekernel, und die Paarung der Grenzflächen war überall dort lückenlos, wo echte Zweitstufen-Entitäten stehen.</w:t>
      </w:r>
    </w:p>
    <w:p>
      <w:r>
        <w:rPr>
          <w:b/>
        </w:rPr>
        <w:t xml:space="preserve">Die Stoffwerte sind der schwarze Fleck.</w:t>
      </w:r>
      <w:r>
        <w:t xml:space="preserve"> Kein einziger opaker Baustoff der vier Dateien trägt brauchbare </w:t>
      </w:r>
      <m:oMath xmlns:m="http://schemas.openxmlformats.org/officeDocument/2006/math">
        <m:r>
          <w:rPr>
            <w:rFonts w:ascii="Cambria Math" w:hAnsi="Cambria Math"/>
          </w:rPr>
          <m:t>λ</m:t>
        </m:r>
      </m:oMath>
      <w:r>
        <w:t xml:space="preserve">, </w:t>
      </w:r>
      <m:oMath xmlns:m="http://schemas.openxmlformats.org/officeDocument/2006/math">
        <m:r>
          <w:rPr>
            <w:rFonts w:ascii="Cambria Math" w:hAnsi="Cambria Math"/>
          </w:rPr>
          <m:t>ρ</m:t>
        </m:r>
      </m:oMath>
      <w:r>
        <w:t xml:space="preserve"> und </w:t>
      </w:r>
      <m:oMath xmlns:m="http://schemas.openxmlformats.org/officeDocument/2006/math">
        <m:r>
          <w:rPr>
            <w:rFonts w:ascii="Cambria Math" w:hAnsi="Cambria Math"/>
          </w:rPr>
          <m:t>c</m:t>
        </m:r>
      </m:oMath>
      <w:r>
        <w:t xml:space="preserve">; zwei Dateien schreiben den thermischen Eigenschaftssatz </w:t>
      </w:r>
      <w:r>
        <w:rPr>
          <w:b/>
        </w:rPr>
        <w:t xml:space="preserve">mit Nullen</w:t>
      </w:r>
      <w:r>
        <w:t xml:space="preserve">. Deshalb ist der </w:t>
      </w:r>
      <w:r>
        <w:rPr>
          <w:b/>
        </w:rPr>
        <w:t xml:space="preserve">Namensabgleich gegen den EPOS-Baustoffkatalog der Regelweg, nicht der Notweg</w:t>
      </w:r>
      <w:r>
        <w:t xml:space="preserve"> — mit Plausibilitätsband („≤ 0 ist kein Wert"), siebenstufiger Abgleichkette, zweisprachiger Synonymtabelle in der Auslieferung und Anwenderzuordnung im Dialog.</w:t>
      </w:r>
    </w:p>
    <w:p>
      <w:r>
        <w:t xml:space="preserve">Weitere Festlegungen des Imports: das </w:t>
      </w:r>
      <w:r>
        <w:rPr>
          <w:b/>
        </w:rPr>
        <w:t xml:space="preserve">Raumseitenmaß</w:t>
      </w:r>
      <w:r>
        <w:t xml:space="preserve"> wird durchgehalten und im Dialog benannt; die </w:t>
      </w:r>
      <w:r>
        <w:rPr>
          <w:b/>
        </w:rPr>
        <w:t xml:space="preserve">4-K-Regel</w:t>
      </w:r>
      <w:r>
        <w:t xml:space="preserve"> gilt als Vorgabe mit Übersteuerung je Trennfläche, gemessen an den gerechneten Raumkonditionen eines adiabaten Vorlaufs und nicht an den Sollwerten, und die Zuordnung fällt </w:t>
      </w:r>
      <w:r>
        <w:rPr>
          <w:b/>
        </w:rPr>
        <w:t xml:space="preserve">einmal vor dem Lauf</w:t>
      </w:r>
      <w:r>
        <w:t xml:space="preserve">, nie während; die </w:t>
      </w:r>
      <w:r>
        <w:rPr>
          <w:b/>
        </w:rPr>
        <w:t xml:space="preserve">Mindestgröße</w:t>
      </w:r>
      <w:r>
        <w:t xml:space="preserve"> einer Zone ist das Größere aus 2 m² und 2 %, mit Zuschlag zum Nachbarn mit der größten gemeinsamen Grenzfläche — ohne sie entstünden aus einer der Messdateien 78 Zonen; die Schichtrichtung folgt dem Richtungssinn der Grenzfläche und ihrer Normale; und der Fensterabzug wird selbst gerechnet, weil das Modell Wand und Fenster getrennt mit je eigenem U-Wert führt.</w:t>
      </w:r>
    </w:p>
    <w:p>
      <w:pPr>
        <w:pStyle w:val="Heading2"/>
      </w:pPr>
      <w:r>
        <w:t xml:space="preserve">8.4 Stufen G6a bis G6d</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Stufe</w:t>
            </w:r>
          </w:p>
        </w:tc>
        <w:tc>
          <w:tcPr>
            <w:tcW w:w="0" w:type="auto"/>
            <w:shd w:val="clear" w:color="auto" w:fill="D9D9D9"/>
          </w:tcPr>
          <w:p>
            <w:pPr>
              <w:spacing w:after="0" w:line="240" w:lineRule="auto"/>
              <w:rPr>
                <w:b/>
              </w:rPr>
            </w:pPr>
            <w:r>
              <w:rPr>
                <w:b/>
              </w:rPr>
              <w:t xml:space="preserve">Inhalt</w:t>
            </w:r>
          </w:p>
        </w:tc>
        <w:tc>
          <w:tcPr>
            <w:tcW w:w="0" w:type="auto"/>
            <w:shd w:val="clear" w:color="auto" w:fill="D9D9D9"/>
          </w:tcPr>
          <w:p>
            <w:pPr>
              <w:spacing w:after="0" w:line="240" w:lineRule="auto"/>
              <w:rPr>
                <w:b/>
              </w:rPr>
            </w:pPr>
            <w:r>
              <w:rPr>
                <w:b/>
              </w:rPr>
              <w:t xml:space="preserve">Abnahme</w:t>
            </w:r>
          </w:p>
        </w:tc>
        <w:tc>
          <w:tcPr>
            <w:tcW w:w="0" w:type="auto"/>
            <w:shd w:val="clear" w:color="auto" w:fill="D9D9D9"/>
          </w:tcPr>
          <w:p>
            <w:pPr>
              <w:spacing w:after="0" w:line="240" w:lineRule="auto"/>
              <w:rPr>
                <w:b/>
              </w:rPr>
            </w:pPr>
            <w:r>
              <w:rPr>
                <w:b/>
              </w:rPr>
              <w:t xml:space="preserve">Aufwand</w:t>
            </w:r>
          </w:p>
        </w:tc>
      </w:tr>
      <w:tr>
        <w:tc>
          <w:tcPr>
            <w:tcW w:w="0" w:type="auto"/>
          </w:tcPr>
          <w:p>
            <w:pPr>
              <w:spacing w:after="0" w:line="240" w:lineRule="auto"/>
            </w:pPr>
            <w:r>
              <w:rPr>
                <w:b/>
              </w:rPr>
              <w:t xml:space="preserve">G6a — Datenmodell und Pflege</w:t>
            </w:r>
          </w:p>
        </w:tc>
        <w:tc>
          <w:tcPr>
            <w:tcW w:w="0" w:type="auto"/>
          </w:tcPr>
          <w:p>
            <w:pPr>
              <w:spacing w:after="0" w:line="240" w:lineRule="auto"/>
            </w:pPr>
            <w:r>
              <w:t xml:space="preserve">Schemaschritte S-A bis S-D samt Schema-Klassen und Testdatenbankwerkzeug; Zonen-, Aufbau- und Luftstromtabellen; Baustoffsaat; Baustoff- </w:t>
            </w:r>
            <w:r>
              <w:rPr>
                <w:b/>
              </w:rPr>
              <w:t xml:space="preserve">und</w:t>
            </w:r>
            <w:r>
              <w:t xml:space="preserve"> Aufbaukatalog in der Administration; Aufbau- und Schichteditor mit Summenfuß; Controller und Kopierwege; Bericht-Zonentabelle</w:t>
            </w:r>
          </w:p>
        </w:tc>
        <w:tc>
          <w:tcPr>
            <w:tcW w:w="0" w:type="auto"/>
          </w:tcPr>
          <w:p>
            <w:pPr>
              <w:spacing w:after="0" w:line="240" w:lineRule="auto"/>
            </w:pPr>
            <w:r>
              <w:t xml:space="preserve">Migrationstests grün, Auslieferungsvorlage grün (Katalog nicht leer), Referenzlauf </w:t>
            </w:r>
            <w:r>
              <w:rPr>
                <w:b/>
              </w:rPr>
              <w:t xml:space="preserve">byte-gleich</w:t>
            </w:r>
            <w:r>
              <w:t xml:space="preserve">, SQL-Dialekt-Prüfer grün</w:t>
            </w:r>
          </w:p>
        </w:tc>
        <w:tc>
          <w:tcPr>
            <w:tcW w:w="0" w:type="auto"/>
          </w:tcPr>
          <w:p>
            <w:pPr>
              <w:spacing w:after="0" w:line="240" w:lineRule="auto"/>
            </w:pPr>
            <w:r>
              <w:rPr>
                <w:b/>
              </w:rPr>
              <w:t xml:space="preserve">10–15 PT</w:t>
            </w:r>
          </w:p>
        </w:tc>
      </w:tr>
      <w:tr>
        <w:tc>
          <w:tcPr>
            <w:tcW w:w="0" w:type="auto"/>
          </w:tcPr>
          <w:p>
            <w:pPr>
              <w:spacing w:after="0" w:line="240" w:lineRule="auto"/>
            </w:pPr>
            <w:r>
              <w:rPr>
                <w:b/>
              </w:rPr>
              <w:t xml:space="preserve">G6b — Zoneneingabe und Rechenweg</w:t>
            </w:r>
          </w:p>
        </w:tc>
        <w:tc>
          <w:tcPr>
            <w:tcW w:w="0" w:type="auto"/>
          </w:tcPr>
          <w:p>
            <w:pPr>
              <w:spacing w:after="0" w:line="240" w:lineRule="auto"/>
            </w:pPr>
            <w:r>
              <w:t xml:space="preserve">Zonenreiter, Zonendialog, Bauteilliste, Bauteildialog, Hülle; die Zonenschleife in der einen Methode; Gruppenbildung mit adiabatem Vorlauf für die 4-K-Regel; Nachbarraum-Randbedingung samt Gewichtung mit Summe 1; Gauß-Seidel; unbeheizte Zonen; Konsistenzprüfungen; zwölf Proben</w:t>
            </w:r>
          </w:p>
        </w:tc>
        <w:tc>
          <w:tcPr>
            <w:tcW w:w="0" w:type="auto"/>
          </w:tcPr>
          <w:p>
            <w:pPr>
              <w:spacing w:after="0" w:line="240" w:lineRule="auto"/>
            </w:pPr>
            <w:r>
              <w:t xml:space="preserve">Testbeispiel 10 im Normband, die Probe „eine Zone bitgleich zum Stand nach G3" ist </w:t>
            </w:r>
            <w:r>
              <w:rPr>
                <w:b/>
              </w:rPr>
              <w:t xml:space="preserve">Gate</w:t>
            </w:r>
            <w:r>
              <w:t xml:space="preserve">, Laufzeit an einem echten Mehrzonengebäude </w:t>
            </w:r>
            <w:r>
              <w:rPr>
                <w:b/>
              </w:rPr>
              <w:t xml:space="preserve">gemessen</w:t>
            </w:r>
          </w:p>
        </w:tc>
        <w:tc>
          <w:tcPr>
            <w:tcW w:w="0" w:type="auto"/>
          </w:tcPr>
          <w:p>
            <w:pPr>
              <w:spacing w:after="0" w:line="240" w:lineRule="auto"/>
            </w:pPr>
            <w:r>
              <w:rPr>
                <w:b/>
              </w:rPr>
              <w:t xml:space="preserve">12–18 PT</w:t>
            </w:r>
          </w:p>
        </w:tc>
      </w:tr>
      <w:tr>
        <w:tc>
          <w:tcPr>
            <w:tcW w:w="0" w:type="auto"/>
          </w:tcPr>
          <w:p>
            <w:pPr>
              <w:spacing w:after="0" w:line="240" w:lineRule="auto"/>
            </w:pPr>
            <w:r>
              <w:rPr>
                <w:b/>
              </w:rPr>
              <w:t xml:space="preserve">G6c — Zonenimport aus IFC (mit D16 auch aus gbXML)</w:t>
            </w:r>
          </w:p>
        </w:tc>
        <w:tc>
          <w:tcPr>
            <w:tcW w:w="0" w:type="auto"/>
          </w:tcPr>
          <w:p>
            <w:pPr>
              <w:spacing w:after="0" w:line="240" w:lineRule="auto"/>
            </w:pPr>
            <w:r>
              <w:t xml:space="preserve">Zonierungs- und Bauteilregeln, Polygonflächen, Normale, Azimut und Neigung, Grenzflächenpaarung und Rekonstruktion, Persistenz der Zuordnung, Öffnungsabzug, Schichtrichtung, Namensabgleich mit Synonymtabelle, Zuordnungsdialog mit vier Abschnitten, Meldungen in beiden Sprachen, Importproben; </w:t>
            </w:r>
            <w:r>
              <w:rPr>
                <w:b/>
              </w:rPr>
              <w:t xml:space="preserve">Zonengeometrie-Modell und 2D-Grundriss (E11)</w:t>
            </w:r>
          </w:p>
        </w:tc>
        <w:tc>
          <w:tcPr>
            <w:tcW w:w="0" w:type="auto"/>
          </w:tcPr>
          <w:p>
            <w:pPr>
              <w:spacing w:after="0" w:line="240" w:lineRule="auto"/>
            </w:pPr>
            <w:r>
              <w:t xml:space="preserve">Importproben und die beiden Proben der Grundrissansicht; iOS-Lauf nach Rückfrage</w:t>
            </w:r>
          </w:p>
        </w:tc>
        <w:tc>
          <w:tcPr>
            <w:tcW w:w="0" w:type="auto"/>
          </w:tcPr>
          <w:p>
            <w:pPr>
              <w:spacing w:after="0" w:line="240" w:lineRule="auto"/>
            </w:pPr>
            <w:r>
              <w:rPr>
                <w:b/>
              </w:rPr>
              <w:t xml:space="preserve">16–26 PT</w:t>
            </w:r>
          </w:p>
        </w:tc>
      </w:tr>
      <w:tr>
        <w:tc>
          <w:tcPr>
            <w:tcW w:w="0" w:type="auto"/>
          </w:tcPr>
          <w:p>
            <w:pPr>
              <w:spacing w:after="0" w:line="240" w:lineRule="auto"/>
            </w:pPr>
            <w:r>
              <w:rPr>
                <w:b/>
              </w:rPr>
              <w:t xml:space="preserve">G6d — Referenzprojekt und Einfrieren</w:t>
            </w:r>
          </w:p>
        </w:tc>
        <w:tc>
          <w:tcPr>
            <w:tcW w:w="0" w:type="auto"/>
          </w:tcPr>
          <w:p>
            <w:pPr>
              <w:spacing w:after="0" w:line="240" w:lineRule="auto"/>
            </w:pPr>
            <w:r>
              <w:t xml:space="preserve">Zonenprojekt in der Testdatenbank säen, Einfrierregel „gesäte Zonendaten", Referenzlauf, Vergleich, Begründung, Wiki-Seite und Logbuch-Eintrag</w:t>
            </w:r>
          </w:p>
        </w:tc>
        <w:tc>
          <w:tcPr>
            <w:tcW w:w="0" w:type="auto"/>
          </w:tcPr>
          <w:p>
            <w:pPr>
              <w:spacing w:after="0" w:line="240" w:lineRule="auto"/>
            </w:pPr>
            <w:r>
              <w:t xml:space="preserve">grüner Kern-Lauf, neue Basis begründet</w:t>
            </w:r>
          </w:p>
        </w:tc>
        <w:tc>
          <w:tcPr>
            <w:tcW w:w="0" w:type="auto"/>
          </w:tcPr>
          <w:p>
            <w:pPr>
              <w:spacing w:after="0" w:line="240" w:lineRule="auto"/>
            </w:pPr>
            <w:r>
              <w:rPr>
                <w:b/>
              </w:rPr>
              <w:t xml:space="preserve">2–3 PT</w:t>
            </w:r>
          </w:p>
        </w:tc>
      </w:tr>
      <w:tr>
        <w:tc>
          <w:tcPr>
            <w:tcW w:w="0" w:type="auto"/>
          </w:tcPr>
          <w:p>
            <w:pPr>
              <w:spacing w:after="0" w:line="240" w:lineRule="auto"/>
            </w:pPr>
            <w:r>
              <w:t xml:space="preserve"/>
            </w:r>
          </w:p>
        </w:tc>
        <w:tc>
          <w:tcPr>
            <w:tcW w:w="0" w:type="auto"/>
          </w:tcPr>
          <w:p>
            <w:pPr>
              <w:spacing w:after="0" w:line="240" w:lineRule="auto"/>
            </w:pPr>
            <w:r>
              <w:rPr>
                <w:b/>
              </w:rPr>
              <w:t xml:space="preserve">Summe G6</w:t>
            </w:r>
          </w:p>
        </w:tc>
        <w:tc>
          <w:tcPr>
            <w:tcW w:w="0" w:type="auto"/>
          </w:tcPr>
          <w:p>
            <w:pPr>
              <w:spacing w:after="0" w:line="240" w:lineRule="auto"/>
            </w:pPr>
            <w:r>
              <w:t xml:space="preserve"/>
            </w:r>
          </w:p>
        </w:tc>
        <w:tc>
          <w:tcPr>
            <w:tcW w:w="0" w:type="auto"/>
          </w:tcPr>
          <w:p>
            <w:pPr>
              <w:spacing w:after="0" w:line="240" w:lineRule="auto"/>
            </w:pPr>
            <w:r>
              <w:rPr>
                <w:b/>
              </w:rPr>
              <w:t xml:space="preserve">40–62 PT</w:t>
            </w:r>
          </w:p>
        </w:tc>
      </w:tr>
    </w:tbl>
    <w:p>
      <w:pPr>
        <w:spacing w:after="120"/>
      </w:pPr>
    </w:p>
    <w:p>
      <w:r>
        <w:rPr>
          <w:b/>
        </w:rPr>
        <w:t xml:space="preserve">Reihenfolge:</w:t>
      </w:r>
      <w:r>
        <w:t xml:space="preserve"> G6a → G6b → G6c → G6d. G6a vor G6b, weil der Rechenweg die Tabellen liest; G6c zuletzt, weil ein Import ohne Zonenrechnung in ein Modell schreibt, das die Daten nicht nutzt. </w:t>
      </w:r>
      <w:r>
        <w:rPr>
          <w:b/>
        </w:rPr>
        <w:t xml:space="preserve">Vorbedingungen:</w:t>
      </w:r>
      <w:r>
        <w:t xml:space="preserve"> G3 muss fertig sein, G4 für G6c, und der entnullende Katalogkopierweg muss mit G1 behoben sein.</w:t>
      </w:r>
    </w:p>
    <w:p>
      <w:r>
        <w:rPr>
          <w:b/>
        </w:rPr>
        <w:t xml:space="preserve">Einzelheiten:</w:t>
      </w:r>
      <w:r>
        <w:t xml:space="preserve"> </w:t>
      </w:r>
      <w:r>
        <w:rPr>
          <w:rFonts w:ascii="Consolas" w:hAnsi="Consolas" w:cs="Consolas"/>
          <w:noProof/>
          <w:sz w:val="20"/>
          <w:szCs w:val="20"/>
          <w:shd w:val="clear" w:color="auto" w:fill="EFEFEF"/>
        </w:rPr>
        <w:t xml:space="preserve">Dokumentation/aktuell/Konzept_Mehrzonenmodell_IFC_EPOS-Plan.md</w:t>
      </w:r>
      <w:r>
        <w:t xml:space="preserve"> (Kapitel 0, 2, 3, 4, 6, 8, 9, 10, 11) sowie </w:t>
      </w:r>
      <w:r>
        <w:rPr>
          <w:rFonts w:ascii="Consolas" w:hAnsi="Consolas" w:cs="Consolas"/>
          <w:noProof/>
          <w:sz w:val="20"/>
          <w:szCs w:val="20"/>
          <w:shd w:val="clear" w:color="auto" w:fill="EFEFEF"/>
        </w:rPr>
        <w:t xml:space="preserve">Dokumentation/aktuell/Gebaeudesimulation/2026-09-15_Befund_O_Zonenkopplung_VDI6007.md</w:t>
      </w:r>
      <w:r>
        <w:t xml:space="preserve"> und </w:t>
      </w:r>
      <w:r>
        <w:rPr>
          <w:rFonts w:ascii="Consolas" w:hAnsi="Consolas" w:cs="Consolas"/>
          <w:noProof/>
          <w:sz w:val="20"/>
          <w:szCs w:val="20"/>
          <w:shd w:val="clear" w:color="auto" w:fill="EFEFEF"/>
        </w:rPr>
        <w:t xml:space="preserve">…_Befund_P_IFC_Zonen_Materialien.md</w:t>
      </w:r>
      <w:r>
        <w:t xml:space="preserve">.</w:t>
      </w:r>
    </w:p>
    <w:p>
      <w:pPr>
        <w:pStyle w:val="Trennlinie"/>
      </w:pPr>
    </w:p>
    <w:p>
      <w:pPr>
        <w:pStyle w:val="Heading1"/>
      </w:pPr>
      <w:r>
        <w:t xml:space="preserve">8a Kühlung (E12, E15, E21)</w:t>
      </w:r>
    </w:p>
    <w:p>
      <w:pPr>
        <w:pStyle w:val="Quote"/>
      </w:pPr>
      <w:r>
        <w:t xml:space="preserve">Dieses Kapitel ist </w:t>
      </w:r>
      <w:r>
        <w:rPr>
          <w:b/>
        </w:rPr>
        <w:t xml:space="preserve">nachträglich eingefügt</w:t>
      </w:r>
      <w:r>
        <w:t xml:space="preserve"> und behält deshalb die Nummer 8a: die Kühlung liegt quer zu allen übrigen Kapiteln — Rechenweg, Datenmodell, Dialoge, Bericht, Wirtschaftlichkeit, Regressionsnetz —, und die Nummern der Kapitel 9 bis 13 bleiben, wo sie waren. Grundlage ist </w:t>
      </w:r>
      <w:r>
        <w:rPr>
          <w:rFonts w:ascii="Consolas" w:hAnsi="Consolas" w:cs="Consolas"/>
          <w:noProof/>
          <w:sz w:val="20"/>
          <w:szCs w:val="20"/>
          <w:shd w:val="clear" w:color="auto" w:fill="EFEFEF"/>
        </w:rPr>
        <w:t xml:space="preserve">Dokumentation/aktuell/Konzept_Kuehlung_Gebaeudesimulation_EPOS-Plan.md</w:t>
      </w:r>
      <w:r>
        <w:t xml:space="preserve"> (Rev. 3) samt Befund W.</w:t>
      </w:r>
    </w:p>
    <w:p>
      <w:pPr>
        <w:pStyle w:val="Heading2"/>
      </w:pPr>
      <w:r>
        <w:t xml:space="preserve">8a.0 Die Symmetrie als Bauvorschrift (E21)</w:t>
      </w:r>
    </w:p>
    <w:p>
      <w:r>
        <w:rPr>
          <w:b/>
        </w:rPr>
        <w:t xml:space="preserve">Der Auftrag lautet: „Simulation Kältebedarf analog zu Simulation Wärmebedarf."</w:t>
      </w:r>
      <w:r>
        <w:t xml:space="preserve"> Das ist keine Absichtserklärung, sondern eine </w:t>
      </w:r>
      <w:r>
        <w:rPr>
          <w:b/>
        </w:rPr>
        <w:t xml:space="preserve">Bauvorschrift</w:t>
      </w:r>
      <w:r>
        <w:t xml:space="preserve">: Zu jedem Baustein der Wärmeseite gehört ein benanntes Gegenstück auf der Kälteseite — oder eine ausdrückliche, begründete Ablehnung. Ein stiller Rückfall auf die Heizung ist verboten (B16).</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Wärmeseite</w:t>
            </w:r>
          </w:p>
        </w:tc>
        <w:tc>
          <w:tcPr>
            <w:tcW w:w="0" w:type="auto"/>
            <w:shd w:val="clear" w:color="auto" w:fill="D9D9D9"/>
          </w:tcPr>
          <w:p>
            <w:pPr>
              <w:spacing w:after="0" w:line="240" w:lineRule="auto"/>
              <w:rPr>
                <w:b/>
              </w:rPr>
            </w:pPr>
            <w:r>
              <w:rPr>
                <w:b/>
              </w:rPr>
              <w:t xml:space="preserve">Kälteseite (E21)</w:t>
            </w:r>
          </w:p>
        </w:tc>
        <w:tc>
          <w:tcPr>
            <w:tcW w:w="0" w:type="auto"/>
            <w:shd w:val="clear" w:color="auto" w:fill="D9D9D9"/>
          </w:tcPr>
          <w:p>
            <w:pPr>
              <w:spacing w:after="0" w:line="240" w:lineRule="auto"/>
              <w:rPr>
                <w:b/>
              </w:rPr>
            </w:pPr>
            <w:r>
              <w:rPr>
                <w:b/>
              </w:rPr>
              <w:t xml:space="preserve">Anmerkung</w:t>
            </w:r>
          </w:p>
        </w:tc>
      </w:tr>
      <w:tr>
        <w:tc>
          <w:tcPr>
            <w:tcW w:w="0" w:type="auto"/>
          </w:tcPr>
          <w:p>
            <w:pPr>
              <w:spacing w:after="0" w:line="240" w:lineRule="auto"/>
            </w:pPr>
            <w:r>
              <w:t xml:space="preserve">Fassade </w:t>
            </w:r>
            <w:r>
              <w:rPr>
                <w:rFonts w:ascii="Consolas" w:hAnsi="Consolas" w:cs="Consolas"/>
                <w:noProof/>
                <w:sz w:val="20"/>
                <w:szCs w:val="20"/>
                <w:shd w:val="clear" w:color="auto" w:fill="EFEFEF"/>
              </w:rPr>
              <w:t xml:space="preserve">SimulationWaermebedarf</w:t>
            </w:r>
          </w:p>
        </w:tc>
        <w:tc>
          <w:tcPr>
            <w:tcW w:w="0" w:type="auto"/>
          </w:tcPr>
          <w:p>
            <w:pPr>
              <w:spacing w:after="0" w:line="240" w:lineRule="auto"/>
            </w:pPr>
            <w:r>
              <w:t xml:space="preserve">Fassade </w:t>
            </w:r>
            <w:r>
              <w:rPr>
                <w:rFonts w:ascii="Consolas" w:hAnsi="Consolas" w:cs="Consolas"/>
                <w:b/>
                <w:noProof/>
                <w:sz w:val="20"/>
                <w:szCs w:val="20"/>
                <w:shd w:val="clear" w:color="auto" w:fill="EFEFEF"/>
              </w:rPr>
              <w:t xml:space="preserve">SimulationKaeltebedarf</w:t>
            </w:r>
          </w:p>
        </w:tc>
        <w:tc>
          <w:tcPr>
            <w:tcW w:w="0" w:type="auto"/>
          </w:tcPr>
          <w:p>
            <w:pPr>
              <w:spacing w:after="0" w:line="240" w:lineRule="auto"/>
            </w:pPr>
            <w:r>
              <w:t xml:space="preserve">beide hinter </w:t>
            </w:r>
            <w:r>
              <w:rPr>
                <w:b/>
              </w:rPr>
              <w:t xml:space="preserve">demselben</w:t>
            </w:r>
            <w:r>
              <w:t xml:space="preserve"> modellfreien Vorbereitungsschritt (E20) und auf </w:t>
            </w:r>
            <w:r>
              <w:rPr>
                <w:b/>
              </w:rPr>
              <w:t xml:space="preserve">einem</w:t>
            </w:r>
            <w:r>
              <w:t xml:space="preserve"> Lauf des VDI-Moduls — Heiz- und Kühllast fallen in derselben Stunde an, eine zweite Simulation entsteht nicht</w:t>
            </w:r>
          </w:p>
        </w:tc>
      </w:tr>
      <w:tr>
        <w:tc>
          <w:tcPr>
            <w:tcW w:w="0" w:type="auto"/>
          </w:tcPr>
          <w:p>
            <w:pPr>
              <w:spacing w:after="0" w:line="240" w:lineRule="auto"/>
            </w:pPr>
            <w:r>
              <w:t xml:space="preserve">Rechenweg VDI 6007 / Altweg (Tagesbilanz)</w:t>
            </w:r>
          </w:p>
        </w:tc>
        <w:tc>
          <w:tcPr>
            <w:tcW w:w="0" w:type="auto"/>
          </w:tcPr>
          <w:p>
            <w:pPr>
              <w:spacing w:after="0" w:line="240" w:lineRule="auto"/>
            </w:pPr>
            <w:r>
              <w:rPr>
                <w:b/>
              </w:rPr>
              <w:t xml:space="preserve">kein Altweg — dauerhaft (E23)</w:t>
            </w:r>
          </w:p>
        </w:tc>
        <w:tc>
          <w:tcPr>
            <w:tcW w:w="0" w:type="auto"/>
          </w:tcPr>
          <w:p>
            <w:pPr>
              <w:spacing w:after="0" w:line="240" w:lineRule="auto"/>
            </w:pPr>
            <w:r>
              <w:t xml:space="preserve">die Tagesbilanz kennt keine Kühllast; ein Gebäude auf dem Altweg führt </w:t>
            </w:r>
            <w:r>
              <w:rPr>
                <w:b/>
              </w:rPr>
              <w:t xml:space="preserve">Kältebedarf 0 mit Hinweis</w:t>
            </w:r>
            <w:r>
              <w:t xml:space="preserve">, nicht eine stille Null und keinen Gedankenstrich</w:t>
            </w:r>
          </w:p>
        </w:tc>
      </w:tr>
      <w:tr>
        <w:tc>
          <w:tcPr>
            <w:tcW w:w="0" w:type="auto"/>
          </w:tcPr>
          <w:p>
            <w:pPr>
              <w:spacing w:after="0" w:line="240" w:lineRule="auto"/>
            </w:pPr>
            <w:r>
              <w:t xml:space="preserve">Kanal </w:t>
            </w:r>
            <w:r>
              <w:rPr>
                <w:rFonts w:ascii="Consolas" w:hAnsi="Consolas" w:cs="Consolas"/>
                <w:noProof/>
                <w:sz w:val="20"/>
                <w:szCs w:val="20"/>
                <w:shd w:val="clear" w:color="auto" w:fill="EFEFEF"/>
              </w:rPr>
              <w:t xml:space="preserve">HEIZUNG</w:t>
            </w:r>
            <w:r>
              <w:t xml:space="preserve">, Kanalvektor, Persistenz</w:t>
            </w:r>
          </w:p>
        </w:tc>
        <w:tc>
          <w:tcPr>
            <w:tcW w:w="0" w:type="auto"/>
          </w:tcPr>
          <w:p>
            <w:pPr>
              <w:spacing w:after="0" w:line="240" w:lineRule="auto"/>
            </w:pPr>
            <w:r>
              <w:t xml:space="preserve">Kanal </w:t>
            </w:r>
            <w:r>
              <w:rPr>
                <w:rFonts w:ascii="Consolas" w:hAnsi="Consolas" w:cs="Consolas"/>
                <w:b/>
                <w:noProof/>
                <w:sz w:val="20"/>
                <w:szCs w:val="20"/>
                <w:shd w:val="clear" w:color="auto" w:fill="EFEFEF"/>
              </w:rPr>
              <w:t xml:space="preserve">KUEHLUNG</w:t>
            </w:r>
            <w:r>
              <w:t xml:space="preserve"> mit derselben Vektorstruktur und Persistenz</w:t>
            </w:r>
          </w:p>
        </w:tc>
        <w:tc>
          <w:tcPr>
            <w:tcW w:w="0" w:type="auto"/>
          </w:tcPr>
          <w:p>
            <w:pPr>
              <w:spacing w:after="0" w:line="240" w:lineRule="auto"/>
            </w:pPr>
            <w:r>
              <w:t xml:space="preserve">ein Kanalfeld, </w:t>
            </w:r>
            <w:r>
              <w:rPr>
                <w:b/>
              </w:rPr>
              <w:t xml:space="preserve">zwei Deckungswelten</w:t>
            </w:r>
            <w:r>
              <w:t xml:space="preserve"> (8a.2)</w:t>
            </w:r>
          </w:p>
        </w:tc>
      </w:tr>
      <w:tr>
        <w:tc>
          <w:tcPr>
            <w:tcW w:w="0" w:type="auto"/>
          </w:tcPr>
          <w:p>
            <w:pPr>
              <w:spacing w:after="0" w:line="240" w:lineRule="auto"/>
            </w:pPr>
            <w:r>
              <w:t xml:space="preserve">Kanalsumme, Dauerlinie, </w:t>
            </w:r>
            <w:r>
              <w:rPr>
                <w:rFonts w:ascii="Consolas" w:hAnsi="Consolas" w:cs="Consolas"/>
                <w:noProof/>
                <w:sz w:val="20"/>
                <w:szCs w:val="20"/>
                <w:shd w:val="clear" w:color="auto" w:fill="EFEFEF"/>
              </w:rPr>
              <w:t xml:space="preserve">Waermelast_Max</w:t>
            </w:r>
          </w:p>
        </w:tc>
        <w:tc>
          <w:tcPr>
            <w:tcW w:w="0" w:type="auto"/>
          </w:tcPr>
          <w:p>
            <w:pPr>
              <w:spacing w:after="0" w:line="240" w:lineRule="auto"/>
            </w:pPr>
            <w:r>
              <w:t xml:space="preserve">eigene </w:t>
            </w:r>
            <w:r>
              <w:rPr>
                <w:b/>
              </w:rPr>
              <w:t xml:space="preserve">Kältesumme</w:t>
            </w:r>
            <w:r>
              <w:t xml:space="preserve">, eigene Dauerlinie, </w:t>
            </w:r>
            <w:r>
              <w:rPr>
                <w:rFonts w:ascii="Consolas" w:hAnsi="Consolas" w:cs="Consolas"/>
                <w:b/>
                <w:noProof/>
                <w:sz w:val="20"/>
                <w:szCs w:val="20"/>
                <w:shd w:val="clear" w:color="auto" w:fill="EFEFEF"/>
              </w:rPr>
              <w:t xml:space="preserve">Kaeltebedarf_Max</w:t>
            </w:r>
          </w:p>
        </w:tc>
        <w:tc>
          <w:tcPr>
            <w:tcW w:w="0" w:type="auto"/>
          </w:tcPr>
          <w:p>
            <w:pPr>
              <w:spacing w:after="0" w:line="240" w:lineRule="auto"/>
            </w:pPr>
            <w:r>
              <w:t xml:space="preserve">die Kältesumme berührt die Wärmesumme an keiner Stelle</w:t>
            </w:r>
          </w:p>
        </w:tc>
      </w:tr>
      <w:tr>
        <w:tc>
          <w:tcPr>
            <w:tcW w:w="0" w:type="auto"/>
          </w:tcPr>
          <w:p>
            <w:pPr>
              <w:spacing w:after="0" w:line="240" w:lineRule="auto"/>
            </w:pPr>
            <w:r>
              <w:t xml:space="preserve">Jahresheizwärme, Heizstunden</w:t>
            </w:r>
          </w:p>
        </w:tc>
        <w:tc>
          <w:tcPr>
            <w:tcW w:w="0" w:type="auto"/>
          </w:tcPr>
          <w:p>
            <w:pPr>
              <w:spacing w:after="0" w:line="240" w:lineRule="auto"/>
            </w:pPr>
            <w:r>
              <w:rPr>
                <w:b/>
              </w:rPr>
              <w:t xml:space="preserve">Jahreskälte, Kühlstunden</w:t>
            </w:r>
          </w:p>
        </w:tc>
        <w:tc>
          <w:tcPr>
            <w:tcW w:w="0" w:type="auto"/>
          </w:tcPr>
          <w:p>
            <w:pPr>
              <w:spacing w:after="0" w:line="240" w:lineRule="auto"/>
            </w:pPr>
            <w:r>
              <w:t xml:space="preserve">Einheit im Namen, Jahressummen in MWh</w:t>
            </w:r>
          </w:p>
        </w:tc>
      </w:tr>
      <w:tr>
        <w:tc>
          <w:tcPr>
            <w:tcW w:w="0" w:type="auto"/>
          </w:tcPr>
          <w:p>
            <w:pPr>
              <w:spacing w:after="0" w:line="240" w:lineRule="auto"/>
            </w:pPr>
            <w:r>
              <w:t xml:space="preserve">Bedarfsdialog-Abschnitt „Wärmebedarf"</w:t>
            </w:r>
          </w:p>
        </w:tc>
        <w:tc>
          <w:tcPr>
            <w:tcW w:w="0" w:type="auto"/>
          </w:tcPr>
          <w:p>
            <w:pPr>
              <w:spacing w:after="0" w:line="240" w:lineRule="auto"/>
            </w:pPr>
            <w:r>
              <w:t xml:space="preserve">Bedarfsdialog-Abschnitt </w:t>
            </w:r>
            <w:r>
              <w:rPr>
                <w:b/>
              </w:rPr>
              <w:t xml:space="preserve">„Kältebedarf"</w:t>
            </w:r>
          </w:p>
        </w:tc>
        <w:tc>
          <w:tcPr>
            <w:tcW w:w="0" w:type="auto"/>
          </w:tcPr>
          <w:p>
            <w:pPr>
              <w:spacing w:after="0" w:line="240" w:lineRule="auto"/>
            </w:pPr>
            <w:r>
              <w:t xml:space="preserve">gleicher Aufbau: Jahreswert, Spitze, Ganglinie, Monatsblatt, Deckung</w:t>
            </w:r>
          </w:p>
        </w:tc>
      </w:tr>
      <w:tr>
        <w:tc>
          <w:tcPr>
            <w:tcW w:w="0" w:type="auto"/>
          </w:tcPr>
          <w:p>
            <w:pPr>
              <w:spacing w:after="0" w:line="240" w:lineRule="auto"/>
            </w:pPr>
            <w:r>
              <w:t xml:space="preserve">Deckung der Wärmekanäle</w:t>
            </w:r>
          </w:p>
        </w:tc>
        <w:tc>
          <w:tcPr>
            <w:tcW w:w="0" w:type="auto"/>
          </w:tcPr>
          <w:p>
            <w:pPr>
              <w:spacing w:after="0" w:line="240" w:lineRule="auto"/>
            </w:pPr>
            <w:r>
              <w:rPr>
                <w:rFonts w:ascii="Consolas" w:hAnsi="Consolas" w:cs="Consolas"/>
                <w:b/>
                <w:noProof/>
                <w:sz w:val="20"/>
                <w:szCs w:val="20"/>
                <w:shd w:val="clear" w:color="auto" w:fill="EFEFEF"/>
              </w:rPr>
              <w:t xml:space="preserve">DeckungKanalKaelte</w:t>
            </w:r>
            <w:r>
              <w:t xml:space="preserve"> als eigener Zweig</w:t>
            </w:r>
          </w:p>
        </w:tc>
        <w:tc>
          <w:tcPr>
            <w:tcW w:w="0" w:type="auto"/>
          </w:tcPr>
          <w:p>
            <w:pPr>
              <w:spacing w:after="0" w:line="240" w:lineRule="auto"/>
            </w:pPr>
            <w:r>
              <w:t xml:space="preserve">die Wärmeerzeugerkaskade sieht den Kältekanal nicht</w:t>
            </w:r>
          </w:p>
        </w:tc>
      </w:tr>
      <w:tr>
        <w:tc>
          <w:tcPr>
            <w:tcW w:w="0" w:type="auto"/>
          </w:tcPr>
          <w:p>
            <w:pPr>
              <w:spacing w:after="0" w:line="240" w:lineRule="auto"/>
            </w:pPr>
            <w:r>
              <w:t xml:space="preserve">Bericht, Kennzahlen, Wirtschaftlichkeit</w:t>
            </w:r>
          </w:p>
        </w:tc>
        <w:tc>
          <w:tcPr>
            <w:tcW w:w="0" w:type="auto"/>
          </w:tcPr>
          <w:p>
            <w:pPr>
              <w:spacing w:after="0" w:line="240" w:lineRule="auto"/>
            </w:pPr>
            <w:r>
              <w:t xml:space="preserve">dieselben Zeilen für Kälte, mit eigener Aggregationsregel</w:t>
            </w:r>
          </w:p>
        </w:tc>
        <w:tc>
          <w:tcPr>
            <w:tcW w:w="0" w:type="auto"/>
          </w:tcPr>
          <w:p>
            <w:pPr>
              <w:spacing w:after="0" w:line="240" w:lineRule="auto"/>
            </w:pPr>
            <w:r>
              <w:t xml:space="preserve">Kältestrom, Kosten und Emissionen laufen in </w:t>
            </w:r>
            <w:r>
              <w:rPr>
                <w:b/>
              </w:rPr>
              <w:t xml:space="preserve">dieselbe</w:t>
            </w:r>
            <w:r>
              <w:t xml:space="preserve"> Strombilanz</w:t>
            </w:r>
          </w:p>
        </w:tc>
      </w:tr>
      <w:tr>
        <w:tc>
          <w:tcPr>
            <w:tcW w:w="0" w:type="auto"/>
          </w:tcPr>
          <w:p>
            <w:pPr>
              <w:spacing w:after="0" w:line="240" w:lineRule="auto"/>
            </w:pPr>
            <w:r>
              <w:t xml:space="preserve">Energieprobe je Stunde</w:t>
            </w:r>
          </w:p>
        </w:tc>
        <w:tc>
          <w:tcPr>
            <w:tcW w:w="0" w:type="auto"/>
          </w:tcPr>
          <w:p>
            <w:pPr>
              <w:spacing w:after="0" w:line="240" w:lineRule="auto"/>
            </w:pPr>
            <w:r>
              <w:rPr>
                <w:b/>
              </w:rPr>
              <w:t xml:space="preserve">Kälteprobe je Stunde</w:t>
            </w:r>
          </w:p>
        </w:tc>
        <w:tc>
          <w:tcPr>
            <w:tcW w:w="0" w:type="auto"/>
          </w:tcPr>
          <w:p>
            <w:pPr>
              <w:spacing w:after="0" w:line="240" w:lineRule="auto"/>
            </w:pPr>
            <w:r>
              <w:t xml:space="preserve">zählt Verletzungen, meldet einmal je Lauf, setzt das Gesamtergebnis auf fehlgeschlagen</w:t>
            </w:r>
          </w:p>
        </w:tc>
      </w:tr>
    </w:tbl>
    <w:p>
      <w:pPr>
        <w:spacing w:after="120"/>
      </w:pPr>
    </w:p>
    <w:p>
      <w:r>
        <w:rPr>
          <w:b/>
        </w:rPr>
        <w:t xml:space="preserve">Was daraus folgt.</w:t>
      </w:r>
      <w:r>
        <w:t xml:space="preserve"> Die Symmetrie gilt als Bauvorschrift für </w:t>
      </w:r>
      <w:r>
        <w:rPr>
          <w:b/>
        </w:rPr>
        <w:t xml:space="preserve">KU1 bis KU3</w:t>
      </w:r>
      <w:r>
        <w:t xml:space="preserve">: Jede Stufe weist aus, welche Zeile der Wärmeseite sie auf der Kälteseite nachgezogen hat und welche sie benannt ausgelassen hat. </w:t>
      </w:r>
      <w:r>
        <w:rPr>
          <w:b/>
        </w:rPr>
        <w:t xml:space="preserve">Frage K1 ist damit entschieden</w:t>
      </w:r>
      <w:r>
        <w:t xml:space="preserve"> — vierter Kanal im vorhandenen Kanalfeld, getrennte Deckungsseite; die Abwägung dazu steht unverändert in 8a.2 und ist jetzt Begründung, nicht mehr Vorschlag.</w:t>
      </w:r>
    </w:p>
    <w:p>
      <w:pPr>
        <w:pStyle w:val="Heading2"/>
      </w:pPr>
      <w:r>
        <w:t xml:space="preserve">8a.1 Das Ergebnis in sechs Punkten</w:t>
      </w:r>
    </w:p>
    <w:p>
      <w:pPr>
        <w:pStyle w:val="ListNumber"/>
        <w:numPr>
          <w:ilvl w:val="0"/>
          <w:numId w:val="7"/>
        </w:numPr>
      </w:pPr>
      <w:r>
        <w:rPr>
          <w:b/>
        </w:rPr>
        <w:t xml:space="preserve">Kühlung ist ein Kanal, aber keine Wärme.</w:t>
      </w:r>
      <w:r>
        <w:t xml:space="preserve"> Der vierte Kanal </w:t>
      </w:r>
      <w:r>
        <w:rPr>
          <w:rFonts w:ascii="Consolas" w:hAnsi="Consolas" w:cs="Consolas"/>
          <w:noProof/>
          <w:sz w:val="20"/>
          <w:szCs w:val="20"/>
          <w:shd w:val="clear" w:color="auto" w:fill="EFEFEF"/>
        </w:rPr>
        <w:t xml:space="preserve">KUEHLUNG</w:t>
      </w:r>
      <w:r>
        <w:t xml:space="preserve"> tritt neben </w:t>
      </w:r>
      <w:r>
        <w:rPr>
          <w:rFonts w:ascii="Consolas" w:hAnsi="Consolas" w:cs="Consolas"/>
          <w:noProof/>
          <w:sz w:val="20"/>
          <w:szCs w:val="20"/>
          <w:shd w:val="clear" w:color="auto" w:fill="EFEFEF"/>
        </w:rPr>
        <w:t xml:space="preserve">HEIZUNG</w:t>
      </w:r>
      <w:r>
        <w:t xml:space="preserve">, </w:t>
      </w:r>
      <w:r>
        <w:rPr>
          <w:rFonts w:ascii="Consolas" w:hAnsi="Consolas" w:cs="Consolas"/>
          <w:noProof/>
          <w:sz w:val="20"/>
          <w:szCs w:val="20"/>
          <w:shd w:val="clear" w:color="auto" w:fill="EFEFEF"/>
        </w:rPr>
        <w:t xml:space="preserve">BRAUCHWASSER</w:t>
      </w:r>
      <w:r>
        <w:t xml:space="preserve"> und </w:t>
      </w:r>
      <w:r>
        <w:rPr>
          <w:rFonts w:ascii="Consolas" w:hAnsi="Consolas" w:cs="Consolas"/>
          <w:noProof/>
          <w:sz w:val="20"/>
          <w:szCs w:val="20"/>
          <w:shd w:val="clear" w:color="auto" w:fill="EFEFEF"/>
        </w:rPr>
        <w:t xml:space="preserve">PROZESS</w:t>
      </w:r>
      <w:r>
        <w:t xml:space="preserve"> — er teilt Vektorstruktur, Persistenz und Kennzahlenrechnung mit ihnen, </w:t>
      </w:r>
      <w:r>
        <w:rPr>
          <w:b/>
        </w:rPr>
        <w:t xml:space="preserve">aber nicht die Erzeugerkaskade</w:t>
      </w:r>
      <w:r>
        <w:t xml:space="preserve">. Ein Heizkessel deckt keinen Kältebedarf. Die Architektur heißt deshalb: </w:t>
      </w:r>
      <w:r>
        <w:rPr>
          <w:b/>
        </w:rPr>
        <w:t xml:space="preserve">ein Kanalfeld, zwei Deckungswelten</w:t>
      </w:r>
      <w:r>
        <w:t xml:space="preserve">.</w:t>
      </w:r>
    </w:p>
    <w:p>
      <w:pPr>
        <w:pStyle w:val="ListNumber"/>
        <w:numPr>
          <w:ilvl w:val="0"/>
          <w:numId w:val="7"/>
        </w:numPr>
      </w:pPr>
      <w:r>
        <w:rPr>
          <w:b/>
        </w:rPr>
        <w:t xml:space="preserve">Zwei Stellen ziehen sich gerade nicht selbst mit, obwohl sie über die Kanalzahl geschrieben sind</w:t>
      </w:r>
      <w:r>
        <w:t xml:space="preserve"> — und beide sind still: die </w:t>
      </w:r>
      <w:r>
        <w:rPr>
          <w:b/>
        </w:rPr>
        <w:t xml:space="preserve">Kanalsumme</w:t>
      </w:r>
      <w:r>
        <w:t xml:space="preserve">, aus der Dauerlinie, Monatswerte und die </w:t>
      </w:r>
      <w:r>
        <w:rPr>
          <w:b/>
        </w:rPr>
        <w:t xml:space="preserve">maximale Wärmelast</w:t>
      </w:r>
      <w:r>
        <w:t xml:space="preserve"> entstehen, und die </w:t>
      </w:r>
      <w:r>
        <w:rPr>
          <w:b/>
        </w:rPr>
        <w:t xml:space="preserve">Verteilung der Wärmenetzverluste</w:t>
      </w:r>
      <w:r>
        <w:t xml:space="preserve">, die proportional auf alle Kanäle geht. Ohne Ausnahmeregel legt ein Kühlkanal jeden Wärmeerzeuger jedes Projekts neu aus und schiebt ihm Netzverluste zu, die es nicht gibt. Das ist der teuerste Fehler dieses Vorhabens, und er erzeugt </w:t>
      </w:r>
      <w:r>
        <w:rPr>
          <w:b/>
        </w:rPr>
        <w:t xml:space="preserve">keine einzige Compilermeldung</w:t>
      </w:r>
      <w:r>
        <w:t xml:space="preserve">.</w:t>
      </w:r>
    </w:p>
    <w:p>
      <w:pPr>
        <w:pStyle w:val="ListNumber"/>
        <w:numPr>
          <w:ilvl w:val="0"/>
          <w:numId w:val="7"/>
        </w:numPr>
      </w:pPr>
      <w:r>
        <w:rPr>
          <w:b/>
        </w:rPr>
        <w:t xml:space="preserve">Der Kühlbedarf des Gebäudemodells ist heute keine Auslegungsgröße.</w:t>
      </w:r>
      <w:r>
        <w:t xml:space="preserve"> Er ist die Kappung an der maximalen Raumtemperatur: ideale Kühlung ohne Leistungsgrenze, ohne eigenen Sollwert, ohne Nachtlüftung. Damit er einen Erzeuger tragen kann, braucht er </w:t>
      </w:r>
      <w:r>
        <w:rPr>
          <w:b/>
        </w:rPr>
        <w:t xml:space="preserve">einen eigenen Kühlsollwert, eine Kühlleistungsgrenze und die Sommerlüftung aus G2</w:t>
      </w:r>
      <w:r>
        <w:t xml:space="preserve"> — sonst wird ein Kälteerzeuger auf eine nachweislich überzeichnete Last ausgelegt.</w:t>
      </w:r>
    </w:p>
    <w:p>
      <w:pPr>
        <w:pStyle w:val="ListNumber"/>
        <w:numPr>
          <w:ilvl w:val="0"/>
          <w:numId w:val="7"/>
        </w:numPr>
      </w:pPr>
      <w:r>
        <w:rPr>
          <w:b/>
        </w:rPr>
        <w:t xml:space="preserve">Der Kälteerzeuger steht zur Hälfte schon da und wird nicht gerechnet.</w:t>
      </w:r>
      <w:r>
        <w:t xml:space="preserve"> Jede Wärmepumpe kann eine Kühlleistung und eine Kühlkennlinie führen — importiert, gefiltert, gezeichnet — und </w:t>
      </w:r>
      <w:r>
        <w:rPr>
          <w:b/>
        </w:rPr>
        <w:t xml:space="preserve">keine Zeile der Simulation liest sie</w:t>
      </w:r>
      <w:r>
        <w:t xml:space="preserve">. KU2 macht aus vorhandenen Daten einen Rechenweg: der billigste Teil des Vorhabens mit dem größten sichtbaren Gewinn. </w:t>
      </w:r>
      <w:r>
        <w:rPr>
          <w:b/>
        </w:rPr>
        <w:t xml:space="preserve">E15</w:t>
      </w:r>
      <w:r>
        <w:t xml:space="preserve"> setzt den Rahmen davor (8a.3).</w:t>
      </w:r>
    </w:p>
    <w:p>
      <w:pPr>
        <w:pStyle w:val="ListNumber"/>
        <w:numPr>
          <w:ilvl w:val="0"/>
          <w:numId w:val="7"/>
        </w:numPr>
      </w:pPr>
      <w:r>
        <w:rPr>
          <w:b/>
        </w:rPr>
        <w:t xml:space="preserve">Der Referenzlauf setzt die Reihenfolge, nicht die Bequemlichkeit.</w:t>
      </w:r>
      <w:r>
        <w:t xml:space="preserve"> Eine </w:t>
      </w:r>
      <w:r>
        <w:rPr>
          <w:b/>
        </w:rPr>
        <w:t xml:space="preserve">Datei</w:t>
      </w:r>
      <w:r>
        <w:t xml:space="preserve">, die nur im neuen Lauf liegt, bekommt die höchste Schwere und ist FAIL — </w:t>
      </w:r>
      <w:r>
        <w:rPr>
          <w:b/>
        </w:rPr>
        <w:t xml:space="preserve">dagegen gibt es keinen Schalter</w:t>
      </w:r>
      <w:r>
        <w:t xml:space="preserve">. Ein neuer </w:t>
      </w:r>
      <w:r>
        <w:rPr>
          <w:b/>
        </w:rPr>
        <w:t xml:space="preserve">Schlüssel</w:t>
      </w:r>
      <w:r>
        <w:t xml:space="preserve"> in der Sammeldatei lässt sich dagegen ausdrücklich benennen und ausnehmen — ein Werkzeug für einen </w:t>
      </w:r>
      <w:r>
        <w:rPr>
          <w:b/>
        </w:rPr>
        <w:t xml:space="preserve">erklärten</w:t>
      </w:r>
      <w:r>
        <w:t xml:space="preserve"> Unterschied, kein Weg, Abweichungen wegzuschalten. Deshalb gehört KU1 in denselben Einfrierschritt wie G1 + G2: wegen der neuen </w:t>
      </w:r>
      <w:r>
        <w:rPr>
          <w:b/>
        </w:rPr>
        <w:t xml:space="preserve">Datei</w:t>
      </w:r>
      <w:r>
        <w:t xml:space="preserve">, nicht wegen der Schlüssel.</w:t>
      </w:r>
    </w:p>
    <w:p>
      <w:pPr>
        <w:pStyle w:val="ListNumber"/>
        <w:numPr>
          <w:ilvl w:val="0"/>
          <w:numId w:val="7"/>
        </w:numPr>
      </w:pPr>
      <w:r>
        <w:rPr>
          <w:b/>
        </w:rPr>
        <w:t xml:space="preserve">Vier Stufen, rund 47–74 PT, davon KU1 in der laufenden G-Kette.</w:t>
      </w:r>
      <w:r>
        <w:t xml:space="preserve"> KU0 schreibt die Papiere fort, KU1 öffnet den Kanal (ungedeckt), KU2 bringt die reversible Wärmepumpe samt Katalogauswahl (E15), KU3 das Umfeld — Kältemaschine samt Rückkühlung, freie Kühlung, Kältespeicher, Zonen.</w:t>
      </w:r>
    </w:p>
    <w:p>
      <w:r>
        <w:rPr>
          <w:b/>
        </w:rPr>
        <w:t xml:space="preserve">Drei Begriffe, die auseinanderzuhalten sind.</w:t>
      </w:r>
      <w:r>
        <w:t xml:space="preserve"> Der </w:t>
      </w:r>
      <w:r>
        <w:rPr>
          <w:b/>
        </w:rPr>
        <w:t xml:space="preserve">Kühlbedarf des Gebäudes</w:t>
      </w:r>
      <w:r>
        <w:t xml:space="preserve"> ist die Wärme, die dem Raum entzogen werden muss, damit er den Kühlsollwert hält — die Last, </w:t>
      </w:r>
      <w:r>
        <w:rPr>
          <w:b/>
        </w:rPr>
        <w:t xml:space="preserve">bevor</w:t>
      </w:r>
      <w:r>
        <w:t xml:space="preserve"> eine Anlage sie deckt. Die </w:t>
      </w:r>
      <w:r>
        <w:rPr>
          <w:b/>
        </w:rPr>
        <w:t xml:space="preserve">Kälteerzeugung</w:t>
      </w:r>
      <w:r>
        <w:t xml:space="preserve"> ist die Kältemenge, die ein Erzeuger in dieser Stunde tatsächlich bereitstellt. Der </w:t>
      </w:r>
      <w:r>
        <w:rPr>
          <w:b/>
        </w:rPr>
        <w:t xml:space="preserve">Kältestrom</w:t>
      </w:r>
      <w:r>
        <w:t xml:space="preserve"> ist die elektrische Arbeit, die diese Erzeugung kostet. Die drei Größen sind </w:t>
      </w:r>
      <w:r>
        <w:rPr>
          <w:b/>
        </w:rPr>
        <w:t xml:space="preserve">nie</w:t>
      </w:r>
      <w:r>
        <w:t xml:space="preserve"> gleich; wo eine Kennzahl nur „Kühlung" heißt, ist sie falsch benannt.</w:t>
      </w:r>
    </w:p>
    <w:p>
      <w:pPr>
        <w:pStyle w:val="Heading2"/>
      </w:pPr>
      <w:r>
        <w:t xml:space="preserve">8a.2 Kanalarchitektur: ein Kanalfeld, zwei Deckungswelten</w:t>
      </w:r>
    </w:p>
    <w:p>
      <w:r>
        <w:rPr>
          <w:b/>
        </w:rPr>
        <w:t xml:space="preserve">Die Grundentscheidung — K1, entschieden mit E21: vierter Kanal im vorhandenen Kanalfeld</w:t>
      </w:r>
      <w:r>
        <w:t xml:space="preserve">, nicht eine parallele Kältestruktur. Dafür spricht, dass Vektorstruktur, Persistenz, Knappheitsparser, Bedarfskennzahl und Ergebnisspalten </w:t>
      </w:r>
      <w:r>
        <w:rPr>
          <w:b/>
        </w:rPr>
        <w:t xml:space="preserve">einmal</w:t>
      </w:r>
      <w:r>
        <w:t xml:space="preserve"> entstehen statt zweimal; allein der </w:t>
      </w:r>
      <w:r>
        <w:rPr>
          <w:b/>
        </w:rPr>
        <w:t xml:space="preserve">Deckungsgrad</w:t>
      </w:r>
      <w:r>
        <w:t xml:space="preserve"> braucht einen eigenen Zweig. Dagegen spricht, dass die Summen-, Dauerlinien- und Netzverlustwege des Bestands über </w:t>
      </w:r>
      <w:r>
        <w:rPr>
          <w:b/>
        </w:rPr>
        <w:t xml:space="preserve">alle</w:t>
      </w:r>
      <w:r>
        <w:t xml:space="preserve"> Kanäle rechnen — und genau dafür sind die zwei Ausnahmen da.</w:t>
      </w:r>
    </w:p>
    <w:p>
      <w:r>
        <w:t xml:space="preserve">Drei Auflagen tragen den Entscheid: Die </w:t>
      </w:r>
      <w:r>
        <w:rPr>
          <w:b/>
        </w:rPr>
        <w:t xml:space="preserve">Deckungsseite wird getrennt, nicht der Bedarf</w:t>
      </w:r>
      <w:r>
        <w:t xml:space="preserve">; die </w:t>
      </w:r>
      <w:r>
        <w:rPr>
          <w:b/>
        </w:rPr>
        <w:t xml:space="preserve">Bestandsnamen bleiben</w:t>
      </w:r>
      <w:r>
        <w:t xml:space="preserve"> (im Schema zählt die Gleichförmigkeit, in Dialog, Bericht und Wiki heißt die Größe „Kühlbedarf" bzw. „Kältebedarf"); und der Kanalbegriff wird </w:t>
      </w:r>
      <w:r>
        <w:rPr>
          <w:b/>
        </w:rPr>
        <w:t xml:space="preserve">im Text umbenannt, nicht im Bezeichner</w:t>
      </w:r>
      <w:r>
        <w:t xml:space="preserve"> — die Dokumentation spricht künftig vom Bedarfskanal, die Konstanten und Persistenzwerte bleiben eingefroren.</w:t>
      </w:r>
    </w:p>
    <w:p>
      <w:r>
        <w:rPr>
          <w:b/>
        </w:rPr>
        <w:t xml:space="preserve">Die Festlegung sind zwei Kanallisten an einer Stelle:</w:t>
      </w:r>
    </w:p>
    <w:p>
      <w:pPr>
        <w:pStyle w:val="Codeblock"/>
      </w:pPr>
      <w:r>
        <w:t xml:space="preserve">// Die Kanäle der WÄRMEseite - Summe, Dauerlinie, Maximum, Netzverluste, Wärmeerzeugerkaskade.</w:t>
      </w:r>
      <w:r>
        <w:br/>
        <w:t xml:space="preserve">public static readonly int[] KANAELE_WAERME = { HEIZUNG, BRAUCHWASSER, PROZESS };</w:t>
      </w:r>
      <w:r>
        <w:br/>
        <w:t xml:space="preserve"/>
      </w:r>
      <w:r>
        <w:br/>
        <w:t xml:space="preserve">// Die Kanäle der KÄLTEseite - eigene Summe, eigenes Maximum, eigene Erzeugerkaskade.</w:t>
      </w:r>
      <w:r>
        <w:br/>
        <w:t xml:space="preserve">public static readonly int[] KANAELE_KAELTE = { KUEHLUNG };</w:t>
      </w:r>
    </w:p>
    <w:p>
      <w:r>
        <w:t xml:space="preserve">Die Kanalsumme und die Netzverlustverteilung laufen damit über </w:t>
      </w:r>
      <w:r>
        <w:rPr>
          <w:rFonts w:ascii="Consolas" w:hAnsi="Consolas" w:cs="Consolas"/>
          <w:noProof/>
          <w:sz w:val="20"/>
          <w:szCs w:val="20"/>
          <w:shd w:val="clear" w:color="auto" w:fill="EFEFEF"/>
        </w:rPr>
        <w:t xml:space="preserve">KANAELE_WAERME</w:t>
      </w:r>
      <w:r>
        <w:t xml:space="preserve">, nicht über die Kanalzahl. Daneben tritt eine eigene </w:t>
      </w:r>
      <w:r>
        <w:rPr>
          <w:b/>
        </w:rPr>
        <w:t xml:space="preserve">Kältesumme</w:t>
      </w:r>
      <w:r>
        <w:t xml:space="preserve"> mit eigenem Maximum — </w:t>
      </w:r>
      <w:r>
        <w:rPr>
          <w:rFonts w:ascii="Consolas" w:hAnsi="Consolas" w:cs="Consolas"/>
          <w:b/>
          <w:noProof/>
          <w:sz w:val="20"/>
          <w:szCs w:val="20"/>
          <w:shd w:val="clear" w:color="auto" w:fill="EFEFEF"/>
        </w:rPr>
        <w:t xml:space="preserve">Kaeltebedarf_Max</w:t>
      </w:r>
      <w:r>
        <w:t xml:space="preserve">, die Auslegungsgröße der Kälteseite, die neben der maximalen Wärmelast steht und sie nicht berührt; ihr Deckungszweig heißt </w:t>
      </w:r>
      <w:r>
        <w:rPr>
          <w:rFonts w:ascii="Consolas" w:hAnsi="Consolas" w:cs="Consolas"/>
          <w:b/>
          <w:noProof/>
          <w:sz w:val="20"/>
          <w:szCs w:val="20"/>
          <w:shd w:val="clear" w:color="auto" w:fill="EFEFEF"/>
        </w:rPr>
        <w:t xml:space="preserve">DeckungKanalKaelte</w:t>
      </w:r>
      <w:r>
        <w:t xml:space="preserve"> und ist die Entsprechung der Wärmedeckung, keine Erweiterung von ihr (E21). Der Selbsttest bekommt die </w:t>
      </w:r>
      <w:r>
        <w:rPr>
          <w:b/>
        </w:rPr>
        <w:t xml:space="preserve">statische</w:t>
      </w:r>
      <w:r>
        <w:t xml:space="preserve"> Zusicherung, dass beide Listen zusammen alle Kanäle ergeben und sich nicht überschneiden, damit ein fünfter Kanal später nicht still in keine der beiden fällt. Was ein Selbsttest </w:t>
      </w:r>
      <w:r>
        <w:rPr>
          <w:b/>
        </w:rPr>
        <w:t xml:space="preserve">nicht</w:t>
      </w:r>
      <w:r>
        <w:t xml:space="preserve"> kann, ist eine Aussage über einen Lauf: „kein Wärmeerzeuger hat in die Kältedeckung geschrieben" gehört in eine </w:t>
      </w:r>
      <w:r>
        <w:rPr>
          <w:b/>
        </w:rPr>
        <w:t xml:space="preserve">Kälteprobe je Stunde</w:t>
      </w:r>
      <w:r>
        <w:t xml:space="preserve"> nach dem Muster der vorhandenen Energieprobe — sie zählt Verletzungen, meldet einmal je Lauf und setzt das Gesamtergebnis auf fehlgeschlagen.</w:t>
      </w:r>
    </w:p>
    <w:p>
      <w:r>
        <w:rPr>
          <w:b/>
        </w:rPr>
        <w:t xml:space="preserve">Der Kanalsatz, nicht die Altklasse.</w:t>
      </w:r>
      <w:r>
        <w:t xml:space="preserve"> Die Kanaldatei des Kerns trägt zwei Klassen mit Kanälen. Betroffen ist allein die </w:t>
      </w:r>
      <w:r>
        <w:rPr>
          <w:b/>
        </w:rPr>
        <w:t xml:space="preserve">produktive Mehrkanalklasse</w:t>
      </w:r>
      <w:r>
        <w:t xml:space="preserve"> mit ihrem Bedarfsfeld; die zweikanalige </w:t>
      </w:r>
      <w:r>
        <w:rPr>
          <w:b/>
        </w:rPr>
        <w:t xml:space="preserve">Altklasse</w:t>
      </w:r>
      <w:r>
        <w:t xml:space="preserve"> hat keinen produktiven Aufrufer mehr und bleibt von der Kühlung unberührt. Die Unterscheidung ist der schwerste Einzelbefund des Gegenlesens: Wer in der falschen Klasse sucht, findet eine Methode, die er nicht anfassen muss, und lässt die stehen, die den Schaden anrichtet.</w:t>
      </w:r>
    </w:p>
    <w:p>
      <w:r>
        <w:rPr>
          <w:b/>
        </w:rPr>
        <w:t xml:space="preserve">Der Kanalsatz umfasst 19 Stellen aus Befund W, um vier ergänzt.</w:t>
      </w:r>
      <w:r>
        <w:t xml:space="preserve"> Nach Stufen geordnet: </w:t>
      </w:r>
      <w:r>
        <w:rPr>
          <w:b/>
        </w:rPr>
        <w:t xml:space="preserve">KU1</w:t>
      </w:r>
      <w:r>
        <w:t xml:space="preserve"> trägt Kanalindizes und Kanalzahl, Kanalvektoren, die zwei Ausnahmen, Text↔Index, Persistenzwert und Vorgabetext, die Spalte der Zuordnungstabelle, den </w:t>
      </w:r>
      <w:r>
        <w:rPr>
          <w:b/>
        </w:rPr>
        <w:t xml:space="preserve">toleranten Knappheitsparser</w:t>
      </w:r>
      <w:r>
        <w:t xml:space="preserve"> (eine gespeicherte Dreierfolge wird angenommen und kanonisch ergänzt, statt sie zu migrieren), Anzeigetexte in beiden Sprachen sowie </w:t>
      </w:r>
      <w:r>
        <w:rPr>
          <w:b/>
        </w:rPr>
        <w:t xml:space="preserve">Schema und Ergebnispersistenz</w:t>
      </w:r>
      <w:r>
        <w:t xml:space="preserve">. </w:t>
      </w:r>
      <w:r>
        <w:rPr>
          <w:b/>
        </w:rPr>
        <w:t xml:space="preserve">KU2</w:t>
      </w:r>
      <w:r>
        <w:t xml:space="preserve"> bringt Senke und Ziel „Kältekreis" samt Aufräumregel, </w:t>
      </w:r>
      <w:r>
        <w:rPr>
          <w:b/>
        </w:rPr>
        <w:t xml:space="preserve">KU3</w:t>
      </w:r>
      <w:r>
        <w:t xml:space="preserve"> Kältespeicher, Pufferverwendung und Klassen-Set.</w:t>
      </w:r>
    </w:p>
    <w:p>
      <w:r>
        <w:t xml:space="preserve">Zwei Lehren stehen darin. </w:t>
      </w:r>
      <w:r>
        <w:rPr>
          <w:b/>
        </w:rPr>
        <w:t xml:space="preserve">Erstens die Reihenfolge innerhalb von KU1:</w:t>
      </w:r>
      <w:r>
        <w:t xml:space="preserve"> Der Schreibweg der Ergebnisse erzeugt seine Parameter aus der Kanalzahl, während die Einfügeanweisung drei Platzhalter führt — eine erhöhte Kanalzahl liefert einen </w:t>
      </w:r>
      <w:r>
        <w:rPr>
          <w:b/>
        </w:rPr>
        <w:t xml:space="preserve">grünen Build und einen roten Lauf</w:t>
      </w:r>
      <w:r>
        <w:t xml:space="preserve">. Deshalb </w:t>
      </w:r>
      <w:r>
        <w:rPr>
          <w:b/>
        </w:rPr>
        <w:t xml:space="preserve">erst Schema und Persistenz, dann die Kanalzahl</w:t>
      </w:r>
      <w:r>
        <w:t xml:space="preserve">. </w:t>
      </w:r>
      <w:r>
        <w:rPr>
          <w:b/>
        </w:rPr>
        <w:t xml:space="preserve">Zweitens der stille Rückfall auf Heizung:</w:t>
      </w:r>
      <w:r>
        <w:t xml:space="preserve"> Vier Stellen des Bestands entscheiden über einen Kanal per Mehrfachverzweigung mit Vorgabezweig — und dieser Ausgang ist überall die Heizung bzw. „bedient". Für drei Kanäle ist das richtig und sparsam; mit einem vierten wird es zur falschen Antwort </w:t>
      </w:r>
      <w:r>
        <w:rPr>
          <w:b/>
        </w:rPr>
        <w:t xml:space="preserve">ohne Fehlermeldung</w:t>
      </w:r>
      <w:r>
        <w:t xml:space="preserve">: eine Kühlmeldung im Heizungstext, ein Pufferspeicher, der angeblich den Kühlkanal entlädt. Jede dieser vier Stellen bekommt einen </w:t>
      </w:r>
      <w:r>
        <w:rPr>
          <w:b/>
        </w:rPr>
        <w:t xml:space="preserve">ausdrücklichen</w:t>
      </w:r>
      <w:r>
        <w:t xml:space="preserve"> Kühlzweig, und wo die Kühlung dort noch nicht gilt, eine benannte Ablehnung statt eines Rückfalls.</w:t>
      </w:r>
    </w:p>
    <w:p>
      <w:r>
        <w:rPr>
          <w:b/>
        </w:rPr>
        <w:t xml:space="preserve">Wo die Kühlung in der Knappheit steht: zuletzt</w:t>
      </w:r>
      <w:r>
        <w:t xml:space="preserve"> — nicht aus Rangfolge, sondern aus Bedeutungslosigkeit, weil die Knappheitsreihenfolge die knappe </w:t>
      </w:r>
      <w:r>
        <w:rPr>
          <w:b/>
        </w:rPr>
        <w:t xml:space="preserve">Wärme</w:t>
      </w:r>
      <w:r>
        <w:t xml:space="preserve">erzeugung regelt; ihr Rang wird in der Oberfläche nicht zur Bearbeitung angeboten. Der </w:t>
      </w:r>
      <w:r>
        <w:rPr>
          <w:b/>
        </w:rPr>
        <w:t xml:space="preserve">Kältespeicher</w:t>
      </w:r>
      <w:r>
        <w:t xml:space="preserve"> ist benannt </w:t>
      </w:r>
      <w:r>
        <w:rPr>
          <w:b/>
        </w:rPr>
        <w:t xml:space="preserve">vertagt</w:t>
      </w:r>
      <w:r>
        <w:t xml:space="preserve">, nicht abgelehnt: ohne Kältemaschine selten sinnvoll, deshalb mit ihr in KU3 oder gar nicht; bis dahin sagt der Dialog es ausdrücklich.</w:t>
      </w:r>
    </w:p>
    <w:p>
      <w:pPr>
        <w:pStyle w:val="Heading2"/>
      </w:pPr>
      <w:r>
        <w:t xml:space="preserve">8a.3 Wärmepumpen mit Kühlfunktion (E15)</w:t>
      </w:r>
    </w:p>
    <w:p>
      <w:r>
        <w:rPr>
          <w:b/>
        </w:rPr>
        <w:t xml:space="preserve">„Kühlfähig" heißt zweierlei — und nur eines davon rechnet.</w:t>
      </w:r>
      <w:r>
        <w:t xml:space="preserve"> </w:t>
      </w:r>
      <w:r>
        <w:rPr>
          <w:i/>
        </w:rPr>
        <w:t xml:space="preserve">Kühlfähig im Katalog</w:t>
      </w:r>
      <w:r>
        <w:t xml:space="preserve"> hängt an der </w:t>
      </w:r>
      <w:r>
        <w:rPr>
          <w:b/>
        </w:rPr>
        <w:t xml:space="preserve">Nennkühlleistung</w:t>
      </w:r>
      <w:r>
        <w:t xml:space="preserve"> (die Angabe, die ein Datenblatt führt und nach der der Anwender sucht); </w:t>
      </w:r>
      <w:r>
        <w:rPr>
          <w:i/>
        </w:rPr>
        <w:t xml:space="preserve">rechenbar kühlfähig</w:t>
      </w:r>
      <w:r>
        <w:t xml:space="preserve"> hängt daran, dass eine </w:t>
      </w:r>
      <w:r>
        <w:rPr>
          <w:b/>
        </w:rPr>
        <w:t xml:space="preserve">Kühlkennlinie</w:t>
      </w:r>
      <w:r>
        <w:t xml:space="preserve"> vorliegt. Die Nennkühlleistung ist eine </w:t>
      </w:r>
      <w:r>
        <w:rPr>
          <w:b/>
        </w:rPr>
        <w:t xml:space="preserve">Berichtsgröße, keine Rechengröße</w:t>
      </w:r>
      <w:r>
        <w:t xml:space="preserve">. Daraus folgt die Regel: Der </w:t>
      </w:r>
      <w:r>
        <w:rPr>
          <w:b/>
        </w:rPr>
        <w:t xml:space="preserve">Katalogfilter</w:t>
      </w:r>
      <w:r>
        <w:t xml:space="preserve"> und die Kennzeichenspalte „Kühlen" hängen an der Nennleistung, der </w:t>
      </w:r>
      <w:r>
        <w:rPr>
          <w:b/>
        </w:rPr>
        <w:t xml:space="preserve">Sperrgrund des Kühlbetriebs</w:t>
      </w:r>
      <w:r>
        <w:t xml:space="preserve"> dagegen an der Kennlinie — und ein Satz mit Nennkühlleistung ohne Kennlinie bekommt eine benannte </w:t>
      </w:r>
      <w:r>
        <w:rPr>
          <w:b/>
        </w:rPr>
        <w:t xml:space="preserve">Warnung</w:t>
      </w:r>
      <w:r>
        <w:t xml:space="preserve">, keine stille Ablehnung.</w:t>
      </w:r>
    </w:p>
    <w:p>
      <w:r>
        <w:rPr>
          <w:b/>
        </w:rPr>
        <w:t xml:space="preserve">Die Zählung (gemessen an der Testdatenbank, 16.09.2026, nur lesend):</w:t>
      </w:r>
    </w:p>
    <w:tbl>
      <w:tblPr>
        <w:tblStyle w:val="TableGrid"/>
        <w:tblW w:w="5000" w:type="pct"/>
        <w:tblLayout w:type="autofit"/>
        <w:tblLook w:val="04A0" w:firstRow="true" w:lastRow="false" w:firstColumn="false" w:lastColumn="false" w:noHBand="false" w:noVBand="true"/>
      </w:tblPr>
      <w:tblGrid>
        <w:gridCol w:w="4819"/>
        <w:gridCol w:w="4819"/>
      </w:tblGrid>
      <w:tr>
        <w:trPr>
          <w:tblHeader/>
        </w:trPr>
        <w:tc>
          <w:tcPr>
            <w:tcW w:w="0" w:type="auto"/>
            <w:shd w:val="clear" w:color="auto" w:fill="D9D9D9"/>
          </w:tcPr>
          <w:p>
            <w:pPr>
              <w:spacing w:after="0" w:line="240" w:lineRule="auto"/>
              <w:rPr>
                <w:b/>
              </w:rPr>
            </w:pPr>
            <w:r>
              <w:rPr>
                <w:b/>
              </w:rPr>
              <w:t xml:space="preserve">Größe</w:t>
            </w:r>
          </w:p>
        </w:tc>
        <w:tc>
          <w:tcPr>
            <w:tcW w:w="0" w:type="auto"/>
            <w:shd w:val="clear" w:color="auto" w:fill="D9D9D9"/>
          </w:tcPr>
          <w:p>
            <w:pPr>
              <w:spacing w:after="0" w:line="240" w:lineRule="auto"/>
              <w:rPr>
                <w:b/>
              </w:rPr>
            </w:pPr>
            <w:r>
              <w:rPr>
                <w:b/>
              </w:rPr>
              <w:t xml:space="preserve">Zahl</w:t>
            </w:r>
          </w:p>
        </w:tc>
      </w:tr>
      <w:tr>
        <w:tc>
          <w:tcPr>
            <w:tcW w:w="0" w:type="auto"/>
          </w:tcPr>
          <w:p>
            <w:pPr>
              <w:spacing w:after="0" w:line="240" w:lineRule="auto"/>
            </w:pPr>
            <w:r>
              <w:t xml:space="preserve">Sätze im Wärmepumpen-Katalog</w:t>
            </w:r>
          </w:p>
        </w:tc>
        <w:tc>
          <w:tcPr>
            <w:tcW w:w="0" w:type="auto"/>
          </w:tcPr>
          <w:p>
            <w:pPr>
              <w:spacing w:after="0" w:line="240" w:lineRule="auto"/>
            </w:pPr>
            <w:r>
              <w:t xml:space="preserve">51</w:t>
            </w:r>
          </w:p>
        </w:tc>
      </w:tr>
      <w:tr>
        <w:tc>
          <w:tcPr>
            <w:tcW w:w="0" w:type="auto"/>
          </w:tcPr>
          <w:p>
            <w:pPr>
              <w:spacing w:after="0" w:line="240" w:lineRule="auto"/>
            </w:pPr>
            <w:r>
              <w:t xml:space="preserve">davon </w:t>
            </w:r>
            <w:r>
              <w:rPr>
                <w:b/>
              </w:rPr>
              <w:t xml:space="preserve">kühlfähig im Katalog</w:t>
            </w:r>
            <w:r>
              <w:t xml:space="preserve"> (Nennkühlleistung vorhanden)</w:t>
            </w:r>
          </w:p>
        </w:tc>
        <w:tc>
          <w:tcPr>
            <w:tcW w:w="0" w:type="auto"/>
          </w:tcPr>
          <w:p>
            <w:pPr>
              <w:spacing w:after="0" w:line="240" w:lineRule="auto"/>
            </w:pPr>
            <w:r>
              <w:rPr>
                <w:b/>
              </w:rPr>
              <w:t xml:space="preserve">15</w:t>
            </w:r>
          </w:p>
        </w:tc>
      </w:tr>
      <w:tr>
        <w:tc>
          <w:tcPr>
            <w:tcW w:w="0" w:type="auto"/>
          </w:tcPr>
          <w:p>
            <w:pPr>
              <w:spacing w:after="0" w:line="240" w:lineRule="auto"/>
            </w:pPr>
            <w:r>
              <w:t xml:space="preserve">Sätze mit Kühlkennlinie</w:t>
            </w:r>
          </w:p>
        </w:tc>
        <w:tc>
          <w:tcPr>
            <w:tcW w:w="0" w:type="auto"/>
          </w:tcPr>
          <w:p>
            <w:pPr>
              <w:spacing w:after="0" w:line="240" w:lineRule="auto"/>
            </w:pPr>
            <w:r>
              <w:t xml:space="preserve">7</w:t>
            </w:r>
          </w:p>
        </w:tc>
      </w:tr>
      <w:tr>
        <w:tc>
          <w:tcPr>
            <w:tcW w:w="0" w:type="auto"/>
          </w:tcPr>
          <w:p>
            <w:pPr>
              <w:spacing w:after="0" w:line="240" w:lineRule="auto"/>
            </w:pPr>
            <w:r>
              <w:t xml:space="preserve">davon </w:t>
            </w:r>
            <w:r>
              <w:rPr>
                <w:b/>
              </w:rPr>
              <w:t xml:space="preserve">rechenbar kühlfähig</w:t>
            </w:r>
            <w:r>
              <w:t xml:space="preserve"> (beides)</w:t>
            </w:r>
          </w:p>
        </w:tc>
        <w:tc>
          <w:tcPr>
            <w:tcW w:w="0" w:type="auto"/>
          </w:tcPr>
          <w:p>
            <w:pPr>
              <w:spacing w:after="0" w:line="240" w:lineRule="auto"/>
            </w:pPr>
            <w:r>
              <w:rPr>
                <w:b/>
              </w:rPr>
              <w:t xml:space="preserve">6</w:t>
            </w:r>
          </w:p>
        </w:tc>
      </w:tr>
      <w:tr>
        <w:tc>
          <w:tcPr>
            <w:tcW w:w="0" w:type="auto"/>
          </w:tcPr>
          <w:p>
            <w:pPr>
              <w:spacing w:after="0" w:line="240" w:lineRule="auto"/>
            </w:pPr>
            <w:r>
              <w:t xml:space="preserve">Nennkühlleistung </w:t>
            </w:r>
            <w:r>
              <w:rPr>
                <w:b/>
              </w:rPr>
              <w:t xml:space="preserve">ohne</w:t>
            </w:r>
            <w:r>
              <w:t xml:space="preserve"> Kennlinie</w:t>
            </w:r>
          </w:p>
        </w:tc>
        <w:tc>
          <w:tcPr>
            <w:tcW w:w="0" w:type="auto"/>
          </w:tcPr>
          <w:p>
            <w:pPr>
              <w:spacing w:after="0" w:line="240" w:lineRule="auto"/>
            </w:pPr>
            <w:r>
              <w:t xml:space="preserve">9</w:t>
            </w:r>
          </w:p>
        </w:tc>
      </w:tr>
      <w:tr>
        <w:tc>
          <w:tcPr>
            <w:tcW w:w="0" w:type="auto"/>
          </w:tcPr>
          <w:p>
            <w:pPr>
              <w:spacing w:after="0" w:line="240" w:lineRule="auto"/>
            </w:pPr>
            <w:r>
              <w:t xml:space="preserve">Kennlinie </w:t>
            </w:r>
            <w:r>
              <w:rPr>
                <w:b/>
              </w:rPr>
              <w:t xml:space="preserve">ohne</w:t>
            </w:r>
            <w:r>
              <w:t xml:space="preserve"> Nennkühlleistung</w:t>
            </w:r>
          </w:p>
        </w:tc>
        <w:tc>
          <w:tcPr>
            <w:tcW w:w="0" w:type="auto"/>
          </w:tcPr>
          <w:p>
            <w:pPr>
              <w:spacing w:after="0" w:line="240" w:lineRule="auto"/>
            </w:pPr>
            <w:r>
              <w:t xml:space="preserve">1</w:t>
            </w:r>
          </w:p>
        </w:tc>
      </w:tr>
      <w:tr>
        <w:tc>
          <w:tcPr>
            <w:tcW w:w="0" w:type="auto"/>
          </w:tcPr>
          <w:p>
            <w:pPr>
              <w:spacing w:after="0" w:line="240" w:lineRule="auto"/>
            </w:pPr>
            <w:r>
              <w:t xml:space="preserve">Projektseite: Anlagen / mit Nennkühlleistung / mit Kühlkennlinie</w:t>
            </w:r>
          </w:p>
        </w:tc>
        <w:tc>
          <w:tcPr>
            <w:tcW w:w="0" w:type="auto"/>
          </w:tcPr>
          <w:p>
            <w:pPr>
              <w:spacing w:after="0" w:line="240" w:lineRule="auto"/>
            </w:pPr>
            <w:r>
              <w:t xml:space="preserve">29 / 7 / </w:t>
            </w:r>
            <w:r>
              <w:rPr>
                <w:b/>
              </w:rPr>
              <w:t xml:space="preserve">0</w:t>
            </w:r>
          </w:p>
        </w:tc>
      </w:tr>
    </w:tbl>
    <w:p>
      <w:pPr>
        <w:spacing w:after="120"/>
      </w:pPr>
    </w:p>
    <w:p>
      <w:r>
        <w:rPr>
          <w:b/>
        </w:rPr>
        <w:t xml:space="preserve">Drei Folgerungen.</w:t>
      </w:r>
      <w:r>
        <w:t xml:space="preserve"> Ein </w:t>
      </w:r>
      <w:r>
        <w:rPr>
          <w:b/>
        </w:rPr>
        <w:t xml:space="preserve">Filter lohnt sich</w:t>
      </w:r>
      <w:r>
        <w:t xml:space="preserve"> — 15 von 51, ohne ihn sucht der Anwender in einer Liste, die zu zwei Dritteln aus Maschinen besteht, die nicht kühlen. Die </w:t>
      </w:r>
      <w:r>
        <w:rPr>
          <w:b/>
        </w:rPr>
        <w:t xml:space="preserve">Lücke zwischen beiden Begriffen ist groß</w:t>
      </w:r>
      <w:r>
        <w:t xml:space="preserve">: Wer den Kühlbetrieb an der Nennleistung freigäbe, verspräche ihn neunmal ohne Deckung. Und das </w:t>
      </w:r>
      <w:r>
        <w:rPr>
          <w:b/>
        </w:rPr>
        <w:t xml:space="preserve">Referenzprojekt braucht gesäte Kältedaten</w:t>
      </w:r>
      <w:r>
        <w:t xml:space="preserve">, weil auf der Projektseite heute keine einzige Anlage eine Kühlkennlinie trägt.</w:t>
      </w:r>
    </w:p>
    <w:p>
      <w:r>
        <w:rPr>
          <w:b/>
        </w:rPr>
        <w:t xml:space="preserve">Die Filterregel.</w:t>
      </w:r>
      <w:r>
        <w:t xml:space="preserve"> Die Kennzeichenspalte „Kühlen" wird heute angezeigt, lässt sich aber nicht filtern — eine einzige Zeile des Filterprofils schließt das für Ja/Nein-Spalten aus, und zwar mit guter Begründung: Ein Eingabefeld „enthält ja" für zwei Werte sei ein Bedienelement ohne Gewinn, die Sortierung stelle die Sätze ohnehin zusammen. </w:t>
      </w:r>
      <w:r>
        <w:rPr>
          <w:b/>
        </w:rPr>
        <w:t xml:space="preserve">Für die Kühlung trägt diese Begründung nicht mehr</w:t>
      </w:r>
      <w:r>
        <w:t xml:space="preserve">, weil die Kühlfähigkeit ab KU2 keine Zusatzangabe ist, sondern die Vorbedingung dafür, dass die Maschine eine Aufgabe des Projekts überhaupt erfüllen kann. Zwei Wege stehen offen und sind als </w:t>
      </w:r>
      <w:r>
        <w:rPr>
          <w:b/>
        </w:rPr>
        <w:t xml:space="preserve">K20</w:t>
      </w:r>
      <w:r>
        <w:t xml:space="preserve"> offen: eine </w:t>
      </w:r>
      <w:r>
        <w:rPr>
          <w:b/>
        </w:rPr>
        <w:t xml:space="preserve">benannte Ausnahme</w:t>
      </w:r>
      <w:r>
        <w:t xml:space="preserve"> von der Regel oder eine </w:t>
      </w:r>
      <w:r>
        <w:rPr>
          <w:b/>
        </w:rPr>
        <w:t xml:space="preserve">eigene Filterart</w:t>
      </w:r>
      <w:r>
        <w:t xml:space="preserve"> für ausdrücklich filterbare Kennzeichenspalten. </w:t>
      </w:r>
      <w:r>
        <w:rPr>
          <w:b/>
        </w:rPr>
        <w:t xml:space="preserve">Empfehlung: die eigene Filterart</w:t>
      </w:r>
      <w:r>
        <w:t xml:space="preserve"> — rund ein Personentag mehr, dafür bleibt die Regel eine Regel, und jede künftige Kennzeichenspalte entscheidet am eigenen Spaltenprofil statt in einer Ausnahmeliste.</w:t>
      </w:r>
    </w:p>
    <w:p>
      <w:r>
        <w:rPr>
          <w:b/>
        </w:rPr>
        <w:t xml:space="preserve">An der Übernahme ist nichts zu bauen.</w:t>
      </w:r>
      <w:r>
        <w:t xml:space="preserve"> Alle drei Wege vom Katalog ins Projekt — Katalogsatz übernehmen, Gewerkübernahme, Projekt duplizieren — führen die Kühlkennlinie </w:t>
      </w:r>
      <w:r>
        <w:rPr>
          <w:b/>
        </w:rPr>
        <w:t xml:space="preserve">bereits heute</w:t>
      </w:r>
      <w:r>
        <w:t xml:space="preserve"> vollständig mit. Was fehlt, ist allein der </w:t>
      </w:r>
      <w:r>
        <w:rPr>
          <w:b/>
        </w:rPr>
        <w:t xml:space="preserve">Leser</w:t>
      </w:r>
      <w:r>
        <w:t xml:space="preserve"> und die </w:t>
      </w:r>
      <w:r>
        <w:rPr>
          <w:b/>
        </w:rPr>
        <w:t xml:space="preserve">Einstellung</w:t>
      </w:r>
      <w:r>
        <w:t xml:space="preserve">; ein Datenbankfall hält fest, dass es so bleibt.</w:t>
      </w:r>
    </w:p>
    <w:p>
      <w:r>
        <w:rPr>
          <w:b/>
        </w:rPr>
        <w:t xml:space="preserve">Die Konfiguration je Anlage — vier Angaben:</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Feld</w:t>
            </w:r>
          </w:p>
        </w:tc>
        <w:tc>
          <w:tcPr>
            <w:tcW w:w="0" w:type="auto"/>
            <w:shd w:val="clear" w:color="auto" w:fill="D9D9D9"/>
          </w:tcPr>
          <w:p>
            <w:pPr>
              <w:spacing w:after="0" w:line="240" w:lineRule="auto"/>
              <w:rPr>
                <w:b/>
              </w:rPr>
            </w:pPr>
            <w:r>
              <w:rPr>
                <w:b/>
              </w:rPr>
              <w:t xml:space="preserve">Was es beantwortet</w:t>
            </w:r>
          </w:p>
        </w:tc>
        <w:tc>
          <w:tcPr>
            <w:tcW w:w="0" w:type="auto"/>
            <w:shd w:val="clear" w:color="auto" w:fill="D9D9D9"/>
          </w:tcPr>
          <w:p>
            <w:pPr>
              <w:spacing w:after="0" w:line="240" w:lineRule="auto"/>
              <w:rPr>
                <w:b/>
              </w:rPr>
            </w:pPr>
            <w:r>
              <w:rPr>
                <w:b/>
              </w:rPr>
              <w:t xml:space="preserve">Vorgabe</w:t>
            </w:r>
          </w:p>
        </w:tc>
      </w:tr>
      <w:tr>
        <w:tc>
          <w:tcPr>
            <w:tcW w:w="0" w:type="auto"/>
          </w:tcPr>
          <w:p>
            <w:pPr>
              <w:spacing w:after="0" w:line="240" w:lineRule="auto"/>
            </w:pPr>
            <w:r>
              <w:rPr>
                <w:rFonts w:ascii="Consolas" w:hAnsi="Consolas" w:cs="Consolas"/>
                <w:noProof/>
                <w:sz w:val="20"/>
                <w:szCs w:val="20"/>
                <w:shd w:val="clear" w:color="auto" w:fill="EFEFEF"/>
              </w:rPr>
              <w:t xml:space="preserve">Kuehlbetrieb</w:t>
            </w:r>
          </w:p>
        </w:tc>
        <w:tc>
          <w:tcPr>
            <w:tcW w:w="0" w:type="auto"/>
          </w:tcPr>
          <w:p>
            <w:pPr>
              <w:spacing w:after="0" w:line="240" w:lineRule="auto"/>
            </w:pPr>
            <w:r>
              <w:t xml:space="preserve">Wird </w:t>
            </w:r>
            <w:r>
              <w:rPr>
                <w:b/>
              </w:rPr>
              <w:t xml:space="preserve">diese</w:t>
            </w:r>
            <w:r>
              <w:t xml:space="preserve"> Maschine im Projekt auch zum Kühlen benutzt?</w:t>
            </w:r>
          </w:p>
        </w:tc>
        <w:tc>
          <w:tcPr>
            <w:tcW w:w="0" w:type="auto"/>
          </w:tcPr>
          <w:p>
            <w:pPr>
              <w:spacing w:after="0" w:line="240" w:lineRule="auto"/>
            </w:pPr>
            <w:r>
              <w:t xml:space="preserve">0 — aus; einschaltbar nur mit Kühlkennlinie</w:t>
            </w:r>
          </w:p>
        </w:tc>
      </w:tr>
      <w:tr>
        <w:tc>
          <w:tcPr>
            <w:tcW w:w="0" w:type="auto"/>
          </w:tcPr>
          <w:p>
            <w:pPr>
              <w:spacing w:after="0" w:line="240" w:lineRule="auto"/>
            </w:pPr>
            <w:r>
              <w:rPr>
                <w:rFonts w:ascii="Consolas" w:hAnsi="Consolas" w:cs="Consolas"/>
                <w:noProof/>
                <w:sz w:val="20"/>
                <w:szCs w:val="20"/>
                <w:shd w:val="clear" w:color="auto" w:fill="EFEFEF"/>
              </w:rPr>
              <w:t xml:space="preserve">Kuehl_Vorlauf</w:t>
            </w:r>
          </w:p>
        </w:tc>
        <w:tc>
          <w:tcPr>
            <w:tcW w:w="0" w:type="auto"/>
          </w:tcPr>
          <w:p>
            <w:pPr>
              <w:spacing w:after="0" w:line="240" w:lineRule="auto"/>
            </w:pPr>
            <w:r>
              <w:t xml:space="preserve">Mit welcher </w:t>
            </w:r>
            <w:r>
              <w:rPr>
                <w:b/>
              </w:rPr>
              <w:t xml:space="preserve">Kaltwasser-Vorlauftemperatur</w:t>
            </w:r>
            <w:r>
              <w:t xml:space="preserve"> arbeitet der Kältekreis? Sie wählt die Kennlinie, wie der Heizvorlauf es auf der Wärmeseite tut</w:t>
            </w:r>
          </w:p>
        </w:tc>
        <w:tc>
          <w:tcPr>
            <w:tcW w:w="0" w:type="auto"/>
          </w:tcPr>
          <w:p>
            <w:pPr>
              <w:spacing w:after="0" w:line="240" w:lineRule="auto"/>
            </w:pPr>
            <w:r>
              <w:t xml:space="preserve">NULL = kleinster Stützwert der Kennlinie</w:t>
            </w:r>
          </w:p>
        </w:tc>
      </w:tr>
      <w:tr>
        <w:tc>
          <w:tcPr>
            <w:tcW w:w="0" w:type="auto"/>
          </w:tcPr>
          <w:p>
            <w:pPr>
              <w:spacing w:after="0" w:line="240" w:lineRule="auto"/>
            </w:pPr>
            <w:r>
              <w:rPr>
                <w:rFonts w:ascii="Consolas" w:hAnsi="Consolas" w:cs="Consolas"/>
                <w:noProof/>
                <w:sz w:val="20"/>
                <w:szCs w:val="20"/>
                <w:shd w:val="clear" w:color="auto" w:fill="EFEFEF"/>
              </w:rPr>
              <w:t xml:space="preserve">Kuehl_Umschaltung</w:t>
            </w:r>
          </w:p>
        </w:tc>
        <w:tc>
          <w:tcPr>
            <w:tcW w:w="0" w:type="auto"/>
          </w:tcPr>
          <w:p>
            <w:pPr>
              <w:spacing w:after="0" w:line="240" w:lineRule="auto"/>
            </w:pPr>
            <w:r>
              <w:t xml:space="preserve">Nach welcher Regel wechselt die Maschine zwischen Heizen und Kühlen?</w:t>
            </w:r>
          </w:p>
        </w:tc>
        <w:tc>
          <w:tcPr>
            <w:tcW w:w="0" w:type="auto"/>
          </w:tcPr>
          <w:p>
            <w:pPr>
              <w:spacing w:after="0" w:line="240" w:lineRule="auto"/>
            </w:pPr>
            <w:r>
              <w:t xml:space="preserve">NULL = je Tag</w:t>
            </w:r>
          </w:p>
        </w:tc>
      </w:tr>
      <w:tr>
        <w:tc>
          <w:tcPr>
            <w:tcW w:w="0" w:type="auto"/>
          </w:tcPr>
          <w:p>
            <w:pPr>
              <w:spacing w:after="0" w:line="240" w:lineRule="auto"/>
            </w:pPr>
            <w:r>
              <w:rPr>
                <w:rFonts w:ascii="Consolas" w:hAnsi="Consolas" w:cs="Consolas"/>
                <w:noProof/>
                <w:sz w:val="20"/>
                <w:szCs w:val="20"/>
                <w:shd w:val="clear" w:color="auto" w:fill="EFEFEF"/>
              </w:rPr>
              <w:t xml:space="preserve">Kuehl_Hilfsstromanteil</w:t>
            </w:r>
          </w:p>
        </w:tc>
        <w:tc>
          <w:tcPr>
            <w:tcW w:w="0" w:type="auto"/>
          </w:tcPr>
          <w:p>
            <w:pPr>
              <w:spacing w:after="0" w:line="240" w:lineRule="auto"/>
            </w:pPr>
            <w:r>
              <w:t xml:space="preserve">Welcher Anteil Hilfsstrom (Pumpen, Ventilatoren des Kältekreises) kommt zur Verdichterarbeit?</w:t>
            </w:r>
          </w:p>
        </w:tc>
        <w:tc>
          <w:tcPr>
            <w:tcW w:w="0" w:type="auto"/>
          </w:tcPr>
          <w:p>
            <w:pPr>
              <w:spacing w:after="0" w:line="240" w:lineRule="auto"/>
            </w:pPr>
            <w:r>
              <w:t xml:space="preserve">NULL = kein Zuschlag</w:t>
            </w:r>
          </w:p>
        </w:tc>
      </w:tr>
    </w:tbl>
    <w:p>
      <w:pPr>
        <w:spacing w:after="120"/>
      </w:pPr>
    </w:p>
    <w:p>
      <w:r>
        <w:rPr>
          <w:b/>
        </w:rPr>
        <w:t xml:space="preserve">Die Projekteinstellung steht darüber:</w:t>
      </w:r>
      <w:r>
        <w:t xml:space="preserve"> Solange der Kühlbetrieb des Projekts aus ist, rechnet keine dieser Angaben. Das ist gewollt — es schützt die zwölf übrigen Referenzprojekte.</w:t>
      </w:r>
    </w:p>
    <w:p>
      <w:r>
        <w:rPr>
          <w:b/>
        </w:rPr>
        <w:t xml:space="preserve">Was E15 zusagt und was nicht.</w:t>
      </w:r>
      <w:r>
        <w:t xml:space="preserve"> Zugesagt ist, dass eine Projektkonfiguration mit einer reversiblen Wärmepumpe — im Katalog gefunden, ins Projekt übernommen, im Erzeugerdialog auf Kühlbetrieb gestellt — die Simulation mit Kühlung </w:t>
      </w:r>
      <w:r>
        <w:rPr>
          <w:b/>
        </w:rPr>
        <w:t xml:space="preserve">vollständig</w:t>
      </w:r>
      <w:r>
        <w:t xml:space="preserve"> rechnet: Bedarf, Deckung, Kältestrom, Kosten und Emissionen, Kennzahlen und Bericht. </w:t>
      </w:r>
      <w:r>
        <w:rPr>
          <w:b/>
        </w:rPr>
        <w:t xml:space="preserve">Nicht zugesagt ist ein Termin vor der Kette:</w:t>
      </w:r>
      <w:r>
        <w:t xml:space="preserve"> Die Zusage gilt </w:t>
      </w:r>
      <w:r>
        <w:rPr>
          <w:b/>
        </w:rPr>
        <w:t xml:space="preserve">frühestens nach G1 + G2 + KU1 + KU2</w:t>
      </w:r>
      <w:r>
        <w:t xml:space="preserve">.</w:t>
      </w:r>
    </w:p>
    <w:p>
      <w:pPr>
        <w:pStyle w:val="Heading2"/>
      </w:pPr>
      <w:r>
        <w:t xml:space="preserve">8a.4 Der Kanalfluss im Bild</w:t>
      </w:r>
    </w:p>
    <w:p>
      <w:pPr>
        <w:pStyle w:val="Diagrammbild"/>
      </w:pPr>
      <w:r>
        <w:drawing>
          <wp:inline xmlns:wp="http://schemas.openxmlformats.org/drawingml/2006/wordprocessingDrawing" distT="0" distB="0" distL="0" distR="0">
            <wp:extent cx="6120130" cy="6326684"/>
            <wp:effectExtent l="0" t="0" r="0" b="0"/>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12.png"/>
                    <pic:cNvPicPr/>
                  </pic:nvPicPr>
                  <pic:blipFill>
                    <a:blip xmlns:r="http://schemas.openxmlformats.org/officeDocument/2006/relationships" r:embed="R614fb11118234d27"/>
                    <a:stretch>
                      <a:fillRect/>
                    </a:stretch>
                  </pic:blipFill>
                  <pic:spPr>
                    <a:xfrm>
                      <a:off x="0" y="0"/>
                      <a:ext cx="6120130" cy="6326684"/>
                    </a:xfrm>
                    <a:prstGeom prst="rect">
                      <a:avLst/>
                    </a:prstGeom>
                  </pic:spPr>
                </pic:pic>
              </a:graphicData>
            </a:graphic>
          </wp:inline>
        </w:drawing>
      </w:r>
    </w:p>
    <w:p>
      <w:pPr>
        <w:pStyle w:val="Bildunterschrift"/>
      </w:pPr>
      <w:r>
        <w:rPr>
          <w:i/>
          <w:iCs/>
        </w:rPr>
        <w:t xml:space="preserve">Bild 12: 8a.4 Der Kanalfluss im Bild</w:t>
      </w:r>
    </w:p>
    <w:p>
      <w:r>
        <w:t xml:space="preserve">Die </w:t>
      </w:r>
      <w:r>
        <w:rPr>
          <w:b/>
        </w:rPr>
        <w:t xml:space="preserve">fetten Pfeile</w:t>
      </w:r>
      <w:r>
        <w:t xml:space="preserve"> sind die Kälteseite. Sie berührt die Wärmesumme an keiner Stelle und trifft die Wärmeseite erst wieder in der </w:t>
      </w:r>
      <w:r>
        <w:rPr>
          <w:b/>
        </w:rPr>
        <w:t xml:space="preserve">Strombilanz</w:t>
      </w:r>
      <w:r>
        <w:t xml:space="preserve"> und in den </w:t>
      </w:r>
      <w:r>
        <w:rPr>
          <w:b/>
        </w:rPr>
        <w:t xml:space="preserve">Ergebnistabellen</w:t>
      </w:r>
      <w:r>
        <w:t xml:space="preserve"> — genau dort, wo beide Welten dieselbe Einheit sprechen.</w:t>
      </w:r>
    </w:p>
    <w:p>
      <w:pPr>
        <w:pStyle w:val="Heading2"/>
      </w:pPr>
      <w:r>
        <w:t xml:space="preserve">8a.5 Stufen KU0 bis KU3</w:t>
      </w:r>
    </w:p>
    <w:tbl>
      <w:tblPr>
        <w:tblStyle w:val="TableGrid"/>
        <w:tblW w:w="5000" w:type="pct"/>
        <w:tblLayout w:type="autofit"/>
        <w:tblLook w:val="04A0" w:firstRow="true" w:lastRow="false" w:firstColumn="false" w:lastColumn="false" w:noHBand="false" w:noVBand="true"/>
      </w:tblPr>
      <w:tblGrid>
        <w:gridCol w:w="1606"/>
        <w:gridCol w:w="1606"/>
        <w:gridCol w:w="1606"/>
        <w:gridCol w:w="1606"/>
        <w:gridCol w:w="1606"/>
        <w:gridCol w:w="1606"/>
      </w:tblGrid>
      <w:tr>
        <w:trPr>
          <w:tblHeader/>
        </w:trPr>
        <w:tc>
          <w:tcPr>
            <w:tcW w:w="0" w:type="auto"/>
            <w:shd w:val="clear" w:color="auto" w:fill="D9D9D9"/>
          </w:tcPr>
          <w:p>
            <w:pPr>
              <w:spacing w:after="0" w:line="240" w:lineRule="auto"/>
              <w:rPr>
                <w:b/>
              </w:rPr>
            </w:pPr>
            <w:r>
              <w:rPr>
                <w:b/>
              </w:rPr>
              <w:t xml:space="preserve">Stufe</w:t>
            </w:r>
          </w:p>
        </w:tc>
        <w:tc>
          <w:tcPr>
            <w:tcW w:w="0" w:type="auto"/>
            <w:shd w:val="clear" w:color="auto" w:fill="D9D9D9"/>
          </w:tcPr>
          <w:p>
            <w:pPr>
              <w:spacing w:after="0" w:line="240" w:lineRule="auto"/>
              <w:rPr>
                <w:b/>
              </w:rPr>
            </w:pPr>
            <w:r>
              <w:rPr>
                <w:b/>
              </w:rPr>
              <w:t xml:space="preserve">Inhalt</w:t>
            </w:r>
          </w:p>
        </w:tc>
        <w:tc>
          <w:tcPr>
            <w:tcW w:w="0" w:type="auto"/>
            <w:shd w:val="clear" w:color="auto" w:fill="D9D9D9"/>
          </w:tcPr>
          <w:p>
            <w:pPr>
              <w:spacing w:after="0" w:line="240" w:lineRule="auto"/>
              <w:rPr>
                <w:b/>
              </w:rPr>
            </w:pPr>
            <w:r>
              <w:rPr>
                <w:b/>
              </w:rPr>
              <w:t xml:space="preserve">Vorbedingung</w:t>
            </w:r>
          </w:p>
        </w:tc>
        <w:tc>
          <w:tcPr>
            <w:tcW w:w="0" w:type="auto"/>
            <w:shd w:val="clear" w:color="auto" w:fill="D9D9D9"/>
          </w:tcPr>
          <w:p>
            <w:pPr>
              <w:spacing w:after="0" w:line="240" w:lineRule="auto"/>
              <w:rPr>
                <w:b/>
              </w:rPr>
            </w:pPr>
            <w:r>
              <w:rPr>
                <w:b/>
              </w:rPr>
              <w:t xml:space="preserve">Abnahme</w:t>
            </w:r>
          </w:p>
        </w:tc>
        <w:tc>
          <w:tcPr>
            <w:tcW w:w="0" w:type="auto"/>
            <w:shd w:val="clear" w:color="auto" w:fill="D9D9D9"/>
          </w:tcPr>
          <w:p>
            <w:pPr>
              <w:spacing w:after="0" w:line="240" w:lineRule="auto"/>
              <w:rPr>
                <w:b/>
              </w:rPr>
            </w:pPr>
            <w:r>
              <w:rPr>
                <w:b/>
              </w:rPr>
              <w:t xml:space="preserve">Basis</w:t>
            </w:r>
          </w:p>
        </w:tc>
        <w:tc>
          <w:tcPr>
            <w:tcW w:w="0" w:type="auto"/>
            <w:shd w:val="clear" w:color="auto" w:fill="D9D9D9"/>
          </w:tcPr>
          <w:p>
            <w:pPr>
              <w:spacing w:after="0" w:line="240" w:lineRule="auto"/>
              <w:rPr>
                <w:b/>
              </w:rPr>
            </w:pPr>
            <w:r>
              <w:rPr>
                <w:b/>
              </w:rPr>
              <w:t xml:space="preserve">PT</w:t>
            </w:r>
          </w:p>
        </w:tc>
      </w:tr>
      <w:tr>
        <w:tc>
          <w:tcPr>
            <w:tcW w:w="0" w:type="auto"/>
          </w:tcPr>
          <w:p>
            <w:pPr>
              <w:spacing w:after="0" w:line="240" w:lineRule="auto"/>
            </w:pPr>
            <w:r>
              <w:rPr>
                <w:b/>
              </w:rPr>
              <w:t xml:space="preserve">KU0</w:t>
            </w:r>
          </w:p>
        </w:tc>
        <w:tc>
          <w:tcPr>
            <w:tcW w:w="0" w:type="auto"/>
          </w:tcPr>
          <w:p>
            <w:pPr>
              <w:spacing w:after="0" w:line="240" w:lineRule="auto"/>
            </w:pPr>
            <w:r>
              <w:rPr>
                <w:b/>
              </w:rPr>
              <w:t xml:space="preserve">Papiere, nichts bauen.</w:t>
            </w:r>
            <w:r>
              <w:t xml:space="preserve"> Das Kühlkonzept, die Fortschreibung der sechs Schwesterpapiere auf E12 und E15, Entscheid über K1 bis K23</w:t>
            </w:r>
          </w:p>
        </w:tc>
        <w:tc>
          <w:tcPr>
            <w:tcW w:w="0" w:type="auto"/>
          </w:tcPr>
          <w:p>
            <w:pPr>
              <w:spacing w:after="0" w:line="240" w:lineRule="auto"/>
            </w:pPr>
            <w:r>
              <w:t xml:space="preserve">—</w:t>
            </w:r>
          </w:p>
        </w:tc>
        <w:tc>
          <w:tcPr>
            <w:tcW w:w="0" w:type="auto"/>
          </w:tcPr>
          <w:p>
            <w:pPr>
              <w:spacing w:after="0" w:line="240" w:lineRule="auto"/>
            </w:pPr>
            <w:r>
              <w:t xml:space="preserve">Papiere widerspruchsfrei, Dokumentationswache grün, Indexzeile gesetzt</w:t>
            </w:r>
          </w:p>
        </w:tc>
        <w:tc>
          <w:tcPr>
            <w:tcW w:w="0" w:type="auto"/>
          </w:tcPr>
          <w:p>
            <w:pPr>
              <w:spacing w:after="0" w:line="240" w:lineRule="auto"/>
            </w:pPr>
            <w:r>
              <w:t xml:space="preserve">nein</w:t>
            </w:r>
          </w:p>
        </w:tc>
        <w:tc>
          <w:tcPr>
            <w:tcW w:w="0" w:type="auto"/>
          </w:tcPr>
          <w:p>
            <w:pPr>
              <w:spacing w:after="0" w:line="240" w:lineRule="auto"/>
            </w:pPr>
            <w:r>
              <w:rPr>
                <w:b/>
              </w:rPr>
              <w:t xml:space="preserve">1–2</w:t>
            </w:r>
          </w:p>
        </w:tc>
      </w:tr>
      <w:tr>
        <w:tc>
          <w:tcPr>
            <w:tcW w:w="0" w:type="auto"/>
          </w:tcPr>
          <w:p>
            <w:pPr>
              <w:spacing w:after="0" w:line="240" w:lineRule="auto"/>
            </w:pPr>
            <w:r>
              <w:rPr>
                <w:b/>
              </w:rPr>
              <w:t xml:space="preserve">KU1</w:t>
            </w:r>
          </w:p>
        </w:tc>
        <w:tc>
          <w:tcPr>
            <w:tcW w:w="0" w:type="auto"/>
          </w:tcPr>
          <w:p>
            <w:pPr>
              <w:spacing w:after="0" w:line="240" w:lineRule="auto"/>
            </w:pPr>
            <w:r>
              <w:rPr>
                <w:b/>
              </w:rPr>
              <w:t xml:space="preserve">Der Kanal — und die Symmetrie zur Wärmeseite (E21).</w:t>
            </w:r>
            <w:r>
              <w:t xml:space="preserve"> Fassade </w:t>
            </w:r>
            <w:r>
              <w:rPr>
                <w:rFonts w:ascii="Consolas" w:hAnsi="Consolas" w:cs="Consolas"/>
                <w:noProof/>
                <w:sz w:val="20"/>
                <w:szCs w:val="20"/>
                <w:shd w:val="clear" w:color="auto" w:fill="EFEFEF"/>
              </w:rPr>
              <w:t xml:space="preserve">SimulationKaeltebedarf</w:t>
            </w:r>
            <w:r>
              <w:t xml:space="preserve"> hinter demselben Vorbereitungsschritt; Schemaschritte und Ergebnisspalten </w:t>
            </w:r>
            <w:r>
              <w:rPr>
                <w:b/>
              </w:rPr>
              <w:t xml:space="preserve">vor</w:t>
            </w:r>
            <w:r>
              <w:t xml:space="preserve"> der erhöhten Kanalzahl; die zwei Kanallisten und die zwei Ausnahmen; eigene Kältesumme mit </w:t>
            </w:r>
            <w:r>
              <w:rPr>
                <w:rFonts w:ascii="Consolas" w:hAnsi="Consolas" w:cs="Consolas"/>
                <w:noProof/>
                <w:sz w:val="20"/>
                <w:szCs w:val="20"/>
                <w:shd w:val="clear" w:color="auto" w:fill="EFEFEF"/>
              </w:rPr>
              <w:t xml:space="preserve">Kaeltebedarf_Max</w:t>
            </w:r>
            <w:r>
              <w:t xml:space="preserve">, Jahreskälte und Kühlstunden; Bedarfsdialog-Abschnitt „Kältebedarf"; Text↔Index; toleranter Knappheitsparser; Kanalanzeige der Warnkriterien; Ressourcen in beiden Sprachen; Kühlsollwert und Kühlleistungsgrenze im Löser und im Gebäudedialog; Export der Kühlreihe; Kälteprobe je Stunde; Wächter. </w:t>
            </w:r>
            <w:r>
              <w:rPr>
                <w:b/>
              </w:rPr>
              <w:t xml:space="preserve">Gefüllt vom Gebäudemodell, gedeckt von niemandem</w:t>
            </w:r>
            <w:r>
              <w:t xml:space="preserve">; ein Altweg-Gebäude führt 0 mit Hinweis</w:t>
            </w:r>
          </w:p>
        </w:tc>
        <w:tc>
          <w:tcPr>
            <w:tcW w:w="0" w:type="auto"/>
          </w:tcPr>
          <w:p>
            <w:pPr>
              <w:spacing w:after="0" w:line="240" w:lineRule="auto"/>
            </w:pPr>
            <w:r>
              <w:rPr>
                <w:b/>
              </w:rPr>
              <w:t xml:space="preserve">G1 steht</w:t>
            </w:r>
            <w:r>
              <w:t xml:space="preserve"> — ohne Stundenmodell keine Kühllast je Stunde</w:t>
            </w:r>
          </w:p>
        </w:tc>
        <w:tc>
          <w:tcPr>
            <w:tcW w:w="0" w:type="auto"/>
          </w:tcPr>
          <w:p>
            <w:pPr>
              <w:spacing w:after="0" w:line="240" w:lineRule="auto"/>
            </w:pPr>
            <w:r>
              <w:t xml:space="preserve">Kern-Gate grün; Referenzlauf gegen die </w:t>
            </w:r>
            <w:r>
              <w:rPr>
                <w:b/>
              </w:rPr>
              <w:t xml:space="preserve">neue</w:t>
            </w:r>
            <w:r>
              <w:t xml:space="preserve"> Basis; zwölf Projekte ohne Kühlung byte-gleich; </w:t>
            </w:r>
            <w:r>
              <w:rPr>
                <w:b/>
              </w:rPr>
              <w:t xml:space="preserve">Symmetrieausweis:</w:t>
            </w:r>
            <w:r>
              <w:t xml:space="preserve"> je Zeile der Wärmeseite das Gegenstück oder die benannte Auslassung</w:t>
            </w:r>
          </w:p>
        </w:tc>
        <w:tc>
          <w:tcPr>
            <w:tcW w:w="0" w:type="auto"/>
          </w:tcPr>
          <w:p>
            <w:pPr>
              <w:spacing w:after="0" w:line="240" w:lineRule="auto"/>
            </w:pPr>
            <w:r>
              <w:rPr>
                <w:b/>
              </w:rPr>
              <w:t xml:space="preserve">ja — mit G1 + G2</w:t>
            </w:r>
          </w:p>
        </w:tc>
        <w:tc>
          <w:tcPr>
            <w:tcW w:w="0" w:type="auto"/>
          </w:tcPr>
          <w:p>
            <w:pPr>
              <w:spacing w:after="0" w:line="240" w:lineRule="auto"/>
            </w:pPr>
            <w:r>
              <w:rPr>
                <w:b/>
              </w:rPr>
              <w:t xml:space="preserve">10–15</w:t>
            </w:r>
          </w:p>
        </w:tc>
      </w:tr>
      <w:tr>
        <w:tc>
          <w:tcPr>
            <w:tcW w:w="0" w:type="auto"/>
          </w:tcPr>
          <w:p>
            <w:pPr>
              <w:spacing w:after="0" w:line="240" w:lineRule="auto"/>
            </w:pPr>
            <w:r>
              <w:rPr>
                <w:b/>
              </w:rPr>
              <w:t xml:space="preserve">KU2</w:t>
            </w:r>
          </w:p>
        </w:tc>
        <w:tc>
          <w:tcPr>
            <w:tcW w:w="0" w:type="auto"/>
          </w:tcPr>
          <w:p>
            <w:pPr>
              <w:spacing w:after="0" w:line="240" w:lineRule="auto"/>
            </w:pPr>
            <w:r>
              <w:rPr>
                <w:b/>
              </w:rPr>
              <w:t xml:space="preserve">Der Erzeuger samt Auswahl und Konfiguration (E15).</w:t>
            </w:r>
            <w:r>
              <w:t xml:space="preserve"> Vier Spalten je Anlagentabelle; reversible Wärmepumpe über die vorhandene Kühlkennlinie, Kennlinienwahl über den Kühl-Vorlauf; Umschaltregel je Tag; Senke „Kältekreis"; eigener Deckungsgrad-Zweig; Kältestrom samt Hilfsstromanteil, Wirtschaftlichkeit, Emissionen; Kennzahlen, Bericht, Kühlbild; </w:t>
            </w:r>
            <w:r>
              <w:rPr>
                <w:b/>
              </w:rPr>
              <w:t xml:space="preserve">Katalogfilter „nur mit Kühlfunktion"</w:t>
            </w:r>
            <w:r>
              <w:t xml:space="preserve">, Erzeuger-, Bedarfs- und Ergebnisdialog; Import der Kühlsollwerte</w:t>
            </w:r>
          </w:p>
        </w:tc>
        <w:tc>
          <w:tcPr>
            <w:tcW w:w="0" w:type="auto"/>
          </w:tcPr>
          <w:p>
            <w:pPr>
              <w:spacing w:after="0" w:line="240" w:lineRule="auto"/>
            </w:pPr>
            <w:r>
              <w:rPr>
                <w:b/>
              </w:rPr>
              <w:t xml:space="preserve">G2 steht</w:t>
            </w:r>
            <w:r>
              <w:t xml:space="preserve"> — ohne Sommerlüftung wird auf eine überzeichnete Last ausgelegt; KU1 abgenommen</w:t>
            </w:r>
          </w:p>
        </w:tc>
        <w:tc>
          <w:tcPr>
            <w:tcW w:w="0" w:type="auto"/>
          </w:tcPr>
          <w:p>
            <w:pPr>
              <w:spacing w:after="0" w:line="240" w:lineRule="auto"/>
            </w:pPr>
            <w:r>
              <w:t xml:space="preserve">Referenzprojekt mit Kälteerzeuger; Rechenprobe gegen Handrechnung </w:t>
            </w:r>
            <w:r>
              <w:rPr>
                <w:b/>
              </w:rPr>
              <w:t xml:space="preserve">je Vorlauf</w:t>
            </w:r>
            <w:r>
              <w:t xml:space="preserve">; Katalog- und Übernahmefälle; Diagrammproben grün; Sichtabnahme Windows</w:t>
            </w:r>
          </w:p>
        </w:tc>
        <w:tc>
          <w:tcPr>
            <w:tcW w:w="0" w:type="auto"/>
          </w:tcPr>
          <w:p>
            <w:pPr>
              <w:spacing w:after="0" w:line="240" w:lineRule="auto"/>
            </w:pPr>
            <w:r>
              <w:rPr>
                <w:b/>
              </w:rPr>
              <w:t xml:space="preserve">ja — ein Projekt</w:t>
            </w:r>
          </w:p>
        </w:tc>
        <w:tc>
          <w:tcPr>
            <w:tcW w:w="0" w:type="auto"/>
          </w:tcPr>
          <w:p>
            <w:pPr>
              <w:spacing w:after="0" w:line="240" w:lineRule="auto"/>
            </w:pPr>
            <w:r>
              <w:rPr>
                <w:b/>
              </w:rPr>
              <w:t xml:space="preserve">16–26</w:t>
            </w:r>
          </w:p>
        </w:tc>
      </w:tr>
      <w:tr>
        <w:tc>
          <w:tcPr>
            <w:tcW w:w="0" w:type="auto"/>
          </w:tcPr>
          <w:p>
            <w:pPr>
              <w:spacing w:after="0" w:line="240" w:lineRule="auto"/>
            </w:pPr>
            <w:r>
              <w:rPr>
                <w:b/>
              </w:rPr>
              <w:t xml:space="preserve">KU3</w:t>
            </w:r>
          </w:p>
        </w:tc>
        <w:tc>
          <w:tcPr>
            <w:tcW w:w="0" w:type="auto"/>
          </w:tcPr>
          <w:p>
            <w:pPr>
              <w:spacing w:after="0" w:line="240" w:lineRule="auto"/>
            </w:pPr>
            <w:r>
              <w:rPr>
                <w:b/>
              </w:rPr>
              <w:t xml:space="preserve">Das Umfeld.</w:t>
            </w:r>
            <w:r>
              <w:t xml:space="preserve"> Kältemaschine als eigener Erzeugertyp samt Rückkühlung; freie Kühlung über die Quelle; Kältespeicher (nur bei Ja zu K7); Kühlung je Zone (nach G6); Kühlsollwert Nacht; Export nach IFC und gbXML</w:t>
            </w:r>
          </w:p>
        </w:tc>
        <w:tc>
          <w:tcPr>
            <w:tcW w:w="0" w:type="auto"/>
          </w:tcPr>
          <w:p>
            <w:pPr>
              <w:spacing w:after="0" w:line="240" w:lineRule="auto"/>
            </w:pPr>
            <w:r>
              <w:t xml:space="preserve">KU2 im Feld; G6 für die Zonen; G7 für den Export</w:t>
            </w:r>
          </w:p>
        </w:tc>
        <w:tc>
          <w:tcPr>
            <w:tcW w:w="0" w:type="auto"/>
          </w:tcPr>
          <w:p>
            <w:pPr>
              <w:spacing w:after="0" w:line="240" w:lineRule="auto"/>
            </w:pPr>
            <w:r>
              <w:t xml:space="preserve">wie KU2, dazu Rundlaufprobe des Exports</w:t>
            </w:r>
          </w:p>
        </w:tc>
        <w:tc>
          <w:tcPr>
            <w:tcW w:w="0" w:type="auto"/>
          </w:tcPr>
          <w:p>
            <w:pPr>
              <w:spacing w:after="0" w:line="240" w:lineRule="auto"/>
            </w:pPr>
            <w:r>
              <w:t xml:space="preserve">ja</w:t>
            </w:r>
          </w:p>
        </w:tc>
        <w:tc>
          <w:tcPr>
            <w:tcW w:w="0" w:type="auto"/>
          </w:tcPr>
          <w:p>
            <w:pPr>
              <w:spacing w:after="0" w:line="240" w:lineRule="auto"/>
            </w:pPr>
            <w:r>
              <w:rPr>
                <w:b/>
              </w:rPr>
              <w:t xml:space="preserve">17–26</w:t>
            </w:r>
            <w:r>
              <w:t xml:space="preserve">, mit Kältespeicher </w:t>
            </w:r>
            <w:r>
              <w:rPr>
                <w:b/>
              </w:rPr>
              <w:t xml:space="preserve">20–31</w:t>
            </w:r>
          </w:p>
        </w:tc>
      </w:tr>
    </w:tbl>
    <w:p>
      <w:pPr>
        <w:spacing w:after="120"/>
      </w:pPr>
    </w:p>
    <w:p>
      <w:r>
        <w:rPr>
          <w:b/>
        </w:rPr>
        <w:t xml:space="preserve">Summe: 47–74 PT</w:t>
      </w:r>
      <w:r>
        <w:t xml:space="preserve">, ohne Kältespeicher </w:t>
      </w:r>
      <w:r>
        <w:rPr>
          <w:b/>
        </w:rPr>
        <w:t xml:space="preserve">44–69 PT</w:t>
      </w:r>
      <w:r>
        <w:t xml:space="preserve">. Das ist rund das </w:t>
      </w:r>
      <w:r>
        <w:rPr>
          <w:b/>
        </w:rPr>
        <w:t xml:space="preserve">Dreifache</w:t>
      </w:r>
      <w:r>
        <w:t xml:space="preserve"> dessen, was für G1 + G2 zusammen angesetzt ist — die Kühlung ist kein Anbau an das Gebäudemodell, sondern ein Vorhaben eigener Größe, weil sie Kanal, Erzeuger, Strom, Wirtschaftlichkeit, Oberfläche und Regressionsnetz zugleich berührt.</w:t>
      </w:r>
    </w:p>
    <w:p>
      <w:r>
        <w:rPr>
          <w:b/>
        </w:rPr>
        <w:t xml:space="preserve">Die Einfrierfolge, und warum KU1 zu G1 + G2 gehört.</w:t>
      </w:r>
      <w:r>
        <w:t xml:space="preserve"> KU1 erzeugt </w:t>
      </w:r>
      <w:r>
        <w:rPr>
          <w:b/>
        </w:rPr>
        <w:t xml:space="preserve">eine neue Vektordatei</w:t>
      </w:r>
      <w:r>
        <w:t xml:space="preserve"> und </w:t>
      </w:r>
      <w:r>
        <w:rPr>
          <w:b/>
        </w:rPr>
        <w:t xml:space="preserve">sechs neue Schlüssel</w:t>
      </w:r>
      <w:r>
        <w:t xml:space="preserve"> in der Sammeldatei — und beide sind nicht gleich schwer: Die </w:t>
      </w:r>
      <w:r>
        <w:rPr>
          <w:b/>
        </w:rPr>
        <w:t xml:space="preserve">Datei</w:t>
      </w:r>
      <w:r>
        <w:t xml:space="preserve"> ist FAIL ohne Schalter, die </w:t>
      </w:r>
      <w:r>
        <w:rPr>
          <w:b/>
        </w:rPr>
        <w:t xml:space="preserve">Schlüssel</w:t>
      </w:r>
      <w:r>
        <w:t xml:space="preserve"> sind ausdrücklich ausnehmbar. Die Schemaschritte allein lassen sich deshalb mit benanntem Schlüsselausschluss </w:t>
      </w:r>
      <w:r>
        <w:rPr>
          <w:b/>
        </w:rPr>
        <w:t xml:space="preserve">byte-gleich</w:t>
      </w:r>
      <w:r>
        <w:t xml:space="preserve"> gegen die vorige Basis nachweisen — geführt, nicht behauptet. Was das Einfrieren erzwingt, ist allein die Datei; und weil G1 + G2 ohnehin alle dreizehn Projekte bewegen, kostet ein getrennter Lauf dasselbe Ergebnis </w:t>
      </w:r>
      <w:r>
        <w:rPr>
          <w:b/>
        </w:rPr>
        <w:t xml:space="preserve">zwei</w:t>
      </w:r>
      <w:r>
        <w:t xml:space="preserve"> Neu-Einfrierungen, zwei Begründungen und zwei Runden CI.</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Schritt in der Kette</w:t>
            </w:r>
          </w:p>
        </w:tc>
        <w:tc>
          <w:tcPr>
            <w:tcW w:w="0" w:type="auto"/>
            <w:shd w:val="clear" w:color="auto" w:fill="D9D9D9"/>
          </w:tcPr>
          <w:p>
            <w:pPr>
              <w:spacing w:after="0" w:line="240" w:lineRule="auto"/>
              <w:rPr>
                <w:b/>
              </w:rPr>
            </w:pPr>
            <w:r>
              <w:rPr>
                <w:b/>
              </w:rPr>
              <w:t xml:space="preserve">Was sich bewegt</w:t>
            </w:r>
          </w:p>
        </w:tc>
        <w:tc>
          <w:tcPr>
            <w:tcW w:w="0" w:type="auto"/>
            <w:shd w:val="clear" w:color="auto" w:fill="D9D9D9"/>
          </w:tcPr>
          <w:p>
            <w:pPr>
              <w:spacing w:after="0" w:line="240" w:lineRule="auto"/>
              <w:rPr>
                <w:b/>
              </w:rPr>
            </w:pPr>
            <w:r>
              <w:rPr>
                <w:b/>
              </w:rPr>
              <w:t xml:space="preserve">Begründung</w:t>
            </w:r>
          </w:p>
        </w:tc>
      </w:tr>
      <w:tr>
        <w:tc>
          <w:tcPr>
            <w:tcW w:w="0" w:type="auto"/>
          </w:tcPr>
          <w:p>
            <w:pPr>
              <w:spacing w:after="0" w:line="240" w:lineRule="auto"/>
            </w:pPr>
            <w:r>
              <w:t xml:space="preserve">Schemaschritte der Kühlung (mit M2 bis M4)</w:t>
            </w:r>
          </w:p>
        </w:tc>
        <w:tc>
          <w:tcPr>
            <w:tcW w:w="0" w:type="auto"/>
          </w:tcPr>
          <w:p>
            <w:pPr>
              <w:spacing w:after="0" w:line="240" w:lineRule="auto"/>
            </w:pPr>
            <w:r>
              <w:rPr>
                <w:b/>
              </w:rPr>
              <w:t xml:space="preserve">nichts</w:t>
            </w:r>
            <w:r>
              <w:t xml:space="preserve"> — die Spalten bleiben NULL bzw. 0, kein Leser rechnet damit</w:t>
            </w:r>
          </w:p>
        </w:tc>
        <w:tc>
          <w:tcPr>
            <w:tcW w:w="0" w:type="auto"/>
          </w:tcPr>
          <w:p>
            <w:pPr>
              <w:spacing w:after="0" w:line="240" w:lineRule="auto"/>
            </w:pPr>
            <w:r>
              <w:t xml:space="preserve">byte-gleich in allen alten Schlüsseln, die sechs neuen benannt ausgenommen</w:t>
            </w:r>
          </w:p>
        </w:tc>
      </w:tr>
      <w:tr>
        <w:tc>
          <w:tcPr>
            <w:tcW w:w="0" w:type="auto"/>
          </w:tcPr>
          <w:p>
            <w:pPr>
              <w:spacing w:after="0" w:line="240" w:lineRule="auto"/>
            </w:pPr>
            <w:r>
              <w:rPr>
                <w:b/>
              </w:rPr>
              <w:t xml:space="preserve">G1 + G2 + KU1</w:t>
            </w:r>
          </w:p>
        </w:tc>
        <w:tc>
          <w:tcPr>
            <w:tcW w:w="0" w:type="auto"/>
          </w:tcPr>
          <w:p>
            <w:pPr>
              <w:spacing w:after="0" w:line="240" w:lineRule="auto"/>
            </w:pPr>
            <w:r>
              <w:t xml:space="preserve">alle dreizehn Projekte (stündliche Rechnung), dazu die Kühlreihe des einen Referenzprojekts</w:t>
            </w:r>
          </w:p>
        </w:tc>
        <w:tc>
          <w:tcPr>
            <w:tcW w:w="0" w:type="auto"/>
          </w:tcPr>
          <w:p>
            <w:pPr>
              <w:spacing w:after="0" w:line="240" w:lineRule="auto"/>
            </w:pPr>
            <w:r>
              <w:rPr>
                <w:b/>
              </w:rPr>
              <w:t xml:space="preserve">ein</w:t>
            </w:r>
            <w:r>
              <w:t xml:space="preserve"> Einfrierschritt, </w:t>
            </w:r>
            <w:r>
              <w:rPr>
                <w:b/>
              </w:rPr>
              <w:t xml:space="preserve">eine</w:t>
            </w:r>
            <w:r>
              <w:t xml:space="preserve"> Begründung</w:t>
            </w:r>
          </w:p>
        </w:tc>
      </w:tr>
      <w:tr>
        <w:tc>
          <w:tcPr>
            <w:tcW w:w="0" w:type="auto"/>
          </w:tcPr>
          <w:p>
            <w:pPr>
              <w:spacing w:after="0" w:line="240" w:lineRule="auto"/>
            </w:pPr>
            <w:r>
              <w:rPr>
                <w:b/>
              </w:rPr>
              <w:t xml:space="preserve">KU2</w:t>
            </w:r>
          </w:p>
        </w:tc>
        <w:tc>
          <w:tcPr>
            <w:tcW w:w="0" w:type="auto"/>
          </w:tcPr>
          <w:p>
            <w:pPr>
              <w:spacing w:after="0" w:line="240" w:lineRule="auto"/>
            </w:pPr>
            <w:r>
              <w:rPr>
                <w:b/>
              </w:rPr>
              <w:t xml:space="preserve">genau ein Projekt</w:t>
            </w:r>
            <w:r>
              <w:t xml:space="preserve"> — das mit eingeschaltetem Kühlbetrieb</w:t>
            </w:r>
          </w:p>
        </w:tc>
        <w:tc>
          <w:tcPr>
            <w:tcW w:w="0" w:type="auto"/>
          </w:tcPr>
          <w:p>
            <w:pPr>
              <w:spacing w:after="0" w:line="240" w:lineRule="auto"/>
            </w:pPr>
            <w:r>
              <w:t xml:space="preserve">ein kleiner, klar zuzuordnender Schritt; die übrigen zwölf sind der Beweis, dass sich nichts anderes bewegt hat</w:t>
            </w:r>
          </w:p>
        </w:tc>
      </w:tr>
    </w:tbl>
    <w:p>
      <w:pPr>
        <w:spacing w:after="120"/>
      </w:pPr>
    </w:p>
    <w:p>
      <w:r>
        <w:rPr>
          <w:b/>
        </w:rPr>
        <w:t xml:space="preserve">Drei Regeln fassen die Reihenfolge:</w:t>
      </w:r>
      <w:r>
        <w:t xml:space="preserve"> KU1 gehört in </w:t>
      </w:r>
      <w:r>
        <w:rPr>
          <w:b/>
        </w:rPr>
        <w:t xml:space="preserve">denselben</w:t>
      </w:r>
      <w:r>
        <w:t xml:space="preserve"> Merge und </w:t>
      </w:r>
      <w:r>
        <w:rPr>
          <w:b/>
        </w:rPr>
        <w:t xml:space="preserve">denselben</w:t>
      </w:r>
      <w:r>
        <w:t xml:space="preserve"> Einfrierschritt wie G1 + G2 — das spart Läufe. KU2 kommt </w:t>
      </w:r>
      <w:r>
        <w:rPr>
          <w:b/>
        </w:rPr>
        <w:t xml:space="preserve">nach</w:t>
      </w:r>
      <w:r>
        <w:t xml:space="preserve"> G2, nie davor — das spart Fehler. Und </w:t>
      </w:r>
      <w:r>
        <w:rPr>
          <w:b/>
        </w:rPr>
        <w:t xml:space="preserve">jede der drei Stufen weist die Symmetrie aus</w:t>
      </w:r>
      <w:r>
        <w:t xml:space="preserve"> (E21): Was sie auf der Wärmeseite vorfindet und auf der Kälteseite nicht nachzieht, wird benannt abgelehnt, nicht stillschweigend ausgelassen. Der Nachweis liegt auf dem ubuntu-Lauf; ein iOS-Lauf ist für die Kühlung nicht begründet, solange keine Plattformschnittstelle, kein Prüfmodus und keine Seed-Kopie betroffen ist.</w:t>
      </w:r>
    </w:p>
    <w:p>
      <w:r>
        <w:rPr>
          <w:b/>
        </w:rPr>
        <w:t xml:space="preserve">Einzelheiten:</w:t>
      </w:r>
      <w:r>
        <w:t xml:space="preserve"> </w:t>
      </w:r>
      <w:r>
        <w:rPr>
          <w:rFonts w:ascii="Consolas" w:hAnsi="Consolas" w:cs="Consolas"/>
          <w:noProof/>
          <w:sz w:val="20"/>
          <w:szCs w:val="20"/>
          <w:shd w:val="clear" w:color="auto" w:fill="EFEFEF"/>
        </w:rPr>
        <w:t xml:space="preserve">Dokumentation/aktuell/Konzept_Kuehlung_Gebaeudesimulation_EPOS-Plan.md</w:t>
      </w:r>
      <w:r>
        <w:t xml:space="preserve"> (Rev. 3; Ergebnis in 0, Rechenweg in 3, Kanalarchitektur in 4, Erzeuger und E15 in 5, Strom und Wirtschaftlichkeit in 6, Datenmodell in 7, Dialoge in 8, Nachweis in 10, Stufen in 11, Fragen K1–K23 in 12) sowie </w:t>
      </w:r>
      <w:r>
        <w:rPr>
          <w:rFonts w:ascii="Consolas" w:hAnsi="Consolas" w:cs="Consolas"/>
          <w:noProof/>
          <w:sz w:val="20"/>
          <w:szCs w:val="20"/>
          <w:shd w:val="clear" w:color="auto" w:fill="EFEFEF"/>
        </w:rPr>
        <w:t xml:space="preserve">Dokumentation/aktuell/Gebaeudesimulation/2026-09-16_Befund_W_Kuehlung_Bestand.md</w:t>
      </w:r>
      <w:r>
        <w:t xml:space="preserve"> und </w:t>
      </w:r>
      <w:r>
        <w:rPr>
          <w:rFonts w:ascii="Consolas" w:hAnsi="Consolas" w:cs="Consolas"/>
          <w:noProof/>
          <w:sz w:val="20"/>
          <w:szCs w:val="20"/>
          <w:shd w:val="clear" w:color="auto" w:fill="EFEFEF"/>
        </w:rPr>
        <w:t xml:space="preserve">…/2026-09-16_Gegenlesen_Kuehlkonzept.md</w:t>
      </w:r>
      <w:r>
        <w:t xml:space="preserve">.</w:t>
      </w:r>
    </w:p>
    <w:p>
      <w:pPr>
        <w:pStyle w:val="Trennlinie"/>
      </w:pPr>
    </w:p>
    <w:p>
      <w:pPr>
        <w:pStyle w:val="Heading1"/>
      </w:pPr>
      <w:r>
        <w:t xml:space="preserve">8b Anlagenkopplung — Vorlauftemperatur und Erzeugerfahrplan an der Raumtemperatur (E22)</w:t>
      </w:r>
    </w:p>
    <w:p>
      <w:pPr>
        <w:pStyle w:val="Quote"/>
      </w:pPr>
      <w:r>
        <w:t xml:space="preserve">Auch dieses Kapitel ist </w:t>
      </w:r>
      <w:r>
        <w:rPr>
          <w:b/>
        </w:rPr>
        <w:t xml:space="preserve">nachträglich eingefügt</w:t>
      </w:r>
      <w:r>
        <w:t xml:space="preserve"> und behält deshalb die Nummer 8b: Die Anlagenkopplung liegt wie die Kühlung quer zu allen übrigen Kapiteln — Rechenweg, Datenmodell, Dialoge, Bericht, Regressionsnetz —, und die Nummern der Kapitel 9 bis 13 bleiben, wo sie waren. Grundlage ist </w:t>
      </w:r>
      <w:r>
        <w:rPr>
          <w:rFonts w:ascii="Consolas" w:hAnsi="Consolas" w:cs="Consolas"/>
          <w:noProof/>
          <w:sz w:val="20"/>
          <w:szCs w:val="20"/>
          <w:shd w:val="clear" w:color="auto" w:fill="EFEFEF"/>
        </w:rPr>
        <w:t xml:space="preserve">Dokumentation/aktuell/Konzept_Anlagenkopplung_Gebaeudesimulation_EPOS-Plan.md</w:t>
      </w:r>
      <w:r>
        <w:t xml:space="preserve"> (Rev. 1) samt Nachtrag </w:t>
      </w:r>
      <w:r>
        <w:rPr>
          <w:b/>
        </w:rPr>
        <w:t xml:space="preserve">N1.27</w:t>
      </w:r>
      <w:r>
        <w:t xml:space="preserve"> des Konzepts.</w:t>
      </w:r>
    </w:p>
    <w:p>
      <w:pPr>
        <w:pStyle w:val="Heading2"/>
      </w:pPr>
      <w:r>
        <w:t xml:space="preserve">8b.0 Der Entscheid E22 — Zweck und Zuschnitt</w:t>
      </w:r>
    </w:p>
    <w:p>
      <w:r>
        <w:rPr>
          <w:b/>
        </w:rPr>
        <w:t xml:space="preserve">Die Frage des Anwenders im Wortlaut (16.09.2026):</w:t>
      </w:r>
      <w:r>
        <w:t xml:space="preserve"> „kann das Gebäudesimulationskonzept erweitert werden um die Kopplung von Vorlauftemperatur und Erzeugerfahrplan an die Raumtemperatur?" — </w:t>
      </w:r>
      <w:r>
        <w:rPr>
          <w:b/>
        </w:rPr>
        <w:t xml:space="preserve">und der Auftrag darauf:</w:t>
      </w:r>
      <w:r>
        <w:t xml:space="preserve"> „trage es als Nachtrag mit einer neuen Frage Q26 zum Stufenplan ein und schreibe ein eigenes Konzeptpapier dazu".</w:t>
      </w:r>
    </w:p>
    <w:p>
      <w:r>
        <w:t xml:space="preserve">E22 hebt damit </w:t>
      </w:r>
      <w:r>
        <w:rPr>
          <w:b/>
        </w:rPr>
        <w:t xml:space="preserve">eine</w:t>
      </w:r>
      <w:r>
        <w:t xml:space="preserve"> Zeile der Abgrenzung aus 1.5 auf und grenzt sie im selben Satz ein: Die Kopplung ist Gegenstand der Gebäudesimulation — als </w:t>
      </w:r>
      <w:r>
        <w:rPr>
          <w:b/>
        </w:rPr>
        <w:t xml:space="preserve">benannte EPOS-Erweiterung</w:t>
      </w:r>
      <w:r>
        <w:t xml:space="preserve"> wie das Kusuda-Erdreich oder die Zonenkopplung, </w:t>
      </w:r>
      <w:r>
        <w:rPr>
          <w:b/>
        </w:rPr>
        <w:t xml:space="preserve">nicht als Bestandteil der Richtlinie</w:t>
      </w:r>
      <w:r>
        <w:t xml:space="preserve"> und </w:t>
      </w:r>
      <w:r>
        <w:rPr>
          <w:b/>
        </w:rPr>
        <w:t xml:space="preserve">nicht als Bestandteil der Stufen G0 bis G7</w:t>
      </w:r>
      <w:r>
        <w:t xml:space="preserve">. Der Produktausweis nach </w:t>
      </w:r>
      <w:r>
        <w:rPr>
          <w:b/>
        </w:rPr>
        <w:t xml:space="preserve">E10</w:t>
      </w:r>
      <w:r>
        <w:t xml:space="preserve"> bleibt Wort für Wort, weil das Raummodell dasselbe bleibt.</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Ebene</w:t>
            </w:r>
          </w:p>
        </w:tc>
        <w:tc>
          <w:tcPr>
            <w:tcW w:w="0" w:type="auto"/>
            <w:shd w:val="clear" w:color="auto" w:fill="D9D9D9"/>
          </w:tcPr>
          <w:p>
            <w:pPr>
              <w:spacing w:after="0" w:line="240" w:lineRule="auto"/>
              <w:rPr>
                <w:b/>
              </w:rPr>
            </w:pPr>
            <w:r>
              <w:rPr>
                <w:b/>
              </w:rPr>
              <w:t xml:space="preserve">Bisher</w:t>
            </w:r>
          </w:p>
        </w:tc>
        <w:tc>
          <w:tcPr>
            <w:tcW w:w="0" w:type="auto"/>
            <w:shd w:val="clear" w:color="auto" w:fill="D9D9D9"/>
          </w:tcPr>
          <w:p>
            <w:pPr>
              <w:spacing w:after="0" w:line="240" w:lineRule="auto"/>
              <w:rPr>
                <w:b/>
              </w:rPr>
            </w:pPr>
            <w:r>
              <w:rPr>
                <w:b/>
              </w:rPr>
              <w:t xml:space="preserve">Nach E22</w:t>
            </w:r>
          </w:p>
        </w:tc>
      </w:tr>
      <w:tr>
        <w:tc>
          <w:tcPr>
            <w:tcW w:w="0" w:type="auto"/>
          </w:tcPr>
          <w:p>
            <w:pPr>
              <w:spacing w:after="0" w:line="240" w:lineRule="auto"/>
            </w:pPr>
            <w:r>
              <w:t xml:space="preserve">Raumtemperatur</w:t>
            </w:r>
          </w:p>
        </w:tc>
        <w:tc>
          <w:tcPr>
            <w:tcW w:w="0" w:type="auto"/>
          </w:tcPr>
          <w:p>
            <w:pPr>
              <w:spacing w:after="0" w:line="240" w:lineRule="auto"/>
            </w:pPr>
            <w:r>
              <w:t xml:space="preserve">Ergebnis einer </w:t>
            </w:r>
            <w:r>
              <w:rPr>
                <w:b/>
              </w:rPr>
              <w:t xml:space="preserve">idealen Regelung</w:t>
            </w:r>
            <w:r>
              <w:t xml:space="preserve">, die den Sollwert immer hält — außer an </w:t>
            </w:r>
            <w:r>
              <w:rPr>
                <w:rFonts w:ascii="Consolas" w:hAnsi="Consolas" w:cs="Consolas"/>
                <w:noProof/>
                <w:sz w:val="20"/>
                <w:szCs w:val="20"/>
                <w:shd w:val="clear" w:color="auto" w:fill="EFEFEF"/>
              </w:rPr>
              <w:t xml:space="preserve">Heizleistung_Max</w:t>
            </w:r>
          </w:p>
        </w:tc>
        <w:tc>
          <w:tcPr>
            <w:tcW w:w="0" w:type="auto"/>
          </w:tcPr>
          <w:p>
            <w:pPr>
              <w:spacing w:after="0" w:line="240" w:lineRule="auto"/>
            </w:pPr>
            <w:r>
              <w:rPr>
                <w:b/>
              </w:rPr>
              <w:t xml:space="preserve">Ergebnis der gelieferten Leistung</w:t>
            </w:r>
            <w:r>
              <w:t xml:space="preserve">: sie fällt, wenn Übergabe oder Erzeuger nicht reichen</w:t>
            </w:r>
          </w:p>
        </w:tc>
      </w:tr>
      <w:tr>
        <w:tc>
          <w:tcPr>
            <w:tcW w:w="0" w:type="auto"/>
          </w:tcPr>
          <w:p>
            <w:pPr>
              <w:spacing w:after="0" w:line="240" w:lineRule="auto"/>
            </w:pPr>
            <w:r>
              <w:t xml:space="preserve">Vorlauftemperatur</w:t>
            </w:r>
          </w:p>
        </w:tc>
        <w:tc>
          <w:tcPr>
            <w:tcW w:w="0" w:type="auto"/>
          </w:tcPr>
          <w:p>
            <w:pPr>
              <w:spacing w:after="0" w:line="240" w:lineRule="auto"/>
            </w:pPr>
            <w:r>
              <w:t xml:space="preserve">projektierter </w:t>
            </w:r>
            <w:r>
              <w:rPr>
                <w:b/>
              </w:rPr>
              <w:t xml:space="preserve">Festwert</w:t>
            </w:r>
            <w:r>
              <w:t xml:space="preserve"> je Anlage, der die Kennlinienreihe der Wärmepumpe wählt</w:t>
            </w:r>
          </w:p>
        </w:tc>
        <w:tc>
          <w:tcPr>
            <w:tcW w:w="0" w:type="auto"/>
          </w:tcPr>
          <w:p>
            <w:pPr>
              <w:spacing w:after="0" w:line="240" w:lineRule="auto"/>
            </w:pPr>
            <w:r>
              <w:rPr>
                <w:b/>
              </w:rPr>
              <w:t xml:space="preserve">gerechnete Größe je Stunde</w:t>
            </w:r>
            <w:r>
              <w:t xml:space="preserve"> aus Heizkurve und Übergabe — und Eingang derselben Kennlinienwahl</w:t>
            </w:r>
          </w:p>
        </w:tc>
      </w:tr>
      <w:tr>
        <w:tc>
          <w:tcPr>
            <w:tcW w:w="0" w:type="auto"/>
          </w:tcPr>
          <w:p>
            <w:pPr>
              <w:spacing w:after="0" w:line="240" w:lineRule="auto"/>
            </w:pPr>
            <w:r>
              <w:t xml:space="preserve">Rücklauftemperatur</w:t>
            </w:r>
          </w:p>
        </w:tc>
        <w:tc>
          <w:tcPr>
            <w:tcW w:w="0" w:type="auto"/>
          </w:tcPr>
          <w:p>
            <w:pPr>
              <w:spacing w:after="0" w:line="240" w:lineRule="auto"/>
            </w:pPr>
            <w:r>
              <w:t xml:space="preserve">projektierter Festwert je Anlage und je Speicher</w:t>
            </w:r>
          </w:p>
        </w:tc>
        <w:tc>
          <w:tcPr>
            <w:tcW w:w="0" w:type="auto"/>
          </w:tcPr>
          <w:p>
            <w:pPr>
              <w:spacing w:after="0" w:line="240" w:lineRule="auto"/>
            </w:pPr>
            <w:r>
              <w:rPr>
                <w:b/>
              </w:rPr>
              <w:t xml:space="preserve">Ergebnis</w:t>
            </w:r>
            <w:r>
              <w:t xml:space="preserve"> der Übergabe, nicht Eingabe — an genau einer Stelle, dem Gebäude</w:t>
            </w:r>
          </w:p>
        </w:tc>
      </w:tr>
      <w:tr>
        <w:tc>
          <w:tcPr>
            <w:tcW w:w="0" w:type="auto"/>
          </w:tcPr>
          <w:p>
            <w:pPr>
              <w:spacing w:after="0" w:line="240" w:lineRule="auto"/>
            </w:pPr>
            <w:r>
              <w:t xml:space="preserve">Erzeugerfahrplan</w:t>
            </w:r>
          </w:p>
        </w:tc>
        <w:tc>
          <w:tcPr>
            <w:tcW w:w="0" w:type="auto"/>
          </w:tcPr>
          <w:p>
            <w:pPr>
              <w:spacing w:after="0" w:line="240" w:lineRule="auto"/>
            </w:pPr>
            <w:r>
              <w:t xml:space="preserve">die Sperrzeit wirkt auf die </w:t>
            </w:r>
            <w:r>
              <w:rPr>
                <w:b/>
              </w:rPr>
              <w:t xml:space="preserve">Deckung</w:t>
            </w:r>
            <w:r>
              <w:t xml:space="preserve"> (das Modul liefert 0), die Priorität auf die Reihenfolge — nie auf den Bedarf</w:t>
            </w:r>
          </w:p>
        </w:tc>
        <w:tc>
          <w:tcPr>
            <w:tcW w:w="0" w:type="auto"/>
          </w:tcPr>
          <w:p>
            <w:pPr>
              <w:spacing w:after="0" w:line="240" w:lineRule="auto"/>
            </w:pPr>
            <w:r>
              <w:t xml:space="preserve">begrenzt je Stunde, </w:t>
            </w:r>
            <w:r>
              <w:rPr>
                <w:b/>
              </w:rPr>
              <w:t xml:space="preserve">was im Raum ankommt</w:t>
            </w:r>
            <w:r>
              <w:t xml:space="preserve"> (AK2)</w:t>
            </w:r>
          </w:p>
        </w:tc>
      </w:tr>
      <w:tr>
        <w:tc>
          <w:tcPr>
            <w:tcW w:w="0" w:type="auto"/>
          </w:tcPr>
          <w:p>
            <w:pPr>
              <w:spacing w:after="0" w:line="240" w:lineRule="auto"/>
            </w:pPr>
            <w:r>
              <w:t xml:space="preserve">Unterdeckung</w:t>
            </w:r>
          </w:p>
        </w:tc>
        <w:tc>
          <w:tcPr>
            <w:tcW w:w="0" w:type="auto"/>
          </w:tcPr>
          <w:p>
            <w:pPr>
              <w:spacing w:after="0" w:line="240" w:lineRule="auto"/>
            </w:pPr>
            <w:r>
              <w:t xml:space="preserve">ungedeckte Kilowattstunden</w:t>
            </w:r>
          </w:p>
        </w:tc>
        <w:tc>
          <w:tcPr>
            <w:tcW w:w="0" w:type="auto"/>
          </w:tcPr>
          <w:p>
            <w:pPr>
              <w:spacing w:after="0" w:line="240" w:lineRule="auto"/>
            </w:pPr>
            <w:r>
              <w:rPr>
                <w:b/>
              </w:rPr>
              <w:t xml:space="preserve">Komfortstunden</w:t>
            </w:r>
            <w:r>
              <w:t xml:space="preserve"> — Unterschreitung, Kelvinstunden, längste Strecke; der Restbedarf bleibt daneben stehen</w:t>
            </w:r>
          </w:p>
        </w:tc>
      </w:tr>
      <w:tr>
        <w:tc>
          <w:tcPr>
            <w:tcW w:w="0" w:type="auto"/>
          </w:tcPr>
          <w:p>
            <w:pPr>
              <w:spacing w:after="0" w:line="240" w:lineRule="auto"/>
            </w:pPr>
            <w:r>
              <w:t xml:space="preserve">Laufordnung</w:t>
            </w:r>
          </w:p>
        </w:tc>
        <w:tc>
          <w:tcPr>
            <w:tcW w:w="0" w:type="auto"/>
          </w:tcPr>
          <w:p>
            <w:pPr>
              <w:spacing w:after="0" w:line="240" w:lineRule="auto"/>
            </w:pPr>
            <w:r>
              <w:t xml:space="preserve">erst Bedarf, dann Deckung</w:t>
            </w:r>
          </w:p>
        </w:tc>
        <w:tc>
          <w:tcPr>
            <w:tcW w:w="0" w:type="auto"/>
          </w:tcPr>
          <w:p>
            <w:pPr>
              <w:spacing w:after="0" w:line="240" w:lineRule="auto"/>
            </w:pPr>
            <w:r>
              <w:t xml:space="preserve">unverändert in AK1 und AK2; </w:t>
            </w:r>
            <w:r>
              <w:rPr>
                <w:b/>
              </w:rPr>
              <w:t xml:space="preserve">AK3 kehrt sie um</w:t>
            </w:r>
          </w:p>
        </w:tc>
      </w:tr>
      <w:tr>
        <w:tc>
          <w:tcPr>
            <w:tcW w:w="0" w:type="auto"/>
          </w:tcPr>
          <w:p>
            <w:pPr>
              <w:spacing w:after="0" w:line="240" w:lineRule="auto"/>
            </w:pPr>
            <w:r>
              <w:t xml:space="preserve">Normstatus</w:t>
            </w:r>
          </w:p>
        </w:tc>
        <w:tc>
          <w:tcPr>
            <w:tcW w:w="0" w:type="auto"/>
          </w:tcPr>
          <w:p>
            <w:pPr>
              <w:spacing w:after="0" w:line="240" w:lineRule="auto"/>
            </w:pPr>
            <w:r>
              <w:t xml:space="preserve">Rechenkern nach VDI 6007 Blatt 1 (E10)</w:t>
            </w:r>
          </w:p>
        </w:tc>
        <w:tc>
          <w:tcPr>
            <w:tcW w:w="0" w:type="auto"/>
          </w:tcPr>
          <w:p>
            <w:pPr>
              <w:spacing w:after="0" w:line="240" w:lineRule="auto"/>
            </w:pPr>
            <w:r>
              <w:rPr>
                <w:b/>
              </w:rPr>
              <w:t xml:space="preserve">unverändert</w:t>
            </w:r>
            <w:r>
              <w:t xml:space="preserve"> — das Raummodell ist dasselbe, die Erweiterung ist benannt</w:t>
            </w:r>
          </w:p>
        </w:tc>
      </w:tr>
    </w:tbl>
    <w:p>
      <w:pPr>
        <w:spacing w:after="120"/>
      </w:pPr>
    </w:p>
    <w:p>
      <w:r>
        <w:rPr>
          <w:b/>
        </w:rPr>
        <w:t xml:space="preserve">Der größte sichtbare Gewinn kommt aus der billigsten Stufe.</w:t>
      </w:r>
      <w:r>
        <w:t xml:space="preserve"> AK1 kappt die </w:t>
      </w:r>
      <w:r>
        <w:rPr>
          <w:b/>
        </w:rPr>
        <w:t xml:space="preserve">Aufheizspitze</w:t>
      </w:r>
      <w:r>
        <w:t xml:space="preserve">, die das Stundenmodell heute erzeugt: Sie fällt in elf von zwölf Referenzprojekten auf dieselbe Stunde — die erste nach Ende der Nachtabsenkung am kältesten Tag — und liegt über alle Projekte zusammen rund </w:t>
      </w:r>
      <w:r>
        <w:rPr>
          <w:b/>
        </w:rPr>
        <w:t xml:space="preserve">29 %</w:t>
      </w:r>
      <w:r>
        <w:t xml:space="preserve"> über der Spitze des Tagesmodells. Diese Spitze ist rechnerisch richtig und technisch unmöglich: Ein realer Heizkörper kann sie nicht liefern. AK1 ist der physikalische Grund, aus dem sie nicht auftritt, und macht </w:t>
      </w:r>
      <w:r>
        <w:rPr>
          <w:rFonts w:ascii="Consolas" w:hAnsi="Consolas" w:cs="Consolas"/>
          <w:noProof/>
          <w:sz w:val="20"/>
          <w:szCs w:val="20"/>
          <w:shd w:val="clear" w:color="auto" w:fill="EFEFEF"/>
        </w:rPr>
        <w:t xml:space="preserve">Heizleistung_Max</w:t>
      </w:r>
      <w:r>
        <w:t xml:space="preserve"> von einer </w:t>
      </w:r>
      <w:r>
        <w:rPr>
          <w:b/>
        </w:rPr>
        <w:t xml:space="preserve">Behauptung</w:t>
      </w:r>
      <w:r>
        <w:t xml:space="preserve"> des Anwenders zu einer </w:t>
      </w:r>
      <w:r>
        <w:rPr>
          <w:b/>
        </w:rPr>
        <w:t xml:space="preserve">hergeleiteten</w:t>
      </w:r>
      <w:r>
        <w:t xml:space="preserve"> Größe.</w:t>
      </w:r>
    </w:p>
    <w:p>
      <w:r>
        <w:rPr>
          <w:b/>
        </w:rPr>
        <w:t xml:space="preserve">Was ausdrücklich nicht aufgehoben wird.</w:t>
      </w:r>
      <w:r>
        <w:t xml:space="preserve"> Bauteilaktivierung als Funktion (eine Flächenheizung ist hier eine Übergabeart mit eigenem Exponenten, kein Knoten mit Masse), Feuchte und Entfeuchtung, sommerlicher Wärmeschutz, Hydraulik als Gewerk (Rohrnetz, Druckverluste, Pumpenkennlinien, hydraulischer Abgleich), Regelungstechnik als Gegenstand (Reglerparametrierung, Totzeiten, prädiktive Regelung, Taktverhalten unterhalb der Stunde) und Einrohrsysteme. Ein Massenstrom ist in diesem Vorhaben eine </w:t>
      </w:r>
      <w:r>
        <w:rPr>
          <w:b/>
        </w:rPr>
        <w:t xml:space="preserve">Auslegungsgröße</w:t>
      </w:r>
      <w:r>
        <w:t xml:space="preserve">, keine Rechnung.</w:t>
      </w:r>
    </w:p>
    <w:p>
      <w:pPr>
        <w:pStyle w:val="Heading2"/>
      </w:pPr>
      <w:r>
        <w:t xml:space="preserve">8b.1 Die Stufen AK0 bis AK3</w:t>
      </w:r>
    </w:p>
    <w:tbl>
      <w:tblPr>
        <w:tblStyle w:val="TableGrid"/>
        <w:tblW w:w="5000" w:type="pct"/>
        <w:tblLayout w:type="autofit"/>
        <w:tblLook w:val="04A0" w:firstRow="true" w:lastRow="false" w:firstColumn="false" w:lastColumn="false" w:noHBand="false" w:noVBand="true"/>
      </w:tblPr>
      <w:tblGrid>
        <w:gridCol w:w="1606"/>
        <w:gridCol w:w="1606"/>
        <w:gridCol w:w="1606"/>
        <w:gridCol w:w="1606"/>
        <w:gridCol w:w="1606"/>
        <w:gridCol w:w="1606"/>
      </w:tblGrid>
      <w:tr>
        <w:trPr>
          <w:tblHeader/>
        </w:trPr>
        <w:tc>
          <w:tcPr>
            <w:tcW w:w="0" w:type="auto"/>
            <w:shd w:val="clear" w:color="auto" w:fill="D9D9D9"/>
          </w:tcPr>
          <w:p>
            <w:pPr>
              <w:spacing w:after="0" w:line="240" w:lineRule="auto"/>
              <w:rPr>
                <w:b/>
              </w:rPr>
            </w:pPr>
            <w:r>
              <w:rPr>
                <w:b/>
              </w:rPr>
              <w:t xml:space="preserve">Stufe</w:t>
            </w:r>
          </w:p>
        </w:tc>
        <w:tc>
          <w:tcPr>
            <w:tcW w:w="0" w:type="auto"/>
            <w:shd w:val="clear" w:color="auto" w:fill="D9D9D9"/>
          </w:tcPr>
          <w:p>
            <w:pPr>
              <w:spacing w:after="0" w:line="240" w:lineRule="auto"/>
              <w:rPr>
                <w:b/>
              </w:rPr>
            </w:pPr>
            <w:r>
              <w:rPr>
                <w:b/>
              </w:rPr>
              <w:t xml:space="preserve">Inhalt</w:t>
            </w:r>
          </w:p>
        </w:tc>
        <w:tc>
          <w:tcPr>
            <w:tcW w:w="0" w:type="auto"/>
            <w:shd w:val="clear" w:color="auto" w:fill="D9D9D9"/>
          </w:tcPr>
          <w:p>
            <w:pPr>
              <w:spacing w:after="0" w:line="240" w:lineRule="auto"/>
              <w:rPr>
                <w:b/>
              </w:rPr>
            </w:pPr>
            <w:r>
              <w:rPr>
                <w:b/>
              </w:rPr>
              <w:t xml:space="preserve">Voraussetzung</w:t>
            </w:r>
          </w:p>
        </w:tc>
        <w:tc>
          <w:tcPr>
            <w:tcW w:w="0" w:type="auto"/>
            <w:shd w:val="clear" w:color="auto" w:fill="D9D9D9"/>
          </w:tcPr>
          <w:p>
            <w:pPr>
              <w:spacing w:after="0" w:line="240" w:lineRule="auto"/>
              <w:rPr>
                <w:b/>
              </w:rPr>
            </w:pPr>
            <w:r>
              <w:rPr>
                <w:b/>
              </w:rPr>
              <w:t xml:space="preserve">Abnahme</w:t>
            </w:r>
          </w:p>
        </w:tc>
        <w:tc>
          <w:tcPr>
            <w:tcW w:w="0" w:type="auto"/>
            <w:shd w:val="clear" w:color="auto" w:fill="D9D9D9"/>
          </w:tcPr>
          <w:p>
            <w:pPr>
              <w:spacing w:after="0" w:line="240" w:lineRule="auto"/>
              <w:rPr>
                <w:b/>
              </w:rPr>
            </w:pPr>
            <w:r>
              <w:rPr>
                <w:b/>
              </w:rPr>
              <w:t xml:space="preserve">Basis</w:t>
            </w:r>
          </w:p>
        </w:tc>
        <w:tc>
          <w:tcPr>
            <w:tcW w:w="0" w:type="auto"/>
            <w:shd w:val="clear" w:color="auto" w:fill="D9D9D9"/>
          </w:tcPr>
          <w:p>
            <w:pPr>
              <w:spacing w:after="0" w:line="240" w:lineRule="auto"/>
              <w:rPr>
                <w:b/>
              </w:rPr>
            </w:pPr>
            <w:r>
              <w:rPr>
                <w:b/>
              </w:rPr>
              <w:t xml:space="preserve">PT</w:t>
            </w:r>
          </w:p>
        </w:tc>
      </w:tr>
      <w:tr>
        <w:tc>
          <w:tcPr>
            <w:tcW w:w="0" w:type="auto"/>
          </w:tcPr>
          <w:p>
            <w:pPr>
              <w:spacing w:after="0" w:line="240" w:lineRule="auto"/>
            </w:pPr>
            <w:r>
              <w:rPr>
                <w:b/>
              </w:rPr>
              <w:t xml:space="preserve">AK0</w:t>
            </w:r>
          </w:p>
        </w:tc>
        <w:tc>
          <w:tcPr>
            <w:tcW w:w="0" w:type="auto"/>
          </w:tcPr>
          <w:p>
            <w:pPr>
              <w:spacing w:after="0" w:line="240" w:lineRule="auto"/>
            </w:pPr>
            <w:r>
              <w:rPr>
                <w:b/>
              </w:rPr>
              <w:t xml:space="preserve">Papiere, nichts bauen.</w:t>
            </w:r>
            <w:r>
              <w:t xml:space="preserve"> Das Konzept der Anlagenkopplung, die Fortschreibung von Konzept 15, Kühlkonzept, Systementwurf und Umsetzungskonzept auf E22, </w:t>
            </w:r>
            <w:r>
              <w:rPr>
                <w:b/>
              </w:rPr>
              <w:t xml:space="preserve">H1–H12</w:t>
            </w:r>
            <w:r>
              <w:t xml:space="preserve"> mit E24 entschieden, </w:t>
            </w:r>
            <w:r>
              <w:rPr>
                <w:b/>
              </w:rPr>
              <w:t xml:space="preserve">Q26</w:t>
            </w:r>
            <w:r>
              <w:t xml:space="preserve"> im Gebäudekonzept offen</w:t>
            </w:r>
          </w:p>
        </w:tc>
        <w:tc>
          <w:tcPr>
            <w:tcW w:w="0" w:type="auto"/>
          </w:tcPr>
          <w:p>
            <w:pPr>
              <w:spacing w:after="0" w:line="240" w:lineRule="auto"/>
            </w:pPr>
            <w:r>
              <w:t xml:space="preserve">—</w:t>
            </w:r>
          </w:p>
        </w:tc>
        <w:tc>
          <w:tcPr>
            <w:tcW w:w="0" w:type="auto"/>
          </w:tcPr>
          <w:p>
            <w:pPr>
              <w:spacing w:after="0" w:line="240" w:lineRule="auto"/>
            </w:pPr>
            <w:r>
              <w:t xml:space="preserve">Papiere widerspruchsfrei, Dokumentationswache grün, Indexzeile gesetzt</w:t>
            </w:r>
          </w:p>
        </w:tc>
        <w:tc>
          <w:tcPr>
            <w:tcW w:w="0" w:type="auto"/>
          </w:tcPr>
          <w:p>
            <w:pPr>
              <w:spacing w:after="0" w:line="240" w:lineRule="auto"/>
            </w:pPr>
            <w:r>
              <w:t xml:space="preserve">nein</w:t>
            </w:r>
          </w:p>
        </w:tc>
        <w:tc>
          <w:tcPr>
            <w:tcW w:w="0" w:type="auto"/>
          </w:tcPr>
          <w:p>
            <w:pPr>
              <w:spacing w:after="0" w:line="240" w:lineRule="auto"/>
            </w:pPr>
            <w:r>
              <w:rPr>
                <w:b/>
              </w:rPr>
              <w:t xml:space="preserve">1–2</w:t>
            </w:r>
          </w:p>
        </w:tc>
      </w:tr>
      <w:tr>
        <w:tc>
          <w:tcPr>
            <w:tcW w:w="0" w:type="auto"/>
          </w:tcPr>
          <w:p>
            <w:pPr>
              <w:spacing w:after="0" w:line="240" w:lineRule="auto"/>
            </w:pPr>
            <w:r>
              <w:rPr>
                <w:b/>
              </w:rPr>
              <w:t xml:space="preserve">AK1</w:t>
            </w:r>
          </w:p>
        </w:tc>
        <w:tc>
          <w:tcPr>
            <w:tcW w:w="0" w:type="auto"/>
          </w:tcPr>
          <w:p>
            <w:pPr>
              <w:spacing w:after="0" w:line="240" w:lineRule="auto"/>
            </w:pPr>
            <w:r>
              <w:rPr>
                <w:b/>
              </w:rPr>
              <w:t xml:space="preserve">Heizkreis als Randbedingung — die Einbahnstraße.</w:t>
            </w:r>
            <w:r>
              <w:t xml:space="preserve"> Schemaschritte </w:t>
            </w:r>
            <w:r>
              <w:rPr>
                <w:rFonts w:ascii="Consolas" w:hAnsi="Consolas" w:cs="Consolas"/>
                <w:noProof/>
                <w:sz w:val="20"/>
                <w:szCs w:val="20"/>
                <w:shd w:val="clear" w:color="auto" w:fill="EFEFEF"/>
              </w:rPr>
              <w:t xml:space="preserve">AK-S1</w:t>
            </w:r>
            <w:r>
              <w:t xml:space="preserve"> und der Wärmeteil von </w:t>
            </w:r>
            <w:r>
              <w:rPr>
                <w:rFonts w:ascii="Consolas" w:hAnsi="Consolas" w:cs="Consolas"/>
                <w:noProof/>
                <w:sz w:val="20"/>
                <w:szCs w:val="20"/>
                <w:shd w:val="clear" w:color="auto" w:fill="EFEFEF"/>
              </w:rPr>
              <w:t xml:space="preserve">AK-S3</w:t>
            </w:r>
            <w:r>
              <w:t xml:space="preserve"> samt Sichtneubau und NULL-erhaltender Katalogkopie; Klasse </w:t>
            </w:r>
            <w:r>
              <w:rPr>
                <w:rFonts w:ascii="Consolas" w:hAnsi="Consolas" w:cs="Consolas"/>
                <w:noProof/>
                <w:sz w:val="20"/>
                <w:szCs w:val="20"/>
                <w:shd w:val="clear" w:color="auto" w:fill="EFEFEF"/>
              </w:rPr>
              <w:t xml:space="preserve">Waermeuebergabe</w:t>
            </w:r>
            <w:r>
              <w:t xml:space="preserve">; Heizkurve und Sollwertvektor im Eingangsbau; </w:t>
            </w:r>
            <w:r>
              <w:rPr>
                <w:b/>
              </w:rPr>
              <w:t xml:space="preserve">vierter Betriebsfall</w:t>
            </w:r>
            <w:r>
              <w:t xml:space="preserve"> im Zonenmodell samt Sekantenleitwert; gerechneter Vorlauf in die Kennlinienwahl; Dialoggruppe „Wärmeübergabe" samt </w:t>
            </w:r>
            <w:r>
              <w:rPr>
                <w:b/>
              </w:rPr>
              <w:t xml:space="preserve">Wochenraster-Baustein</w:t>
            </w:r>
            <w:r>
              <w:t xml:space="preserve">; zwei Kennzahlkacheln, Bild „Vorlauf und Rücklauf", Berichtsabschnitt; drei bedingte Reihen im Export</w:t>
            </w:r>
          </w:p>
        </w:tc>
        <w:tc>
          <w:tcPr>
            <w:tcW w:w="0" w:type="auto"/>
          </w:tcPr>
          <w:p>
            <w:pPr>
              <w:spacing w:after="0" w:line="240" w:lineRule="auto"/>
            </w:pPr>
            <w:r>
              <w:rPr>
                <w:b/>
              </w:rPr>
              <w:t xml:space="preserve">G2 steht</w:t>
            </w:r>
            <w:r>
              <w:t xml:space="preserve"> — ohne Stundenmodell im Produkt keine stündliche Raumtemperatur; Gebäudeschema mit </w:t>
            </w:r>
            <w:r>
              <w:rPr>
                <w:rFonts w:ascii="Consolas" w:hAnsi="Consolas" w:cs="Consolas"/>
                <w:noProof/>
                <w:sz w:val="20"/>
                <w:szCs w:val="20"/>
                <w:shd w:val="clear" w:color="auto" w:fill="EFEFEF"/>
              </w:rPr>
              <w:t xml:space="preserve">Heizleistung_Max</w:t>
            </w:r>
            <w:r>
              <w:t xml:space="preserve"> und </w:t>
            </w:r>
            <w:r>
              <w:rPr>
                <w:rFonts w:ascii="Consolas" w:hAnsi="Consolas" w:cs="Consolas"/>
                <w:noProof/>
                <w:sz w:val="20"/>
                <w:szCs w:val="20"/>
                <w:shd w:val="clear" w:color="auto" w:fill="EFEFEF"/>
              </w:rPr>
              <w:t xml:space="preserve">Heizung_Strahlungsanteil</w:t>
            </w:r>
            <w:r>
              <w:t xml:space="preserve"> ausgerollt</w:t>
            </w:r>
          </w:p>
        </w:tc>
        <w:tc>
          <w:tcPr>
            <w:tcW w:w="0" w:type="auto"/>
          </w:tcPr>
          <w:p>
            <w:pPr>
              <w:spacing w:after="0" w:line="240" w:lineRule="auto"/>
            </w:pPr>
            <w:r>
              <w:t xml:space="preserve">Kern-Gate grün; Referenzlauf gegen die </w:t>
            </w:r>
            <w:r>
              <w:rPr>
                <w:b/>
              </w:rPr>
              <w:t xml:space="preserve">neue</w:t>
            </w:r>
            <w:r>
              <w:t xml:space="preserve"> Basis; zwölf Projekte ohne Kopplung byte-gleich; </w:t>
            </w:r>
            <w:r>
              <w:rPr>
                <w:b/>
              </w:rPr>
              <w:t xml:space="preserve">beide Grenzfallproben</w:t>
            </w:r>
            <w:r>
              <w:t xml:space="preserve"> (8b.2); ChartProben grün</w:t>
            </w:r>
          </w:p>
        </w:tc>
        <w:tc>
          <w:tcPr>
            <w:tcW w:w="0" w:type="auto"/>
          </w:tcPr>
          <w:p>
            <w:pPr>
              <w:spacing w:after="0" w:line="240" w:lineRule="auto"/>
            </w:pPr>
            <w:r>
              <w:rPr>
                <w:b/>
              </w:rPr>
              <w:t xml:space="preserve">ja</w:t>
            </w:r>
          </w:p>
        </w:tc>
        <w:tc>
          <w:tcPr>
            <w:tcW w:w="0" w:type="auto"/>
          </w:tcPr>
          <w:p>
            <w:pPr>
              <w:spacing w:after="0" w:line="240" w:lineRule="auto"/>
            </w:pPr>
            <w:r>
              <w:rPr>
                <w:b/>
              </w:rPr>
              <w:t xml:space="preserve">9–13</w:t>
            </w:r>
          </w:p>
        </w:tc>
      </w:tr>
      <w:tr>
        <w:tc>
          <w:tcPr>
            <w:tcW w:w="0" w:type="auto"/>
          </w:tcPr>
          <w:p>
            <w:pPr>
              <w:spacing w:after="0" w:line="240" w:lineRule="auto"/>
            </w:pPr>
            <w:r>
              <w:rPr>
                <w:b/>
              </w:rPr>
              <w:t xml:space="preserve">AK2</w:t>
            </w:r>
          </w:p>
        </w:tc>
        <w:tc>
          <w:tcPr>
            <w:tcW w:w="0" w:type="auto"/>
          </w:tcPr>
          <w:p>
            <w:pPr>
              <w:spacing w:after="0" w:line="240" w:lineRule="auto"/>
            </w:pPr>
            <w:r>
              <w:rPr>
                <w:b/>
              </w:rPr>
              <w:t xml:space="preserve">Erzeugerfahrplan als Verfügbarkeit.</w:t>
            </w:r>
            <w:r>
              <w:t xml:space="preserve"> Schemaschritt </w:t>
            </w:r>
            <w:r>
              <w:rPr>
                <w:rFonts w:ascii="Consolas" w:hAnsi="Consolas" w:cs="Consolas"/>
                <w:noProof/>
                <w:sz w:val="20"/>
                <w:szCs w:val="20"/>
                <w:shd w:val="clear" w:color="auto" w:fill="EFEFEF"/>
              </w:rPr>
              <w:t xml:space="preserve">AK-S2</w:t>
            </w:r>
            <w:r>
              <w:t xml:space="preserve"> und der Komfortteil von </w:t>
            </w:r>
            <w:r>
              <w:rPr>
                <w:rFonts w:ascii="Consolas" w:hAnsi="Consolas" w:cs="Consolas"/>
                <w:noProof/>
                <w:sz w:val="20"/>
                <w:szCs w:val="20"/>
                <w:shd w:val="clear" w:color="auto" w:fill="EFEFEF"/>
              </w:rPr>
              <w:t xml:space="preserve">AK-S3</w:t>
            </w:r>
            <w:r>
              <w:t xml:space="preserve">; Klasse </w:t>
            </w:r>
            <w:r>
              <w:rPr>
                <w:rFonts w:ascii="Consolas" w:hAnsi="Consolas" w:cs="Consolas"/>
                <w:noProof/>
                <w:sz w:val="20"/>
                <w:szCs w:val="20"/>
                <w:shd w:val="clear" w:color="auto" w:fill="EFEFEF"/>
              </w:rPr>
              <w:t xml:space="preserve">Anlagenfahrplan</w:t>
            </w:r>
            <w:r>
              <w:t xml:space="preserve"> samt Naht </w:t>
            </w:r>
            <w:r>
              <w:rPr>
                <w:rFonts w:ascii="Consolas" w:hAnsi="Consolas" w:cs="Consolas"/>
                <w:noProof/>
                <w:sz w:val="20"/>
                <w:szCs w:val="20"/>
                <w:shd w:val="clear" w:color="auto" w:fill="EFEFEF"/>
              </w:rPr>
              <w:t xml:space="preserve">Anlagenverfuegbarkeit</w:t>
            </w:r>
            <w:r>
              <w:t xml:space="preserve"> (Profilweg mit Speichervorrat über die Sperrdauer); Wochenraster im Erzeugerdialog; vierte Grenze in der Kette; Komfortkennzahlen, Bild „Raumtemperatur und Sollwert", Berichtszeile; </w:t>
            </w:r>
            <w:r>
              <w:rPr>
                <w:b/>
              </w:rPr>
              <w:t xml:space="preserve">Eintrag der neuen Klasse in die </w:t>
            </w:r>
            <w:r>
              <w:rPr>
                <w:rFonts w:ascii="Consolas" w:hAnsi="Consolas" w:cs="Consolas"/>
                <w:b/>
                <w:noProof/>
                <w:sz w:val="20"/>
                <w:szCs w:val="20"/>
                <w:shd w:val="clear" w:color="auto" w:fill="EFEFEF"/>
              </w:rPr>
              <w:t xml:space="preserve">Modultrennungswache</w:t>
            </w:r>
          </w:p>
        </w:tc>
        <w:tc>
          <w:tcPr>
            <w:tcW w:w="0" w:type="auto"/>
          </w:tcPr>
          <w:p>
            <w:pPr>
              <w:spacing w:after="0" w:line="240" w:lineRule="auto"/>
            </w:pPr>
            <w:r>
              <w:rPr>
                <w:b/>
              </w:rPr>
              <w:t xml:space="preserve">AK1 abgenommen und im Feld</w:t>
            </w:r>
            <w:r>
              <w:t xml:space="preserve"> — Altweg-Gebäude gehen als feste Last ein (E23)</w:t>
            </w:r>
          </w:p>
        </w:tc>
        <w:tc>
          <w:tcPr>
            <w:tcW w:w="0" w:type="auto"/>
          </w:tcPr>
          <w:p>
            <w:pPr>
              <w:spacing w:after="0" w:line="240" w:lineRule="auto"/>
            </w:pPr>
            <w:r>
              <w:t xml:space="preserve">Kern-Gate grün; Referenzlauf gegen die neue Basis; die vier AK2-Proben; </w:t>
            </w:r>
            <w:r>
              <w:rPr>
                <w:b/>
              </w:rPr>
              <w:t xml:space="preserve">Restbedarf und Komfortstunden stehen im Bericht nebeneinander</w:t>
            </w:r>
          </w:p>
        </w:tc>
        <w:tc>
          <w:tcPr>
            <w:tcW w:w="0" w:type="auto"/>
          </w:tcPr>
          <w:p>
            <w:pPr>
              <w:spacing w:after="0" w:line="240" w:lineRule="auto"/>
            </w:pPr>
            <w:r>
              <w:rPr>
                <w:b/>
              </w:rPr>
              <w:t xml:space="preserve">ja</w:t>
            </w:r>
          </w:p>
        </w:tc>
        <w:tc>
          <w:tcPr>
            <w:tcW w:w="0" w:type="auto"/>
          </w:tcPr>
          <w:p>
            <w:pPr>
              <w:spacing w:after="0" w:line="240" w:lineRule="auto"/>
            </w:pPr>
            <w:r>
              <w:rPr>
                <w:b/>
              </w:rPr>
              <w:t xml:space="preserve">11–15</w:t>
            </w:r>
          </w:p>
        </w:tc>
      </w:tr>
      <w:tr>
        <w:tc>
          <w:tcPr>
            <w:tcW w:w="0" w:type="auto"/>
          </w:tcPr>
          <w:p>
            <w:pPr>
              <w:spacing w:after="0" w:line="240" w:lineRule="auto"/>
            </w:pPr>
            <w:r>
              <w:rPr>
                <w:b/>
              </w:rPr>
              <w:t xml:space="preserve">AK3</w:t>
            </w:r>
          </w:p>
        </w:tc>
        <w:tc>
          <w:tcPr>
            <w:tcW w:w="0" w:type="auto"/>
          </w:tcPr>
          <w:p>
            <w:pPr>
              <w:spacing w:after="0" w:line="240" w:lineRule="auto"/>
            </w:pPr>
            <w:r>
              <w:rPr>
                <w:b/>
              </w:rPr>
              <w:t xml:space="preserve">Der geschlossene Kreis.</w:t>
            </w:r>
            <w:r>
              <w:t xml:space="preserve"> Iterationsrahmen nach dem Muster von ADR-005 (feste Reihenfolge, drei Abbruchmaße, Höchstzahl </w:t>
            </w:r>
            <w:r>
              <w:rPr>
                <w:b/>
              </w:rPr>
              <w:t xml:space="preserve">20</w:t>
            </w:r>
            <w:r>
              <w:t xml:space="preserve">, benannter Fehler); </w:t>
            </w:r>
            <w:r>
              <w:rPr>
                <w:b/>
              </w:rPr>
              <w:t xml:space="preserve">Umkehr der Laufordnung</w:t>
            </w:r>
            <w:r>
              <w:t xml:space="preserve"> in Bedarfs- und Deckungsrechnung; vorlaufabhängige Kennlinienauswertung je Stunde für die Wärmepumpe, benannte Ablehnung für Kessel und BHKW; Ladezustand des Speichers in der Verfügbarkeit; raumgeführte Korrektur der Heizkurve; Prüforakel und </w:t>
            </w:r>
            <w:r>
              <w:rPr>
                <w:b/>
              </w:rPr>
              <w:t xml:space="preserve">gemessene</w:t>
            </w:r>
            <w:r>
              <w:t xml:space="preserve"> Laufzeit</w:t>
            </w:r>
          </w:p>
        </w:tc>
        <w:tc>
          <w:tcPr>
            <w:tcW w:w="0" w:type="auto"/>
          </w:tcPr>
          <w:p>
            <w:pPr>
              <w:spacing w:after="0" w:line="240" w:lineRule="auto"/>
            </w:pPr>
            <w:r>
              <w:rPr>
                <w:b/>
              </w:rPr>
              <w:t xml:space="preserve">AK2 abgenommen und im Feld</w:t>
            </w:r>
            <w:r>
              <w:t xml:space="preserve">; Anwenderentscheid, ob überhaupt (</w:t>
            </w:r>
            <w:r>
              <w:rPr>
                <w:b/>
              </w:rPr>
              <w:t xml:space="preserve">H6</w:t>
            </w:r>
            <w:r>
              <w:t xml:space="preserve">)</w:t>
            </w:r>
          </w:p>
        </w:tc>
        <w:tc>
          <w:tcPr>
            <w:tcW w:w="0" w:type="auto"/>
          </w:tcPr>
          <w:p>
            <w:pPr>
              <w:spacing w:after="0" w:line="240" w:lineRule="auto"/>
            </w:pPr>
            <w:r>
              <w:t xml:space="preserve">Prüforakel getroffen; „ein Erzeuger ohne Grenzen bitgleich zu AK1" als Gate; Laufzeit an einem Mehrzonengebäude </w:t>
            </w:r>
            <w:r>
              <w:rPr>
                <w:b/>
              </w:rPr>
              <w:t xml:space="preserve">gemessen</w:t>
            </w:r>
            <w:r>
              <w:t xml:space="preserve">, nicht geschätzt; Referenzlauf gegen die neue Basis</w:t>
            </w:r>
          </w:p>
        </w:tc>
        <w:tc>
          <w:tcPr>
            <w:tcW w:w="0" w:type="auto"/>
          </w:tcPr>
          <w:p>
            <w:pPr>
              <w:spacing w:after="0" w:line="240" w:lineRule="auto"/>
            </w:pPr>
            <w:r>
              <w:rPr>
                <w:b/>
              </w:rPr>
              <w:t xml:space="preserve">ja</w:t>
            </w:r>
          </w:p>
        </w:tc>
        <w:tc>
          <w:tcPr>
            <w:tcW w:w="0" w:type="auto"/>
          </w:tcPr>
          <w:p>
            <w:pPr>
              <w:spacing w:after="0" w:line="240" w:lineRule="auto"/>
            </w:pPr>
            <w:r>
              <w:rPr>
                <w:b/>
              </w:rPr>
              <w:t xml:space="preserve">23–38</w:t>
            </w:r>
          </w:p>
        </w:tc>
      </w:tr>
    </w:tbl>
    <w:p>
      <w:pPr>
        <w:spacing w:after="120"/>
      </w:pPr>
    </w:p>
    <w:p>
      <w:r>
        <w:rPr>
          <w:b/>
        </w:rPr>
        <w:t xml:space="preserve">Summen: AK0 + AK1 = 10–15 PT, AK0 bis AK2 = 21–30 PT, AK0 bis AK3 = 44–68 PT</w:t>
      </w:r>
      <w:r>
        <w:t xml:space="preserve">, jeweils zuzüglich rund 0,5 PT je Einfrierschritt. </w:t>
      </w:r>
      <w:r>
        <w:rPr>
          <w:b/>
        </w:rPr>
        <w:t xml:space="preserve">Vorgabe ist überall „aus"</w:t>
      </w:r>
      <w:r>
        <w:t xml:space="preserve">, je Gebäude und je Projekt: Ein Bestandsprojekt rechnet unverändert, solange sie aus ist. </w:t>
      </w:r>
      <w:r>
        <w:rPr>
          <w:b/>
        </w:rPr>
        <w:t xml:space="preserve">Wann welche Stufe beauftragt wird, ist Frage Q26</w:t>
      </w:r>
      <w:r>
        <w:t xml:space="preserve"> und steht im Gebäudekonzept, Kapitel 13 — nicht im Papier der Anlagenkopplung.</w:t>
      </w:r>
    </w:p>
    <w:p>
      <w:r>
        <w:rPr>
          <w:b/>
        </w:rPr>
        <w:t xml:space="preserve">Drei Abweichungen von der groben Vorgabe des Auftrags (8–12 / 10–15 / 20–35 PT)</w:t>
      </w:r>
      <w:r>
        <w:t xml:space="preserve">, alle benannt: AK1 kostet mehr wegen des </w:t>
      </w:r>
      <w:r>
        <w:rPr>
          <w:b/>
        </w:rPr>
        <w:t xml:space="preserve">Wochenraster-Bausteins</w:t>
      </w:r>
      <w:r>
        <w:t xml:space="preserve"> — ein Raster 7 × 24 mit Zeilenkopie ist kein Zahlenfeld, und er wird in AK2 wiederverwendet; AK2 bleibt im Rahmen, verschiebt aber Aufwand vom Dialog zur </w:t>
      </w:r>
      <w:r>
        <w:rPr>
          <w:b/>
        </w:rPr>
        <w:t xml:space="preserve">Umstellung des Unterdeckungsbegriffs</w:t>
      </w:r>
      <w:r>
        <w:t xml:space="preserve">; AK3 kostet an der oberen Grenze mehr, weil die </w:t>
      </w:r>
      <w:r>
        <w:rPr>
          <w:b/>
        </w:rPr>
        <w:t xml:space="preserve">Umkehr der Laufordnung</w:t>
      </w:r>
      <w:r>
        <w:t xml:space="preserve"> den ältesten Rumpf des Kerns trifft und nicht nur einen neuen Rahmen braucht.</w:t>
      </w:r>
    </w:p>
    <w:p>
      <w:pPr>
        <w:pStyle w:val="Heading2"/>
      </w:pPr>
      <w:r>
        <w:t xml:space="preserve">8b.2 Die Physik der Übergabe — und warum der Löser unverändert bleibt</w:t>
      </w:r>
    </w:p>
    <w:p>
      <w:r>
        <w:t xml:space="preserve">Ein Heizkörper gibt seine Leistung nicht linear mit der Übertemperatur ab. Die Kopplung ist deshalb eine </w:t>
      </w:r>
      <w:r>
        <w:rPr>
          <w:b/>
        </w:rPr>
        <w:t xml:space="preserve">Potenzfunktion der Übertemperatur</w:t>
      </w:r>
      <w:r>
        <w:t xml:space="preserve"> — der Differenz zwischen mittlerer Heizmitteltemperatur und Raumtemperatur:</w:t>
      </w:r>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ue</m:t>
              </m:r>
            </m:sub>
          </m:sSub>
          <m:r>
            <w:rPr>
              <w:rFonts w:ascii="Cambria Math" w:hAnsi="Cambria Math"/>
            </w:rPr>
            <m:t>=</m:t>
          </m:r>
          <m:sSub>
            <m:e>
              <m:r>
                <w:rPr>
                  <w:rFonts w:ascii="Cambria Math" w:hAnsi="Cambria Math"/>
                </w:rPr>
                <m:t>Φ</m:t>
              </m:r>
            </m:e>
            <m:sub>
              <m:r>
                <m:rPr>
                  <m:sty m:val="p"/>
                </m:rPr>
                <w:rPr>
                  <w:rFonts w:ascii="Cambria Math" w:hAnsi="Cambria Math"/>
                </w:rPr>
                <m:t>N</m:t>
              </m:r>
            </m:sub>
          </m:sSub>
          <m:r>
            <w:rPr>
              <w:rFonts w:ascii="Cambria Math" w:hAnsi="Cambria Math"/>
            </w:rPr>
            <m:t>⋅</m:t>
          </m:r>
          <m:sSup>
            <m:e>
              <m:d>
                <m:dPr>
                  <m:begChr m:val="("/>
                  <m:endChr m:val=")"/>
                  <m:grow m:val="1"/>
                </m:dPr>
                <m:e>
                  <m:f>
                    <m:num>
                      <m:sSub>
                        <m:e>
                          <m:r>
                            <w:rPr>
                              <w:rFonts w:ascii="Cambria Math" w:hAnsi="Cambria Math"/>
                            </w:rPr>
                            <m:t>θ</m:t>
                          </m:r>
                        </m:e>
                        <m:sub>
                          <m:r>
                            <m:rPr>
                              <m:sty m:val="p"/>
                            </m:rPr>
                            <w:rPr>
                              <w:rFonts w:ascii="Cambria Math" w:hAnsi="Cambria Math"/>
                            </w:rPr>
                            <m:t>m</m:t>
                          </m:r>
                        </m:sub>
                      </m:sSub>
                      <m:r>
                        <w:rPr>
                          <w:rFonts w:ascii="Cambria Math" w:hAnsi="Cambria Math"/>
                        </w:rPr>
                        <m:t>-</m:t>
                      </m:r>
                      <m:sSub>
                        <m:e>
                          <m:r>
                            <w:rPr>
                              <w:rFonts w:ascii="Cambria Math" w:hAnsi="Cambria Math"/>
                            </w:rPr>
                            <m:t>θ</m:t>
                          </m:r>
                        </m:e>
                        <m:sub>
                          <m:r>
                            <m:rPr>
                              <m:sty m:val="p"/>
                            </m:rPr>
                            <w:rPr>
                              <w:rFonts w:ascii="Cambria Math" w:hAnsi="Cambria Math"/>
                            </w:rPr>
                            <m:t>i</m:t>
                          </m:r>
                        </m:sub>
                      </m:sSub>
                    </m:num>
                    <m:den>
                      <m:sSub>
                        <m:e>
                          <m:r>
                            <w:rPr>
                              <w:rFonts w:ascii="Cambria Math" w:hAnsi="Cambria Math"/>
                            </w:rPr>
                            <m:t>θ</m:t>
                          </m:r>
                        </m:e>
                        <m:sub>
                          <m:r>
                            <m:rPr>
                              <m:sty m:val="p"/>
                            </m:rPr>
                            <w:rPr>
                              <w:rFonts w:ascii="Cambria Math" w:hAnsi="Cambria Math"/>
                            </w:rPr>
                            <m:t>m,N</m:t>
                          </m:r>
                        </m:sub>
                      </m:sSub>
                      <m:r>
                        <w:rPr>
                          <w:rFonts w:ascii="Cambria Math" w:hAnsi="Cambria Math"/>
                        </w:rPr>
                        <m:t>-</m:t>
                      </m:r>
                      <m:sSub>
                        <m:e>
                          <m:r>
                            <w:rPr>
                              <w:rFonts w:ascii="Cambria Math" w:hAnsi="Cambria Math"/>
                            </w:rPr>
                            <m:t>θ</m:t>
                          </m:r>
                        </m:e>
                        <m:sub>
                          <m:r>
                            <m:rPr>
                              <m:sty m:val="p"/>
                            </m:rPr>
                            <w:rPr>
                              <w:rFonts w:ascii="Cambria Math" w:hAnsi="Cambria Math"/>
                            </w:rPr>
                            <m:t>i,N</m:t>
                          </m:r>
                        </m:sub>
                      </m:sSub>
                    </m:den>
                  </m:f>
                </m:e>
              </m:d>
            </m:e>
            <m:sup>
              <m:r>
                <w:rPr>
                  <w:rFonts w:ascii="Cambria Math" w:hAnsi="Cambria Math"/>
                </w:rPr>
                <m:t>n</m:t>
              </m:r>
            </m:sup>
          </m:sSup>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ue</m:t>
              </m:r>
            </m:sub>
          </m:sSub>
          <m:r>
            <w:rPr>
              <w:rFonts w:ascii="Cambria Math" w:hAnsi="Cambria Math"/>
            </w:rPr>
            <m:t>=</m:t>
          </m:r>
          <m:sSub>
            <m:e>
              <m:r>
                <w:rPr>
                  <w:rFonts w:ascii="Cambria Math" w:hAnsi="Cambria Math"/>
                </w:rPr>
                <m:t>W</m:t>
              </m:r>
            </m:e>
            <m:sub>
              <m:r>
                <m:rPr>
                  <m:sty m:val="p"/>
                </m:rPr>
                <w:rPr>
                  <w:rFonts w:ascii="Cambria Math" w:hAnsi="Cambria Math"/>
                </w:rPr>
                <m:t>H</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V</m:t>
              </m:r>
            </m:sub>
          </m:sSub>
          <m:r>
            <w:rPr>
              <w:rFonts w:ascii="Cambria Math" w:hAnsi="Cambria Math"/>
            </w:rPr>
            <m:t>-</m:t>
          </m:r>
          <m:sSub>
            <m:e>
              <m:r>
                <w:rPr>
                  <w:rFonts w:ascii="Cambria Math" w:hAnsi="Cambria Math"/>
                </w:rPr>
                <m:t>θ</m:t>
              </m:r>
            </m:e>
            <m:sub>
              <m:r>
                <m:rPr>
                  <m:sty m:val="p"/>
                </m:rPr>
                <w:rPr>
                  <w:rFonts w:ascii="Cambria Math" w:hAnsi="Cambria Math"/>
                </w:rPr>
                <m:t>R</m:t>
              </m:r>
            </m:sub>
          </m:sSub>
          <m:r>
            <w:rPr>
              <w:rFonts w:ascii="Cambria Math" w:hAnsi="Cambria Math"/>
            </w:rPr>
            <m:t>)</m:t>
          </m:r>
          <m:r>
            <w:rPr>
              <w:rFonts w:ascii="Cambria Math" w:hAnsi="Cambria Math"/>
            </w:rPr>
            <m:t xml:space="preserve"> </m:t>
          </m:r>
          <m:r>
            <m:rPr>
              <m:nor m:val="1"/>
            </m:rPr>
            <w:rPr>
              <w:rFonts w:ascii="Cambria Math" w:hAnsi="Cambria Math"/>
            </w:rPr>
            <m:t xml:space="preserve">mit </m:t>
          </m:r>
          <m:sSub>
            <m:e>
              <m:r>
                <w:rPr>
                  <w:rFonts w:ascii="Cambria Math" w:hAnsi="Cambria Math"/>
                </w:rPr>
                <m:t>W</m:t>
              </m:r>
            </m:e>
            <m:sub>
              <m:r>
                <m:rPr>
                  <m:sty m:val="p"/>
                </m:rPr>
                <w:rPr>
                  <w:rFonts w:ascii="Cambria Math" w:hAnsi="Cambria Math"/>
                </w:rPr>
                <m:t>H</m:t>
              </m:r>
            </m:sub>
          </m:sSub>
          <m:r>
            <w:rPr>
              <w:rFonts w:ascii="Cambria Math" w:hAnsi="Cambria Math"/>
            </w:rPr>
            <m:t>=</m:t>
          </m:r>
          <m:acc>
            <m:accPr>
              <m:chr m:val="̇"/>
            </m:accPr>
            <m:e>
              <m:r>
                <w:rPr>
                  <w:rFonts w:ascii="Cambria Math" w:hAnsi="Cambria Math"/>
                </w:rPr>
                <m:t>m</m:t>
              </m:r>
            </m:e>
          </m:acc>
          <m:r>
            <w:rPr>
              <w:rFonts w:ascii="Cambria Math" w:hAnsi="Cambria Math"/>
            </w:rPr>
            <m:t>⋅</m:t>
          </m:r>
          <m:sSub>
            <m:e>
              <m:r>
                <w:rPr>
                  <w:rFonts w:ascii="Cambria Math" w:hAnsi="Cambria Math"/>
                </w:rPr>
                <m:t>c</m:t>
              </m:r>
            </m:e>
            <m:sub>
              <m:r>
                <m:rPr>
                  <m:sty m:val="p"/>
                </m:rPr>
                <w:rPr>
                  <w:rFonts w:ascii="Cambria Math" w:hAnsi="Cambria Math"/>
                </w:rPr>
                <m:t>p</m:t>
              </m:r>
            </m:sub>
          </m:sSub>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r>
        <w:t xml:space="preserve">Zwei Gleichungen, drei Unbekannte — eine muss vorgegeben werden. </w:t>
      </w:r>
      <w:r>
        <w:rPr>
          <w:b/>
        </w:rPr>
        <w:t xml:space="preserve">Festlegung: konstanter Massenstrom</w:t>
      </w:r>
      <w:r>
        <w:t xml:space="preserve">, </w:t>
      </w:r>
      <m:oMath xmlns:m="http://schemas.openxmlformats.org/officeDocument/2006/math">
        <m:sSub>
          <m:e>
            <m:r>
              <w:rPr>
                <w:rFonts w:ascii="Cambria Math" w:hAnsi="Cambria Math"/>
              </w:rPr>
              <m:t>W</m:t>
            </m:r>
          </m:e>
          <m:sub>
            <m:r>
              <m:rPr>
                <m:sty m:val="p"/>
              </m:rPr>
              <w:rPr>
                <w:rFonts w:ascii="Cambria Math" w:hAnsi="Cambria Math"/>
              </w:rPr>
              <m:t>H</m:t>
            </m:r>
          </m:sub>
        </m:sSub>
      </m:oMath>
      <w:r>
        <w:t xml:space="preserve"> aus dem Auslegungspunkt; die Spreizung folgt der Last, wie man es einer Anlage mit Thermostatventilen ansieht. Die Lösung je Stunde ist damit ein </w:t>
      </w:r>
      <w:r>
        <w:rPr>
          <w:b/>
        </w:rPr>
        <w:t xml:space="preserve">skalares Nullstellenproblem</w:t>
      </w:r>
      <w:r>
        <w:t xml:space="preserve"> mit genau einer Nullstelle, gelöst durch eine Newton-Iteration mit fester Schrittzahl als Obergrenze und fester Abbruchschwelle — dieselbe Bauform wie die Bisektion des Umschaltzeitpunkts in Schritt F, und deshalb deterministisch.</w:t>
      </w:r>
    </w:p>
    <w:p>
      <w:r>
        <w:rPr>
          <w:b/>
        </w:rPr>
        <w:t xml:space="preserve">Der Exponent trägt die ganze Bauart, und er ist ein EPOS-Vorgabewert, kein Normwert</w:t>
      </w:r>
      <w:r>
        <w:t xml:space="preserve"> — einstellbar, mit der Vorgabe als Herleitungszeile im Dialog:</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Übergabeart</w:t>
            </w:r>
          </w:p>
        </w:tc>
        <w:tc>
          <w:tcPr>
            <w:tcW w:w="0" w:type="auto"/>
            <w:shd w:val="clear" w:color="auto" w:fill="D9D9D9"/>
          </w:tcPr>
          <w:p>
            <w:pPr>
              <w:spacing w:after="0" w:line="240" w:lineRule="auto"/>
              <w:rPr>
                <w:b/>
              </w:rPr>
            </w:pPr>
            <w:r>
              <w:rPr>
                <w:b/>
              </w:rPr>
              <w:t xml:space="preserve">Persistenzwert</w:t>
            </w:r>
          </w:p>
        </w:tc>
        <w:tc>
          <w:tcPr>
            <w:tcW w:w="0" w:type="auto"/>
            <w:shd w:val="clear" w:color="auto" w:fill="D9D9D9"/>
          </w:tcPr>
          <w:p>
            <w:pPr>
              <w:spacing w:after="0" w:line="240" w:lineRule="auto"/>
              <w:rPr>
                <w:b/>
              </w:rPr>
            </w:pPr>
            <w:r>
              <w:rPr>
                <w:b/>
              </w:rPr>
              <w:t xml:space="preserve">Exponent </w:t>
            </w:r>
            <m:oMath xmlns:m="http://schemas.openxmlformats.org/officeDocument/2006/math">
              <m:r>
                <w:rPr>
                  <w:rFonts w:ascii="Cambria Math" w:hAnsi="Cambria Math"/>
                </w:rPr>
                <m:t>n</m:t>
              </m:r>
            </m:oMath>
          </w:p>
        </w:tc>
        <w:tc>
          <w:tcPr>
            <w:tcW w:w="0" w:type="auto"/>
            <w:shd w:val="clear" w:color="auto" w:fill="D9D9D9"/>
          </w:tcPr>
          <w:p>
            <w:pPr>
              <w:spacing w:after="0" w:line="240" w:lineRule="auto"/>
              <w:rPr>
                <w:b/>
              </w:rPr>
            </w:pPr>
            <w:r>
              <w:rPr>
                <w:b/>
              </w:rPr>
              <w:t xml:space="preserve">Auslegung Vor-/Rücklauf</w:t>
            </w:r>
          </w:p>
        </w:tc>
        <w:tc>
          <w:tcPr>
            <w:tcW w:w="0" w:type="auto"/>
            <w:shd w:val="clear" w:color="auto" w:fill="D9D9D9"/>
          </w:tcPr>
          <w:p>
            <w:pPr>
              <w:spacing w:after="0" w:line="240" w:lineRule="auto"/>
              <w:rPr>
                <w:b/>
              </w:rPr>
            </w:pPr>
            <w:r>
              <w:rPr>
                <w:b/>
              </w:rPr>
              <w:t xml:space="preserve">Strahlungsanteil</w:t>
            </w:r>
          </w:p>
        </w:tc>
      </w:tr>
      <w:tr>
        <w:tc>
          <w:tcPr>
            <w:tcW w:w="0" w:type="auto"/>
          </w:tcPr>
          <w:p>
            <w:pPr>
              <w:spacing w:after="0" w:line="240" w:lineRule="auto"/>
            </w:pPr>
            <w:r>
              <w:t xml:space="preserve">Radiator (Glieder-, Plattenheizkörper)</w:t>
            </w:r>
          </w:p>
        </w:tc>
        <w:tc>
          <w:tcPr>
            <w:tcW w:w="0" w:type="auto"/>
          </w:tcPr>
          <w:p>
            <w:pPr>
              <w:spacing w:after="0" w:line="240" w:lineRule="auto"/>
            </w:pPr>
            <w:r>
              <w:rPr>
                <w:rFonts w:ascii="Consolas" w:hAnsi="Consolas" w:cs="Consolas"/>
                <w:noProof/>
                <w:sz w:val="20"/>
                <w:szCs w:val="20"/>
                <w:shd w:val="clear" w:color="auto" w:fill="EFEFEF"/>
              </w:rPr>
              <w:t xml:space="preserve">RADIATOR</w:t>
            </w:r>
          </w:p>
        </w:tc>
        <w:tc>
          <w:tcPr>
            <w:tcW w:w="0" w:type="auto"/>
          </w:tcPr>
          <w:p>
            <w:pPr>
              <w:spacing w:after="0" w:line="240" w:lineRule="auto"/>
            </w:pPr>
            <w:r>
              <w:rPr>
                <w:b/>
              </w:rPr>
              <w:t xml:space="preserve">1,3</w:t>
            </w:r>
          </w:p>
        </w:tc>
        <w:tc>
          <w:tcPr>
            <w:tcW w:w="0" w:type="auto"/>
          </w:tcPr>
          <w:p>
            <w:pPr>
              <w:spacing w:after="0" w:line="240" w:lineRule="auto"/>
            </w:pPr>
            <w:r>
              <w:t xml:space="preserve">55 / 45 °C</w:t>
            </w:r>
          </w:p>
        </w:tc>
        <w:tc>
          <w:tcPr>
            <w:tcW w:w="0" w:type="auto"/>
          </w:tcPr>
          <w:p>
            <w:pPr>
              <w:spacing w:after="0" w:line="240" w:lineRule="auto"/>
            </w:pPr>
            <w:r>
              <w:t xml:space="preserve">0,3</w:t>
            </w:r>
          </w:p>
        </w:tc>
      </w:tr>
      <w:tr>
        <w:tc>
          <w:tcPr>
            <w:tcW w:w="0" w:type="auto"/>
          </w:tcPr>
          <w:p>
            <w:pPr>
              <w:spacing w:after="0" w:line="240" w:lineRule="auto"/>
            </w:pPr>
            <w:r>
              <w:t xml:space="preserve">Flächenheizung (Fußboden, Wand)</w:t>
            </w:r>
          </w:p>
        </w:tc>
        <w:tc>
          <w:tcPr>
            <w:tcW w:w="0" w:type="auto"/>
          </w:tcPr>
          <w:p>
            <w:pPr>
              <w:spacing w:after="0" w:line="240" w:lineRule="auto"/>
            </w:pPr>
            <w:r>
              <w:rPr>
                <w:rFonts w:ascii="Consolas" w:hAnsi="Consolas" w:cs="Consolas"/>
                <w:noProof/>
                <w:sz w:val="20"/>
                <w:szCs w:val="20"/>
                <w:shd w:val="clear" w:color="auto" w:fill="EFEFEF"/>
              </w:rPr>
              <w:t xml:space="preserve">FLAECHE</w:t>
            </w:r>
          </w:p>
        </w:tc>
        <w:tc>
          <w:tcPr>
            <w:tcW w:w="0" w:type="auto"/>
          </w:tcPr>
          <w:p>
            <w:pPr>
              <w:spacing w:after="0" w:line="240" w:lineRule="auto"/>
            </w:pPr>
            <w:r>
              <w:rPr>
                <w:b/>
              </w:rPr>
              <w:t xml:space="preserve">1,1</w:t>
            </w:r>
          </w:p>
        </w:tc>
        <w:tc>
          <w:tcPr>
            <w:tcW w:w="0" w:type="auto"/>
          </w:tcPr>
          <w:p>
            <w:pPr>
              <w:spacing w:after="0" w:line="240" w:lineRule="auto"/>
            </w:pPr>
            <w:r>
              <w:t xml:space="preserve">35 / 28 °C</w:t>
            </w:r>
          </w:p>
        </w:tc>
        <w:tc>
          <w:tcPr>
            <w:tcW w:w="0" w:type="auto"/>
          </w:tcPr>
          <w:p>
            <w:pPr>
              <w:spacing w:after="0" w:line="240" w:lineRule="auto"/>
            </w:pPr>
            <w:r>
              <w:t xml:space="preserve">0,5</w:t>
            </w:r>
          </w:p>
        </w:tc>
      </w:tr>
      <w:tr>
        <w:tc>
          <w:tcPr>
            <w:tcW w:w="0" w:type="auto"/>
          </w:tcPr>
          <w:p>
            <w:pPr>
              <w:spacing w:after="0" w:line="240" w:lineRule="auto"/>
            </w:pPr>
            <w:r>
              <w:t xml:space="preserve">Konvektor (Gebläse, Unterflur)</w:t>
            </w:r>
          </w:p>
        </w:tc>
        <w:tc>
          <w:tcPr>
            <w:tcW w:w="0" w:type="auto"/>
          </w:tcPr>
          <w:p>
            <w:pPr>
              <w:spacing w:after="0" w:line="240" w:lineRule="auto"/>
            </w:pPr>
            <w:r>
              <w:rPr>
                <w:rFonts w:ascii="Consolas" w:hAnsi="Consolas" w:cs="Consolas"/>
                <w:noProof/>
                <w:sz w:val="20"/>
                <w:szCs w:val="20"/>
                <w:shd w:val="clear" w:color="auto" w:fill="EFEFEF"/>
              </w:rPr>
              <w:t xml:space="preserve">KONVEKTOR</w:t>
            </w:r>
          </w:p>
        </w:tc>
        <w:tc>
          <w:tcPr>
            <w:tcW w:w="0" w:type="auto"/>
          </w:tcPr>
          <w:p>
            <w:pPr>
              <w:spacing w:after="0" w:line="240" w:lineRule="auto"/>
            </w:pPr>
            <w:r>
              <w:rPr>
                <w:b/>
              </w:rPr>
              <w:t xml:space="preserve">1,4</w:t>
            </w:r>
          </w:p>
        </w:tc>
        <w:tc>
          <w:tcPr>
            <w:tcW w:w="0" w:type="auto"/>
          </w:tcPr>
          <w:p>
            <w:pPr>
              <w:spacing w:after="0" w:line="240" w:lineRule="auto"/>
            </w:pPr>
            <w:r>
              <w:t xml:space="preserve">55 / 45 °C</w:t>
            </w:r>
          </w:p>
        </w:tc>
        <w:tc>
          <w:tcPr>
            <w:tcW w:w="0" w:type="auto"/>
          </w:tcPr>
          <w:p>
            <w:pPr>
              <w:spacing w:after="0" w:line="240" w:lineRule="auto"/>
            </w:pPr>
            <w:r>
              <w:t xml:space="preserve">0,1</w:t>
            </w:r>
          </w:p>
        </w:tc>
      </w:tr>
      <w:tr>
        <w:tc>
          <w:tcPr>
            <w:tcW w:w="0" w:type="auto"/>
          </w:tcPr>
          <w:p>
            <w:pPr>
              <w:spacing w:after="0" w:line="240" w:lineRule="auto"/>
            </w:pPr>
            <w:r>
              <w:t xml:space="preserve">ideal — Kopplung aus</w:t>
            </w:r>
          </w:p>
        </w:tc>
        <w:tc>
          <w:tcPr>
            <w:tcW w:w="0" w:type="auto"/>
          </w:tcPr>
          <w:p>
            <w:pPr>
              <w:spacing w:after="0" w:line="240" w:lineRule="auto"/>
            </w:pPr>
            <w:r>
              <w:rPr>
                <w:rFonts w:ascii="Consolas" w:hAnsi="Consolas" w:cs="Consolas"/>
                <w:noProof/>
                <w:sz w:val="20"/>
                <w:szCs w:val="20"/>
                <w:shd w:val="clear" w:color="auto" w:fill="EFEFEF"/>
              </w:rPr>
              <w:t xml:space="preserve">IDEAL</w:t>
            </w:r>
            <w:r>
              <w:t xml:space="preserve"> bzw. NULL</w:t>
            </w:r>
          </w:p>
        </w:tc>
        <w:tc>
          <w:tcPr>
            <w:tcW w:w="0" w:type="auto"/>
          </w:tcPr>
          <w:p>
            <w:pPr>
              <w:spacing w:after="0" w:line="240" w:lineRule="auto"/>
            </w:pPr>
            <w:r>
              <w:t xml:space="preserve">—</w:t>
            </w:r>
          </w:p>
        </w:tc>
        <w:tc>
          <w:tcPr>
            <w:tcW w:w="0" w:type="auto"/>
          </w:tcPr>
          <w:p>
            <w:pPr>
              <w:spacing w:after="0" w:line="240" w:lineRule="auto"/>
            </w:pPr>
            <w:r>
              <w:t xml:space="preserve">—</w:t>
            </w:r>
          </w:p>
        </w:tc>
        <w:tc>
          <w:tcPr>
            <w:tcW w:w="0" w:type="auto"/>
          </w:tcPr>
          <w:p>
            <w:pPr>
              <w:spacing w:after="0" w:line="240" w:lineRule="auto"/>
            </w:pPr>
            <w:r>
              <w:t xml:space="preserve">wie bisher</w:t>
            </w:r>
          </w:p>
        </w:tc>
      </w:tr>
    </w:tbl>
    <w:p>
      <w:pPr>
        <w:spacing w:after="120"/>
      </w:pPr>
    </w:p>
    <w:p>
      <w:r>
        <w:rPr>
          <w:b/>
        </w:rPr>
        <w:t xml:space="preserve">Alle Zahlen dieser Tabelle sind EPOS-Vorgaben</w:t>
      </w:r>
      <w:r>
        <w:t xml:space="preserve">, keine Normwerte, und sie gehören mit diesem Satz auch ins Wiki: Eine Vorgabe, die im Programm steht und in der Dokumentation nicht, ist eine versteckte Annahme.</w:t>
      </w:r>
    </w:p>
    <w:p>
      <w:r>
        <w:rPr>
          <w:b/>
        </w:rPr>
        <w:t xml:space="preserve">Die entscheidende Nachricht: Der Löser muss dafür nicht geändert werden.</w:t>
      </w:r>
      <w:r>
        <w:t xml:space="preserve"> Die Stundenschleife kennt drei Betriebsfälle — freier Lauf, ideale Regelung am Luftknoten und </w:t>
      </w:r>
      <w:r>
        <w:rPr>
          <w:b/>
        </w:rPr>
        <w:t xml:space="preserve">Leistung fest</w:t>
      </w:r>
      <w:r>
        <w:t xml:space="preserve"> —, und der dritte ist genau die Anlagenkopplung: eine vorgegebene Leistung statt eines vorgegebenen Sollwerts. Die Normtestbeispiele mit vorgegebener Last rechnen diesen Fall seit G0. Hinzu kommt allein, dass die Übergabe von der Raumtemperatur abhängt, die sich innerhalb der Stunde ändert. </w:t>
      </w:r>
      <w:r>
        <w:rPr>
          <w:b/>
        </w:rPr>
        <w:t xml:space="preserve">Festlegung: Sekantenleitwert</w:t>
      </w:r>
      <w:r>
        <w:t xml:space="preserve"> — die Übergabe wird je Abschnitt um die aktuelle Raumtemperatur linearisiert und als Leitwert gegen eine Ersatztemperatur geführt, </w:t>
      </w:r>
      <m:oMath xmlns:m="http://schemas.openxmlformats.org/officeDocument/2006/math">
        <m:sSub>
          <m:e>
            <m:r>
              <w:rPr>
                <w:rFonts w:ascii="Cambria Math" w:hAnsi="Cambria Math"/>
              </w:rPr>
              <m:t>Φ</m:t>
            </m:r>
          </m:e>
          <m:sub>
            <m:r>
              <m:rPr>
                <m:sty m:val="p"/>
              </m:rPr>
              <w:rPr>
                <w:rFonts w:ascii="Cambria Math" w:hAnsi="Cambria Math"/>
              </w:rPr>
              <m:t>ue</m:t>
            </m:r>
          </m:sub>
        </m:sSub>
        <m:r>
          <w:rPr>
            <w:rFonts w:ascii="Cambria Math" w:hAnsi="Cambria Math"/>
          </w:rPr>
          <m:t>=</m:t>
        </m:r>
        <m:sSub>
          <m:e>
            <m:r>
              <w:rPr>
                <w:rFonts w:ascii="Cambria Math" w:hAnsi="Cambria Math"/>
              </w:rPr>
              <m:t>G</m:t>
            </m:r>
          </m:e>
          <m:sub>
            <m:r>
              <m:rPr>
                <m:sty m:val="p"/>
              </m:rPr>
              <w:rPr>
                <w:rFonts w:ascii="Cambria Math" w:hAnsi="Cambria Math"/>
              </w:rPr>
              <m:t>H</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H</m:t>
            </m:r>
          </m:sub>
        </m:sSub>
        <m:r>
          <w:rPr>
            <w:rFonts w:ascii="Cambria Math" w:hAnsi="Cambria Math"/>
          </w:rPr>
          <m:t>-</m:t>
        </m:r>
        <m:sSub>
          <m:e>
            <m:r>
              <w:rPr>
                <w:rFonts w:ascii="Cambria Math" w:hAnsi="Cambria Math"/>
              </w:rPr>
              <m:t>θ</m:t>
            </m:r>
          </m:e>
          <m:sub>
            <m:r>
              <m:rPr>
                <m:sty m:val="p"/>
              </m:rPr>
              <w:rPr>
                <w:rFonts w:ascii="Cambria Math" w:hAnsi="Cambria Math"/>
              </w:rPr>
              <m:t>i</m:t>
            </m:r>
          </m:sub>
        </m:sSub>
        <m:r>
          <w:rPr>
            <w:rFonts w:ascii="Cambria Math" w:hAnsi="Cambria Math"/>
          </w:rPr>
          <m:t>)</m:t>
        </m:r>
      </m:oMath>
      <w:r>
        <w:t xml:space="preserve">, genau wie der Lüftungsleitwert. Das System bleibt affin, Endwert und Stundenmittel bleiben </w:t>
      </w:r>
      <w:r>
        <w:rPr>
          <w:b/>
        </w:rPr>
        <w:t xml:space="preserve">exakt</w:t>
      </w:r>
      <w:r>
        <w:t xml:space="preserve">, und es entsteht </w:t>
      </w:r>
      <w:r>
        <w:rPr>
          <w:b/>
        </w:rPr>
        <w:t xml:space="preserve">kein zusätzlicher Iterationsrahmen</w:t>
      </w:r>
      <w:r>
        <w:t xml:space="preserve">. </w:t>
      </w:r>
      <m:oMath xmlns:m="http://schemas.openxmlformats.org/officeDocument/2006/math">
        <m:sSub>
          <m:e>
            <m:r>
              <w:rPr>
                <w:rFonts w:ascii="Cambria Math" w:hAnsi="Cambria Math"/>
              </w:rPr>
              <m:t>G</m:t>
            </m:r>
          </m:e>
          <m:sub>
            <m:r>
              <m:rPr>
                <m:sty m:val="p"/>
              </m:rPr>
              <w:rPr>
                <w:rFonts w:ascii="Cambria Math" w:hAnsi="Cambria Math"/>
              </w:rPr>
              <m:t>H</m:t>
            </m:r>
          </m:sub>
        </m:sSub>
      </m:oMath>
      <w:r>
        <w:t xml:space="preserve"> ist positiv, solange die Heizmitteltemperatur über der Raumtemperatur liegt — die Kopplung wirkt also </w:t>
      </w:r>
      <w:r>
        <w:rPr>
          <w:b/>
        </w:rPr>
        <w:t xml:space="preserve">stabilisierend</w:t>
      </w:r>
      <w:r>
        <w:t xml:space="preserve"> und verschlechtert die Kondition der Systemmatrix nicht.</w:t>
      </w:r>
    </w:p>
    <w:p>
      <w:r>
        <w:rPr>
          <w:b/>
        </w:rPr>
        <w:t xml:space="preserve">Zwei Grenzfälle tragen die ganze Zusage, und beide sind Gate, nicht Kür:</w:t>
      </w:r>
    </w:p>
    <w:p>
      <w:pPr>
        <w:pStyle w:val="ListBullet"/>
        <w:numPr>
          <w:ilvl w:val="0"/>
          <w:numId w:val="8"/>
        </w:numPr>
      </w:pPr>
      <w:r>
        <w:rPr>
          <w:b/>
        </w:rPr>
        <w:t xml:space="preserve">Probe A — Schalter aus.</w:t>
      </w:r>
      <w:r>
        <w:t xml:space="preserve"> Ohne gesetzte Übergabeart nimmt der Löser </w:t>
      </w:r>
      <w:r>
        <w:rPr>
          <w:b/>
        </w:rPr>
        <w:t xml:space="preserve">wörtlich</w:t>
      </w:r>
      <w:r>
        <w:t xml:space="preserve"> den Bestandszweig; Nachweis ist der </w:t>
      </w:r>
      <w:r>
        <w:rPr>
          <w:b/>
        </w:rPr>
        <w:t xml:space="preserve">byte-gleiche</w:t>
      </w:r>
      <w:r>
        <w:t xml:space="preserve"> Referenzlauf. Das ist die Regressionszusage an alle Bestandsprojekte.</w:t>
      </w:r>
    </w:p>
    <w:p>
      <w:pPr>
        <w:pStyle w:val="ListBullet"/>
        <w:numPr>
          <w:ilvl w:val="0"/>
          <w:numId w:val="8"/>
        </w:numPr>
      </w:pPr>
      <w:r>
        <w:rPr>
          <w:b/>
        </w:rPr>
        <w:t xml:space="preserve">Probe B — unbegrenzte Übergabe.</w:t>
      </w:r>
      <w:r>
        <w:t xml:space="preserve"> Übergabeart gesetzt, Nennleistung unendlich, Proportionalband null: Der gekoppelte Zweig liefert </w:t>
      </w:r>
      <w:r>
        <w:rPr>
          <w:b/>
        </w:rPr>
        <w:t xml:space="preserve">bitgleich</w:t>
      </w:r>
      <w:r>
        <w:t xml:space="preserve"> dieselben Zahlen, weil er dieselbe Leistungsgleichung benutzt. Die Probe fällt, sobald jemand im gekoppelten Zweig eine zusätzliche Rechenoperation einführt — und genau dafür ist sie da.</w:t>
      </w:r>
    </w:p>
    <w:p>
      <w:r>
        <w:rPr>
          <w:b/>
        </w:rPr>
        <w:t xml:space="preserve">Was auch in der Physik ausgeschlossen bleibt:</w:t>
      </w:r>
      <w:r>
        <w:t xml:space="preserve"> die Masse der Heizfläche (die Übergabe ist masselos — </w:t>
      </w:r>
      <w:r>
        <w:rPr>
          <w:b/>
        </w:rPr>
        <w:t xml:space="preserve">Folge, benannt:</w:t>
      </w:r>
      <w:r>
        <w:t xml:space="preserve"> bei Flächenheizungen ist die gerechnete Aufheizzeit zu kurz, und der Bericht weist es aus), die Ventildynamik, die Verteilung im Gebäude (ein Vorlauf je Gebäude, kein Strangmodell) und Einrohrsysteme.</w:t>
      </w:r>
    </w:p>
    <w:p>
      <w:pPr>
        <w:pStyle w:val="Heading2"/>
      </w:pPr>
      <w:r>
        <w:t xml:space="preserve">8b.3 Regelung, Zeitprogramm und die Reihenfolge der Grenzen</w:t>
      </w:r>
    </w:p>
    <w:p>
      <w:r>
        <w:rPr>
          <w:b/>
        </w:rPr>
        <w:t xml:space="preserve">Der Raumthermostat ist ein P-Regler mit Proportionalband</w:t>
      </w:r>
      <w:r>
        <w:t xml:space="preserve"> (Ventilstellung aus der Regelabweichung, EPOS-Vorgabe 1 K). Das Band ist wählbar — 0,5 K, 1 K oder 2 K als Schnellwahl oder ein freier Wert bis 5 K (E25); gespeichert wird allein der Wert, die Vorgabe bleibt 1 K. Er ist der einzige der drei erwogenen Formen, der den Grenzfall aus 8b.2 sauber enthält: Mit dem Band null fällt er </w:t>
      </w:r>
      <w:r>
        <w:rPr>
          <w:b/>
        </w:rPr>
        <w:t xml:space="preserve">bitgleich</w:t>
      </w:r>
      <w:r>
        <w:t xml:space="preserve"> auf die ideale Regelung mit Grenze zurück. Ein Zweipunktregler mit Hysterese erzwänge eine Zeitauflösung unterhalb der Stunde und ist mit dem Ausschluss des Taktverhaltens unvereinbar. Eine vorausschauende Aufheizung gibt es nicht: Wer die Aufheizzeit verkürzen will, erhöht den Vorlauf — und genau das zeigt die Rechnung dann auch.</w:t>
      </w:r>
    </w:p>
    <w:p>
      <w:r>
        <w:rPr>
          <w:b/>
        </w:rPr>
        <w:t xml:space="preserve">Das Zeitprogramm ist ein Wochenraster, kein Zahlenfeld.</w:t>
      </w:r>
      <w:r>
        <w:t xml:space="preserve"> 168 Werte als Text, nach dem Muster, das der Bestand für die Wochenwerte der Wärmequelle schon führt — eine Spalte je Gebäude (Raumsollwerte) und eine je Anlage (Verfügbarkeitsfaktoren), </w:t>
      </w:r>
      <w:r>
        <w:rPr>
          <w:b/>
        </w:rPr>
        <w:t xml:space="preserve">keine neue Tabelle, kein neuer Kopierweg, kein neuer Registereintrag</w:t>
      </w:r>
      <w:r>
        <w:t xml:space="preserve">. Drei Regeln dazu: Die vier </w:t>
      </w:r>
      <w:r>
        <w:rPr>
          <w:b/>
        </w:rPr>
        <w:t xml:space="preserve">Ferienzeiträume</w:t>
      </w:r>
      <w:r>
        <w:t xml:space="preserve"> des Bestands bleiben, wo sie sind, und wirken </w:t>
      </w:r>
      <w:r>
        <w:rPr>
          <w:b/>
        </w:rPr>
        <w:t xml:space="preserve">über</w:t>
      </w:r>
      <w:r>
        <w:t xml:space="preserve"> dem Wochenprofil; der </w:t>
      </w:r>
      <w:r>
        <w:rPr>
          <w:b/>
        </w:rPr>
        <w:t xml:space="preserve">Parser ist streng</w:t>
      </w:r>
      <w:r>
        <w:t xml:space="preserve"> — 168 Werte oder benannter Fehler, denn ein stillschweigend ergänzter Wert wäre eine erfundene Betriebszeit; und das Profil ist eine </w:t>
      </w:r>
      <w:r>
        <w:rPr>
          <w:b/>
        </w:rPr>
        <w:t xml:space="preserve">Eingabe, kein Ergebnis</w:t>
      </w:r>
      <w:r>
        <w:t xml:space="preserve"> — Nutzungsprofile für Nichtwohngebäude bleiben ausgeschlossen. Ist kein Profil gepflegt, zeigt der Bearbeitungsbaustein die vier Bestandssollwerte als Raster, nicht eine leere Fläche.</w:t>
      </w:r>
    </w:p>
    <w:p>
      <w:r>
        <w:rPr>
          <w:b/>
        </w:rPr>
        <w:t xml:space="preserve">Nach AK1 begrenzen mehrere Größen die Heizleistung, und die Reihenfolge ist benannt:</w:t>
      </w:r>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h</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func>
            <m:fName>
              <m:r>
                <m:rPr>
                  <m:sty m:val="p"/>
                </m:rPr>
                <w:rPr>
                  <w:rFonts w:ascii="Cambria Math" w:hAnsi="Cambria Math"/>
                </w:rPr>
                <m:t>min</m:t>
              </m:r>
            </m:fName>
            <m:e>
              <m:d>
                <m:dPr>
                  <m:begChr m:val="("/>
                  <m:endChr m:val=")"/>
                  <m:grow m:val="1"/>
                </m:dPr>
                <m:e>
                  <m:sSub>
                    <m:e>
                      <m:r>
                        <w:rPr>
                          <w:rFonts w:ascii="Cambria Math" w:hAnsi="Cambria Math"/>
                        </w:rPr>
                        <m:t>Φ</m:t>
                      </m:r>
                    </m:e>
                    <m:sub>
                      <m:r>
                        <m:rPr>
                          <m:sty m:val="p"/>
                        </m:rPr>
                        <w:rPr>
                          <w:rFonts w:ascii="Cambria Math" w:hAnsi="Cambria Math"/>
                        </w:rPr>
                        <m:t>verlangt</m:t>
                      </m:r>
                    </m:sub>
                  </m:sSub>
                  <m:r>
                    <w:rPr>
                      <w:rFonts w:ascii="Cambria Math" w:hAnsi="Cambria Math"/>
                    </w:rPr>
                    <m:t xml:space="preserve"> </m:t>
                  </m:r>
                  <m:r>
                    <w:rPr>
                      <w:rFonts w:ascii="Cambria Math" w:hAnsi="Cambria Math"/>
                    </w:rPr>
                    <m:t>,</m:t>
                  </m:r>
                  <m:r>
                    <w:rPr>
                      <w:rFonts w:ascii="Cambria Math" w:hAnsi="Cambria Math"/>
                    </w:rPr>
                    <m:t xml:space="preserve"> </m:t>
                  </m:r>
                  <m:sSub>
                    <m:e>
                      <m:r>
                        <w:rPr>
                          <w:rFonts w:ascii="Cambria Math" w:hAnsi="Cambria Math"/>
                        </w:rPr>
                        <m:t>Φ</m:t>
                      </m:r>
                    </m:e>
                    <m:sub>
                      <m:r>
                        <m:rPr>
                          <m:sty m:val="p"/>
                        </m:rPr>
                        <w:rPr>
                          <w:rFonts w:ascii="Cambria Math" w:hAnsi="Cambria Math"/>
                        </w:rPr>
                        <m:t>ue,max</m:t>
                      </m:r>
                    </m:sub>
                  </m:sSub>
                  <m:r>
                    <w:rPr>
                      <w:rFonts w:ascii="Cambria Math" w:hAnsi="Cambria Math"/>
                    </w:rPr>
                    <m:t xml:space="preserve"> </m:t>
                  </m:r>
                  <m:r>
                    <w:rPr>
                      <w:rFonts w:ascii="Cambria Math" w:hAnsi="Cambria Math"/>
                    </w:rPr>
                    <m:t>,</m:t>
                  </m:r>
                  <m:r>
                    <w:rPr>
                      <w:rFonts w:ascii="Cambria Math" w:hAnsi="Cambria Math"/>
                    </w:rPr>
                    <m:t xml:space="preserve"> </m:t>
                  </m:r>
                  <m:sSub>
                    <m:e>
                      <m:r>
                        <m:rPr>
                          <m:sty m:val="p"/>
                        </m:rPr>
                        <w:rPr>
                          <w:rFonts w:ascii="Cambria Math" w:hAnsi="Cambria Math"/>
                        </w:rPr>
                        <m:t>Heizleistung</m:t>
                      </m:r>
                    </m:e>
                    <m:sub>
                      <m:r>
                        <m:rPr>
                          <m:sty m:val="p"/>
                        </m:rPr>
                        <w:rPr>
                          <w:rFonts w:ascii="Cambria Math" w:hAnsi="Cambria Math"/>
                        </w:rPr>
                        <m:t>Max</m:t>
                      </m:r>
                    </m:sub>
                  </m:sSub>
                  <m:r>
                    <w:rPr>
                      <w:rFonts w:ascii="Cambria Math" w:hAnsi="Cambria Math"/>
                    </w:rPr>
                    <m:t xml:space="preserve"> </m:t>
                  </m:r>
                  <m:r>
                    <w:rPr>
                      <w:rFonts w:ascii="Cambria Math" w:hAnsi="Cambria Math"/>
                    </w:rPr>
                    <m:t>,</m:t>
                  </m:r>
                  <m:r>
                    <w:rPr>
                      <w:rFonts w:ascii="Cambria Math" w:hAnsi="Cambria Math"/>
                    </w:rPr>
                    <m:t xml:space="preserve"> </m:t>
                  </m:r>
                  <m:r>
                    <m:rPr>
                      <m:nor m:val="1"/>
                    </m:rPr>
                    <w:rPr>
                      <w:rFonts w:ascii="Cambria Math" w:hAnsi="Cambria Math"/>
                    </w:rPr>
                    <m:t>Verfügbarkeit</m:t>
                  </m:r>
                </m:e>
              </m:d>
            </m:e>
          </m:func>
        </m:oMath>
      </m:oMathPara>
    </w:p>
    <w:p>
      <w:pPr>
        <w:pStyle w:val="ListNumber"/>
        <w:numPr>
          <w:ilvl w:val="0"/>
          <w:numId w:val="9"/>
        </w:numPr>
      </w:pPr>
      <m:oMath xmlns:m="http://schemas.openxmlformats.org/officeDocument/2006/math">
        <m:sSub>
          <m:e>
            <m:r>
              <w:rPr>
                <w:rFonts w:ascii="Cambria Math" w:hAnsi="Cambria Math"/>
              </w:rPr>
              <m:t>Φ</m:t>
            </m:r>
          </m:e>
          <m:sub>
            <m:r>
              <m:rPr>
                <m:sty m:val="p"/>
              </m:rPr>
              <w:rPr>
                <w:rFonts w:ascii="Cambria Math" w:hAnsi="Cambria Math"/>
              </w:rPr>
              <m:t>ue,max</m:t>
            </m:r>
          </m:sub>
        </m:sSub>
      </m:oMath>
      <w:r>
        <w:t xml:space="preserve"> — Physik der Heizfläche (AK1)</w:t>
      </w:r>
    </w:p>
    <w:p>
      <w:pPr>
        <w:pStyle w:val="ListNumber"/>
        <w:numPr>
          <w:ilvl w:val="0"/>
          <w:numId w:val="9"/>
        </w:numPr>
      </w:pPr>
      <w:r>
        <w:rPr>
          <w:rFonts w:ascii="Consolas" w:hAnsi="Consolas" w:cs="Consolas"/>
          <w:noProof/>
          <w:sz w:val="20"/>
          <w:szCs w:val="20"/>
          <w:shd w:val="clear" w:color="auto" w:fill="EFEFEF"/>
        </w:rPr>
        <w:t xml:space="preserve">Heizleistung_Max</w:t>
      </w:r>
      <w:r>
        <w:t xml:space="preserve"> — Behauptung des Anwenders (Bestand)</w:t>
      </w:r>
    </w:p>
    <w:p>
      <w:pPr>
        <w:pStyle w:val="ListNumber"/>
        <w:numPr>
          <w:ilvl w:val="0"/>
          <w:numId w:val="9"/>
        </w:numPr>
      </w:pPr>
      <w:r>
        <w:t xml:space="preserve">Verfügbarkeit — Fahrplan der Anlage (AK2)</w:t>
      </w:r>
    </w:p>
    <w:p>
      <w:r>
        <w:rPr>
          <w:b/>
        </w:rPr>
        <w:t xml:space="preserve">Und jede greifende Grenze trägt einen Grund.</w:t>
      </w:r>
      <w:r>
        <w:t xml:space="preserve"> Die Ergebnisreihe führt je Stunde, </w:t>
      </w:r>
      <w:r>
        <w:rPr>
          <w:b/>
        </w:rPr>
        <w:t xml:space="preserve">welche</w:t>
      </w:r>
      <w:r>
        <w:t xml:space="preserve"> Grenze gegriffen hat; daraus entstehen die Meldung im Bedarfsdialog und die Stundenzahlen im Bericht. Eine Leistung, die aus einem unbenannten Grund kleiner ist als der Bedarf, ist der Fehler, den dieses Vorhaben an jeder Stelle ausschließt. Dasselbe gilt für die zwei Vorlaufbegriffe, die nach AK1 nebeneinanderstehen: </w:t>
      </w:r>
      <w:r>
        <w:rPr>
          <w:b/>
        </w:rPr>
        <w:t xml:space="preserve">Die Anlage bietet an, das Gebäude verlangt, und die kleinere Zahl gewinnt</w:t>
      </w:r>
      <w:r>
        <w:t xml:space="preserve"> — die Stunde trägt dann den Grund „Vorlauf durch Anlage begrenzt".</w:t>
      </w:r>
    </w:p>
    <w:p>
      <w:pPr>
        <w:pStyle w:val="Heading2"/>
      </w:pPr>
      <w:r>
        <w:t xml:space="preserve">8b.4 Fahrplan, Verfügbarkeit und Komfortstunden</w:t>
      </w:r>
    </w:p>
    <w:p>
      <w:r>
        <w:rPr>
          <w:b/>
        </w:rPr>
        <w:t xml:space="preserve">Der Fahrplan ist zur Hälfte schon da — und wird nur zur Hälfte gelesen.</w:t>
      </w:r>
      <w:r>
        <w:t xml:space="preserve"> Jede Anlage führt Sperrzeit, Vorlauf, Rücklauf, Abschaltpunkt, Nutzungszeit, Grenzleistung und Priorität; ausgewertet wird davon je Stunde genau </w:t>
      </w:r>
      <w:r>
        <w:rPr>
          <w:b/>
        </w:rPr>
        <w:t xml:space="preserve">eines</w:t>
      </w:r>
      <w:r>
        <w:t xml:space="preserve">, die Sperrzeit, und zwar als ersatzloser Ausfall des Moduls. Die </w:t>
      </w:r>
      <w:r>
        <w:rPr>
          <w:rFonts w:ascii="Consolas" w:hAnsi="Consolas" w:cs="Consolas"/>
          <w:noProof/>
          <w:sz w:val="20"/>
          <w:szCs w:val="20"/>
          <w:shd w:val="clear" w:color="auto" w:fill="EFEFEF"/>
        </w:rPr>
        <w:t xml:space="preserve">Nutzungszeit</w:t>
      </w:r>
      <w:r>
        <w:t xml:space="preserve"> wird gepflegt und von </w:t>
      </w:r>
      <w:r>
        <w:rPr>
          <w:b/>
        </w:rPr>
        <w:t xml:space="preserve">keiner Zeile</w:t>
      </w:r>
      <w:r>
        <w:t xml:space="preserve"> der Simulation gelesen — sie bleibt wirkungslos und erscheint deshalb auch nicht im Dialog „Betriebszeiten"; sie nachträglich wirksam zu machen wäre eine stille Änderung an jedem Bestandsprojekt, das einen Wert darin stehen hat.</w:t>
      </w:r>
    </w:p>
    <w:p>
      <w:r>
        <w:rPr>
          <w:b/>
        </w:rPr>
        <w:t xml:space="preserve">Die Naht heißt </w:t>
      </w:r>
      <w:r>
        <w:rPr>
          <w:rFonts w:ascii="Consolas" w:hAnsi="Consolas" w:cs="Consolas"/>
          <w:b/>
          <w:noProof/>
          <w:sz w:val="20"/>
          <w:szCs w:val="20"/>
          <w:shd w:val="clear" w:color="auto" w:fill="EFEFEF"/>
        </w:rPr>
        <w:t xml:space="preserve">Anlagenverfuegbarkeit</w:t>
      </w:r>
      <w:r>
        <w:rPr>
          <w:b/>
        </w:rPr>
        <w:t xml:space="preserve">:</w:t>
      </w:r>
      <w:r>
        <w:t xml:space="preserve"> ein Datensatz je Gebäude und Stunde mit </w:t>
      </w:r>
      <w:r>
        <w:rPr>
          <w:b/>
        </w:rPr>
        <w:t xml:space="preserve">drei Größen und einem Grund</w:t>
      </w:r>
      <w:r>
        <w:t xml:space="preserve"> — obere Leistungsschranke, höchste angebotene Vorlauftemperatur und die Kennung, warum begrenzt wird (keine Begrenzung, Sperrzeit, Zeitprogramm, Leistungsgrenze, Speicher leer, Abschaltpunkt, kein Erzeuger). Sie ist </w:t>
      </w:r>
      <w:r>
        <w:rPr>
          <w:b/>
        </w:rPr>
        <w:t xml:space="preserve">keine Deckungsrechnung</w:t>
      </w:r>
      <w:r>
        <w:t xml:space="preserve">: Sie sagt nicht, welcher Erzeuger deckt, mit welchem Wirkungsgrad und zu welchem Preis, sondern allein, wie viel höchstens ankommen kann.</w:t>
      </w:r>
    </w:p>
    <w:p>
      <w:r>
        <w:rPr>
          <w:b/>
        </w:rPr>
        <w:t xml:space="preserve">Wo sie lebt, ist eine Architekturfrage und keine Bequemlichkeit.</w:t>
      </w:r>
      <w:r>
        <w:t xml:space="preserve"> Die neue Klasse </w:t>
      </w:r>
      <w:r>
        <w:rPr>
          <w:rFonts w:ascii="Consolas" w:hAnsi="Consolas" w:cs="Consolas"/>
          <w:b/>
          <w:noProof/>
          <w:sz w:val="20"/>
          <w:szCs w:val="20"/>
          <w:shd w:val="clear" w:color="auto" w:fill="EFEFEF"/>
        </w:rPr>
        <w:t xml:space="preserve">Anlagenfahrplan</w:t>
      </w:r>
      <w:r>
        <w:t xml:space="preserve"> liegt unter </w:t>
      </w:r>
      <w:r>
        <w:rPr>
          <w:rFonts w:ascii="Consolas" w:hAnsi="Consolas" w:cs="Consolas"/>
          <w:noProof/>
          <w:sz w:val="20"/>
          <w:szCs w:val="20"/>
          <w:shd w:val="clear" w:color="auto" w:fill="EFEFEF"/>
        </w:rPr>
        <w:t xml:space="preserve">EPOS.Kern/Allgemein/Simulation/</w:t>
      </w:r>
      <w:r>
        <w:t xml:space="preserve"> — </w:t>
      </w:r>
      <w:r>
        <w:rPr>
          <w:b/>
        </w:rPr>
        <w:t xml:space="preserve">neben</w:t>
      </w:r>
      <w:r>
        <w:t xml:space="preserve"> den Fassaden, </w:t>
      </w:r>
      <w:r>
        <w:rPr>
          <w:b/>
        </w:rPr>
        <w:t xml:space="preserve">außerhalb</w:t>
      </w:r>
      <w:r>
        <w:t xml:space="preserve"> von </w:t>
      </w:r>
      <w:r>
        <w:rPr>
          <w:rFonts w:ascii="Consolas" w:hAnsi="Consolas" w:cs="Consolas"/>
          <w:noProof/>
          <w:sz w:val="20"/>
          <w:szCs w:val="20"/>
          <w:shd w:val="clear" w:color="auto" w:fill="EFEFEF"/>
        </w:rPr>
        <w:t xml:space="preserve">Gebaeude/</w:t>
      </w:r>
      <w:r>
        <w:t xml:space="preserve"> </w:t>
      </w:r>
      <w:r>
        <w:rPr>
          <w:b/>
        </w:rPr>
        <w:t xml:space="preserve">und</w:t>
      </w:r>
      <w:r>
        <w:t xml:space="preserve"> von </w:t>
      </w:r>
      <w:r>
        <w:rPr>
          <w:rFonts w:ascii="Consolas" w:hAnsi="Consolas" w:cs="Consolas"/>
          <w:noProof/>
          <w:sz w:val="20"/>
          <w:szCs w:val="20"/>
          <w:shd w:val="clear" w:color="auto" w:fill="EFEFEF"/>
        </w:rPr>
        <w:t xml:space="preserve">Altweg/</w:t>
      </w:r>
      <w:r>
        <w:t xml:space="preserve">: Sie liest Anlagendaten, und </w:t>
      </w:r>
      <w:r>
        <w:rPr>
          <w:rFonts w:ascii="Consolas" w:hAnsi="Consolas" w:cs="Consolas"/>
          <w:noProof/>
          <w:sz w:val="20"/>
          <w:szCs w:val="20"/>
          <w:shd w:val="clear" w:color="auto" w:fill="EFEFEF"/>
        </w:rPr>
        <w:t xml:space="preserve">Gebaeude/</w:t>
      </w:r>
      <w:r>
        <w:t xml:space="preserve"> darf keine Anlagendaten lesen, so wie es keine Altweg-Daten liest. Das Modul bekommt die fertige Reihe als Teil des Stundenrand-Vertrags, genau wie Klima und Sollwert. Die </w:t>
      </w:r>
      <w:r>
        <w:rPr>
          <w:rFonts w:ascii="Consolas" w:hAnsi="Consolas" w:cs="Consolas"/>
          <w:b/>
          <w:noProof/>
          <w:sz w:val="20"/>
          <w:szCs w:val="20"/>
          <w:shd w:val="clear" w:color="auto" w:fill="EFEFEF"/>
        </w:rPr>
        <w:t xml:space="preserve">Modultrennungswache</w:t>
      </w:r>
      <w:r>
        <w:rPr>
          <w:b/>
        </w:rPr>
        <w:t xml:space="preserve"> bleibt unberührt</w:t>
      </w:r>
      <w:r>
        <w:t xml:space="preserve"> und bekommt eine Zeile mehr — sie gehört in denselben Merge wie AK2. Ein zweiter Verzweigungspunkt entsteht nicht. Der Fahrplan läuft </w:t>
      </w:r>
      <w:r>
        <w:rPr>
          <w:b/>
        </w:rPr>
        <w:t xml:space="preserve">einmal je Projekt</w:t>
      </w:r>
      <w:r>
        <w:t xml:space="preserve">, weil die Erzeuger dem Projekt gehören; bei mehreren Gebäuden wird die Verfügbarkeit </w:t>
      </w:r>
      <w:r>
        <w:rPr>
          <w:b/>
        </w:rPr>
        <w:t xml:space="preserve">proportional zum unbegrenzten Bedarf der Stunde</w:t>
      </w:r>
      <w:r>
        <w:t xml:space="preserve"> verteilt — nach dem Muster der Netzverlustverteilung, weil eine Reihenfolge nach Gebäude nicht determinierbar wäre.</w:t>
      </w:r>
    </w:p>
    <w:p>
      <w:r>
        <w:rPr>
          <w:b/>
        </w:rPr>
        <w:t xml:space="preserve">In AK2 rechnet der Fahrplan als Profilweg</w:t>
      </w:r>
      <w:r>
        <w:t xml:space="preserve"> — die 8 760 Verfügbarkeiten entstehen </w:t>
      </w:r>
      <w:r>
        <w:rPr>
          <w:b/>
        </w:rPr>
        <w:t xml:space="preserve">vorab</w:t>
      </w:r>
      <w:r>
        <w:t xml:space="preserve">, ohne Ladezustand je Stunde, aber </w:t>
      </w:r>
      <w:r>
        <w:rPr>
          <w:b/>
        </w:rPr>
        <w:t xml:space="preserve">mit</w:t>
      </w:r>
      <w:r>
        <w:t xml:space="preserve"> dem Speicher als </w:t>
      </w:r>
      <w:r>
        <w:rPr>
          <w:b/>
        </w:rPr>
        <w:t xml:space="preserve">Vorrat über die Sperrdauer</w:t>
      </w:r>
      <w:r>
        <w:t xml:space="preserve">. Damit ist die Aussage „eine zweistündige Sperrzeit ist durch den Speicher gedeckt, eine achtstündige nicht" möglich, ohne den Kreis zu schließen. Die Näherung ist benannt und steht im Bericht: Der Speicher füllt sich in der Deckungsrechnung so, als hätte er den ursprünglichen Bedarf gedeckt — </w:t>
      </w:r>
      <w:r>
        <w:rPr>
          <w:b/>
        </w:rPr>
        <w:t xml:space="preserve">das ist der Preis des Profilwegs</w:t>
      </w:r>
      <w:r>
        <w:t xml:space="preserve">, und die echte Kopplung ist AK3.</w:t>
      </w:r>
    </w:p>
    <w:p>
      <w:r>
        <w:rPr>
          <w:b/>
        </w:rPr>
        <w:t xml:space="preserve">Unterdeckung wird zur Komfortstunde — die eine neue Aussage dieses Vorhabens.</w:t>
      </w:r>
      <w:r>
        <w:t xml:space="preserve"> Heute ist ein nicht gedeckter Bedarf eine Kilowattstunde, die niemand liefert; mit AK2 ist er eine </w:t>
      </w:r>
      <w:r>
        <w:rPr>
          <w:b/>
        </w:rPr>
        <w:t xml:space="preserve">Raumtemperatur, die unter den Sollwert fällt</w:t>
      </w:r>
      <w:r>
        <w:t xml:space="preserve">. Gezählt werden </w:t>
      </w:r>
      <w:r>
        <w:rPr>
          <w:b/>
        </w:rPr>
        <w:t xml:space="preserve">drei Zahlen, nicht eine</w:t>
      </w:r>
      <w:r>
        <w:t xml:space="preserve">: Unterschreitungsstunden, </w:t>
      </w:r>
      <w:r>
        <w:rPr>
          <w:b/>
        </w:rPr>
        <w:t xml:space="preserve">Kelvinstunden</w:t>
      </w:r>
      <w:r>
        <w:t xml:space="preserve"> und die </w:t>
      </w:r>
      <w:r>
        <w:rPr>
          <w:b/>
        </w:rPr>
        <w:t xml:space="preserve">längste zusammenhängende Strecke</w:t>
      </w:r>
      <w:r>
        <w:t xml:space="preserve">, jeweils nur </w:t>
      </w:r>
      <w:r>
        <w:rPr>
          <w:b/>
        </w:rPr>
        <w:t xml:space="preserve">in der Nutzungszeit</w:t>
      </w:r>
      <w:r>
        <w:t xml:space="preserve"> und erst oberhalb einer Schwelle (EPOS-Vorgabe 1,0 K) — ohne Schwelle zählte jede numerische Kleinigkeit als Komfortverlust. Die Stundenzahl allein verschweigt die Schwere, die Kelvinstunden allein die Verteilung. </w:t>
      </w:r>
      <w:r>
        <w:rPr>
          <w:b/>
        </w:rPr>
        <w:t xml:space="preserve">Und der Restbedarf verschwindet nicht:</w:t>
      </w:r>
      <w:r>
        <w:t xml:space="preserve"> Mit aktiver Kopplung ist ein Teil der heutigen Unterdeckung keine Unterdeckung mehr, sondern eine gesunkene Raumtemperatur — eine </w:t>
      </w:r>
      <w:r>
        <w:rPr>
          <w:b/>
        </w:rPr>
        <w:t xml:space="preserve">Verschiebung zwischen zwei Kennzahlen</w:t>
      </w:r>
      <w:r>
        <w:t xml:space="preserve">. Deshalb die Regel: Wo Komfortstunden stehen, steht der Restbedarf daneben, und umgekehrt.</w:t>
      </w:r>
    </w:p>
    <w:p>
      <w:pPr>
        <w:pStyle w:val="Heading2"/>
      </w:pPr>
      <w:r>
        <w:t xml:space="preserve">8b.5 Das Kopplungsschema je Stufe im Bild</w:t>
      </w:r>
    </w:p>
    <w:p>
      <w:pPr>
        <w:pStyle w:val="Diagrammbild"/>
      </w:pPr>
      <w:r>
        <w:drawing>
          <wp:inline xmlns:wp="http://schemas.openxmlformats.org/drawingml/2006/wordprocessingDrawing" distT="0" distB="0" distL="0" distR="0">
            <wp:extent cx="6120130" cy="7145252"/>
            <wp:effectExtent l="0" t="0" r="0" b="0"/>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13.png"/>
                    <pic:cNvPicPr/>
                  </pic:nvPicPr>
                  <pic:blipFill>
                    <a:blip xmlns:r="http://schemas.openxmlformats.org/officeDocument/2006/relationships" r:embed="Rf00f4773175b4330"/>
                    <a:stretch>
                      <a:fillRect/>
                    </a:stretch>
                  </pic:blipFill>
                  <pic:spPr>
                    <a:xfrm>
                      <a:off x="0" y="0"/>
                      <a:ext cx="6120130" cy="7145252"/>
                    </a:xfrm>
                    <a:prstGeom prst="rect">
                      <a:avLst/>
                    </a:prstGeom>
                  </pic:spPr>
                </pic:pic>
              </a:graphicData>
            </a:graphic>
          </wp:inline>
        </w:drawing>
      </w:r>
    </w:p>
    <w:p>
      <w:pPr>
        <w:pStyle w:val="Bildunterschrift"/>
      </w:pPr>
      <w:r>
        <w:rPr>
          <w:i/>
          <w:iCs/>
        </w:rPr>
        <w:t xml:space="preserve">Bild 13: 8b.5 Das Kopplungsschema je Stufe im Bild</w:t>
      </w:r>
    </w:p>
    <w:p>
      <w:r>
        <w:rPr>
          <w:b/>
        </w:rPr>
        <w:t xml:space="preserve">Die durchgezogenen Pfeile sind AK1 und AK2, der gestrichelte ist AK3</w:t>
      </w:r>
      <w:r>
        <w:t xml:space="preserve"> — und er ist der teuerste Strich dieses Kapitels: Mit ihm gilt „erst Bedarf, dann Deckung" nicht mehr, beide rechnen je Stunde und mehrfach. Das Muster dafür ist nicht neu, es ist das der Zonenkopplung aus ADR-005 und wird Zeichen für Zeichen übernommen: Gauß-Seidel innerhalb der Stunde, </w:t>
      </w:r>
      <w:r>
        <w:rPr>
          <w:b/>
        </w:rPr>
        <w:t xml:space="preserve">feste Reihenfolge</w:t>
      </w:r>
      <w:r>
        <w:t xml:space="preserve"> Gebäude → Kaskade → Speicher, drei Abbruchmaße (Raumlufttemperatur, Heizlast und zusätzlich der Vorlauf), Höchstzahl </w:t>
      </w:r>
      <w:r>
        <w:rPr>
          <w:b/>
        </w:rPr>
        <w:t xml:space="preserve">20</w:t>
      </w:r>
      <w:r>
        <w:t xml:space="preserve"> statt 50 und danach ein </w:t>
      </w:r>
      <w:r>
        <w:rPr>
          <w:b/>
        </w:rPr>
        <w:t xml:space="preserve">benannter Fehler</w:t>
      </w:r>
      <w:r>
        <w:t xml:space="preserve"> mit Gebäude, Stunde und Beteiligten. Die niedrigere Höchstzahl hat einen Grund: Die Anlagenkopplung iteriert über Temperatur </w:t>
      </w:r>
      <w:r>
        <w:rPr>
          <w:b/>
        </w:rPr>
        <w:t xml:space="preserve">und</w:t>
      </w:r>
      <w:r>
        <w:t xml:space="preserve"> Leistung, und die Leistungsseite enthält Sprünge — </w:t>
      </w:r>
      <w:r>
        <w:rPr>
          <w:b/>
        </w:rPr>
        <w:t xml:space="preserve">früh scheitern und benennen</w:t>
      </w:r>
      <w:r>
        <w:t xml:space="preserve"> ist besser als spät scheitern.</w:t>
      </w:r>
    </w:p>
    <w:p>
      <w:r>
        <w:rPr>
          <w:b/>
        </w:rPr>
        <w:t xml:space="preserve">Was nichts davon berührt.</w:t>
      </w:r>
      <w:r>
        <w:t xml:space="preserve"> Der </w:t>
      </w:r>
      <w:r>
        <w:rPr>
          <w:b/>
        </w:rPr>
        <w:t xml:space="preserve">Altweg</w:t>
      </w:r>
      <w:r>
        <w:t xml:space="preserve"> bekommt keine Zeile — er bleibt dauerhaft ohne Kopplung, und seine Gebäude gehen als </w:t>
      </w:r>
      <w:r>
        <w:rPr>
          <w:b/>
        </w:rPr>
        <w:t xml:space="preserve">feste Last</w:t>
      </w:r>
      <w:r>
        <w:t xml:space="preserve"> in die Deckung ein (E23). Die </w:t>
      </w:r>
      <w:r>
        <w:rPr>
          <w:b/>
        </w:rPr>
        <w:t xml:space="preserve">Kanalarchitektur</w:t>
      </w:r>
      <w:r>
        <w:t xml:space="preserve"> bleibt unangetastet: kein fünfter Kanal, keine neue Kanalliste, keine Änderung an Kanalsumme oder Kanalzahl — die Anlagenkopplung verändert </w:t>
      </w:r>
      <w:r>
        <w:rPr>
          <w:b/>
        </w:rPr>
        <w:t xml:space="preserve">Werte</w:t>
      </w:r>
      <w:r>
        <w:t xml:space="preserve"> in bestehenden Kanälen, keine Struktur, und der teuerste Fehler des Kühlvorhabens kann sich hier nicht wiederholen. Die </w:t>
      </w:r>
      <w:r>
        <w:rPr>
          <w:b/>
        </w:rPr>
        <w:t xml:space="preserve">Deckungsrechnung</w:t>
      </w:r>
      <w:r>
        <w:t xml:space="preserve"> bleibt in AK1 und AK2 wörtlich; erst AK3 fasst sie an. </w:t>
      </w:r>
      <w:r>
        <w:rPr>
          <w:b/>
        </w:rPr>
        <w:t xml:space="preserve">Brauchwasser und Prozesswärme</w:t>
      </w:r>
      <w:r>
        <w:t xml:space="preserve"> haben keine Raumtemperatur und keine Übergabe — eine Vorlaufabhängigkeit der Brauchwasserbereitung wird benannt abgelehnt.</w:t>
      </w:r>
    </w:p>
    <w:p>
      <w:pPr>
        <w:pStyle w:val="Heading2"/>
      </w:pPr>
      <w:r>
        <w:t xml:space="preserve">8b.6 Datenmodell, Dialogführung und Kälteseite</w:t>
      </w:r>
    </w:p>
    <w:p>
      <w:r>
        <w:t xml:space="preserve">Die Schemaschritte tragen </w:t>
      </w:r>
      <w:r>
        <w:rPr>
          <w:b/>
        </w:rPr>
        <w:t xml:space="preserve">Papiernamen</w:t>
      </w:r>
      <w:r>
        <w:t xml:space="preserve">; die Nummer vergibt der Schritt bei seiner Beauftragung (Frage A11). Für alle Spalten gilt ohne Ausnahme: </w:t>
      </w:r>
      <w:r>
        <w:rPr>
          <w:rFonts w:ascii="Consolas" w:hAnsi="Consolas" w:cs="Consolas"/>
          <w:noProof/>
          <w:sz w:val="20"/>
          <w:szCs w:val="20"/>
          <w:shd w:val="clear" w:color="auto" w:fill="EFEFEF"/>
        </w:rPr>
        <w:t xml:space="preserve">STRICT</w:t>
      </w:r>
      <w:r>
        <w:t xml:space="preserve">, Beziehungen über IDs, Boolean als 0/1 mit </w:t>
      </w:r>
      <w:r>
        <w:rPr>
          <w:rFonts w:ascii="Consolas" w:hAnsi="Consolas" w:cs="Consolas"/>
          <w:noProof/>
          <w:sz w:val="20"/>
          <w:szCs w:val="20"/>
          <w:shd w:val="clear" w:color="auto" w:fill="EFEFEF"/>
        </w:rPr>
        <w:t xml:space="preserve">CHECK</w:t>
      </w:r>
      <w:r>
        <w:t xml:space="preserve">, </w:t>
      </w:r>
      <w:r>
        <w:rPr>
          <w:b/>
        </w:rPr>
        <w:t xml:space="preserve">kein DDL-DEFAULT auf einem Fachwert</w:t>
      </w:r>
      <w:r>
        <w:t xml:space="preserve"> — </w:t>
      </w:r>
      <w:r>
        <w:rPr>
          <w:b/>
        </w:rPr>
        <w:t xml:space="preserve">NULL ist die Vorgabe</w:t>
      </w:r>
      <w:r>
        <w:t xml:space="preserve">. Jede Gebäudespalte entsteht in </w:t>
      </w:r>
      <w:r>
        <w:rPr>
          <w:rFonts w:ascii="Consolas" w:hAnsi="Consolas" w:cs="Consolas"/>
          <w:noProof/>
          <w:sz w:val="20"/>
          <w:szCs w:val="20"/>
          <w:shd w:val="clear" w:color="auto" w:fill="EFEFEF"/>
        </w:rPr>
        <w:t xml:space="preserve">Tab_Gebaeude</w:t>
      </w:r>
      <w:r>
        <w:t xml:space="preserve"> </w:t>
      </w:r>
      <w:r>
        <w:rPr>
          <w:b/>
        </w:rPr>
        <w:t xml:space="preserve">und</w:t>
      </w:r>
      <w:r>
        <w:t xml:space="preserve"> </w:t>
      </w:r>
      <w:r>
        <w:rPr>
          <w:rFonts w:ascii="Consolas" w:hAnsi="Consolas" w:cs="Consolas"/>
          <w:noProof/>
          <w:sz w:val="20"/>
          <w:szCs w:val="20"/>
          <w:shd w:val="clear" w:color="auto" w:fill="EFEFEF"/>
        </w:rPr>
        <w:t xml:space="preserve">Tab_Gebaeude_STAMM</w:t>
      </w:r>
      <w:r>
        <w:t xml:space="preserve">, sonst verliert die Katalogübernahme die Einstellung.</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Schritt</w:t>
            </w:r>
          </w:p>
        </w:tc>
        <w:tc>
          <w:tcPr>
            <w:tcW w:w="0" w:type="auto"/>
            <w:shd w:val="clear" w:color="auto" w:fill="D9D9D9"/>
          </w:tcPr>
          <w:p>
            <w:pPr>
              <w:spacing w:after="0" w:line="240" w:lineRule="auto"/>
              <w:rPr>
                <w:b/>
              </w:rPr>
            </w:pPr>
            <w:r>
              <w:rPr>
                <w:b/>
              </w:rPr>
              <w:t xml:space="preserve">Umfang</w:t>
            </w:r>
          </w:p>
        </w:tc>
        <w:tc>
          <w:tcPr>
            <w:tcW w:w="0" w:type="auto"/>
            <w:shd w:val="clear" w:color="auto" w:fill="D9D9D9"/>
          </w:tcPr>
          <w:p>
            <w:pPr>
              <w:spacing w:after="0" w:line="240" w:lineRule="auto"/>
              <w:rPr>
                <w:b/>
              </w:rPr>
            </w:pPr>
            <w:r>
              <w:rPr>
                <w:b/>
              </w:rPr>
              <w:t xml:space="preserve">Inhalt</w:t>
            </w:r>
          </w:p>
        </w:tc>
        <w:tc>
          <w:tcPr>
            <w:tcW w:w="0" w:type="auto"/>
            <w:shd w:val="clear" w:color="auto" w:fill="D9D9D9"/>
          </w:tcPr>
          <w:p>
            <w:pPr>
              <w:spacing w:after="0" w:line="240" w:lineRule="auto"/>
              <w:rPr>
                <w:b/>
              </w:rPr>
            </w:pPr>
            <w:r>
              <w:rPr>
                <w:b/>
              </w:rPr>
              <w:t xml:space="preserve">Stufe</w:t>
            </w:r>
          </w:p>
        </w:tc>
      </w:tr>
      <w:tr>
        <w:tc>
          <w:tcPr>
            <w:tcW w:w="0" w:type="auto"/>
          </w:tcPr>
          <w:p>
            <w:pPr>
              <w:spacing w:after="0" w:line="240" w:lineRule="auto"/>
            </w:pPr>
            <w:r>
              <w:rPr>
                <w:b/>
              </w:rPr>
              <w:t xml:space="preserve">AK-S1</w:t>
            </w:r>
          </w:p>
        </w:tc>
        <w:tc>
          <w:tcPr>
            <w:tcW w:w="0" w:type="auto"/>
          </w:tcPr>
          <w:p>
            <w:pPr>
              <w:spacing w:after="0" w:line="240" w:lineRule="auto"/>
            </w:pPr>
            <w:r>
              <w:rPr>
                <w:b/>
              </w:rPr>
              <w:t xml:space="preserve">13 Spalten je Gebäudetabelle</w:t>
            </w:r>
            <w:r>
              <w:t xml:space="preserve">, also 26 </w:t>
            </w:r>
            <w:r>
              <w:rPr>
                <w:rFonts w:ascii="Consolas" w:hAnsi="Consolas" w:cs="Consolas"/>
                <w:noProof/>
                <w:sz w:val="20"/>
                <w:szCs w:val="20"/>
                <w:shd w:val="clear" w:color="auto" w:fill="EFEFEF"/>
              </w:rPr>
              <w:t xml:space="preserve">SchemaSpalte</w:t>
            </w:r>
            <w:r>
              <w:t xml:space="preserve">-Einträge; dieselben Spalten in </w:t>
            </w:r>
            <w:r>
              <w:rPr>
                <w:rFonts w:ascii="Consolas" w:hAnsi="Consolas" w:cs="Consolas"/>
                <w:noProof/>
                <w:sz w:val="20"/>
                <w:szCs w:val="20"/>
                <w:shd w:val="clear" w:color="auto" w:fill="EFEFEF"/>
              </w:rPr>
              <w:t xml:space="preserve">Tab_Zone</w:t>
            </w:r>
            <w:r>
              <w:t xml:space="preserve">, sobald es sie gibt (G6)</w:t>
            </w:r>
          </w:p>
        </w:tc>
        <w:tc>
          <w:tcPr>
            <w:tcW w:w="0" w:type="auto"/>
          </w:tcPr>
          <w:p>
            <w:pPr>
              <w:spacing w:after="0" w:line="240" w:lineRule="auto"/>
            </w:pPr>
            <w:r>
              <w:t xml:space="preserve">Schalter </w:t>
            </w:r>
            <w:r>
              <w:rPr>
                <w:rFonts w:ascii="Consolas" w:hAnsi="Consolas" w:cs="Consolas"/>
                <w:noProof/>
                <w:sz w:val="20"/>
                <w:szCs w:val="20"/>
                <w:shd w:val="clear" w:color="auto" w:fill="EFEFEF"/>
              </w:rPr>
              <w:t xml:space="preserve">Heizkreis_Aktiv</w:t>
            </w:r>
            <w:r>
              <w:t xml:space="preserve">, Übergabeart und Exponent, Nennleistung der Übergabe, Auslegungspunkt (Vorlauf, Rücklauf, Raum- und Außentemperatur), Heizkurve (Schalter, Niveau, Steilheit), Proportionalband (Schnellwahl 0,5 / 1 / 2 K oder frei, E25), Sollwertprofil mit 168 Wochenwerten</w:t>
            </w:r>
          </w:p>
        </w:tc>
        <w:tc>
          <w:tcPr>
            <w:tcW w:w="0" w:type="auto"/>
          </w:tcPr>
          <w:p>
            <w:pPr>
              <w:spacing w:after="0" w:line="240" w:lineRule="auto"/>
            </w:pPr>
            <w:r>
              <w:t xml:space="preserve">AK1</w:t>
            </w:r>
          </w:p>
        </w:tc>
      </w:tr>
      <w:tr>
        <w:tc>
          <w:tcPr>
            <w:tcW w:w="0" w:type="auto"/>
          </w:tcPr>
          <w:p>
            <w:pPr>
              <w:spacing w:after="0" w:line="240" w:lineRule="auto"/>
            </w:pPr>
            <w:r>
              <w:rPr>
                <w:b/>
              </w:rPr>
              <w:t xml:space="preserve">AK-S2</w:t>
            </w:r>
          </w:p>
        </w:tc>
        <w:tc>
          <w:tcPr>
            <w:tcW w:w="0" w:type="auto"/>
          </w:tcPr>
          <w:p>
            <w:pPr>
              <w:spacing w:after="0" w:line="240" w:lineRule="auto"/>
            </w:pPr>
            <w:r>
              <w:rPr>
                <w:b/>
              </w:rPr>
              <w:t xml:space="preserve">2 Spalten</w:t>
            </w:r>
            <w:r>
              <w:t xml:space="preserve"> in </w:t>
            </w:r>
            <w:r>
              <w:rPr>
                <w:rFonts w:ascii="Consolas" w:hAnsi="Consolas" w:cs="Consolas"/>
                <w:noProof/>
                <w:sz w:val="20"/>
                <w:szCs w:val="20"/>
                <w:shd w:val="clear" w:color="auto" w:fill="EFEFEF"/>
              </w:rPr>
              <w:t xml:space="preserve">Tab_Energieanlagen</w:t>
            </w:r>
            <w:r>
              <w:t xml:space="preserve"> — reine Projekttabelle, also zwei Einträge, nicht vier</w:t>
            </w:r>
          </w:p>
        </w:tc>
        <w:tc>
          <w:tcPr>
            <w:tcW w:w="0" w:type="auto"/>
          </w:tcPr>
          <w:p>
            <w:pPr>
              <w:spacing w:after="0" w:line="240" w:lineRule="auto"/>
            </w:pPr>
            <w:r>
              <w:t xml:space="preserve">Zeitprogramm mit 168 Verfügbarkeitsfaktoren und höchster angebotener Vorlauf. </w:t>
            </w:r>
            <w:r>
              <w:rPr>
                <w:b/>
              </w:rPr>
              <w:t xml:space="preserve">Sperrzeitfelder bleiben wörtlich</w:t>
            </w:r>
            <w:r>
              <w:t xml:space="preserve"> (sie gehen dem Zeitprogramm vor), </w:t>
            </w:r>
            <w:r>
              <w:rPr>
                <w:rFonts w:ascii="Consolas" w:hAnsi="Consolas" w:cs="Consolas"/>
                <w:noProof/>
                <w:sz w:val="20"/>
                <w:szCs w:val="20"/>
                <w:shd w:val="clear" w:color="auto" w:fill="EFEFEF"/>
              </w:rPr>
              <w:t xml:space="preserve">Nutzungszeit</w:t>
            </w:r>
            <w:r>
              <w:t xml:space="preserve"> bleibt wirkungslos, </w:t>
            </w:r>
            <w:r>
              <w:rPr>
                <w:b/>
              </w:rPr>
              <w:t xml:space="preserve">keine Profiltabelle</w:t>
            </w:r>
          </w:p>
        </w:tc>
        <w:tc>
          <w:tcPr>
            <w:tcW w:w="0" w:type="auto"/>
          </w:tcPr>
          <w:p>
            <w:pPr>
              <w:spacing w:after="0" w:line="240" w:lineRule="auto"/>
            </w:pPr>
            <w:r>
              <w:t xml:space="preserve">AK2</w:t>
            </w:r>
          </w:p>
        </w:tc>
      </w:tr>
      <w:tr>
        <w:tc>
          <w:tcPr>
            <w:tcW w:w="0" w:type="auto"/>
          </w:tcPr>
          <w:p>
            <w:pPr>
              <w:spacing w:after="0" w:line="240" w:lineRule="auto"/>
            </w:pPr>
            <w:r>
              <w:rPr>
                <w:b/>
              </w:rPr>
              <w:t xml:space="preserve">AK-S3</w:t>
            </w:r>
          </w:p>
        </w:tc>
        <w:tc>
          <w:tcPr>
            <w:tcW w:w="0" w:type="auto"/>
          </w:tcPr>
          <w:p>
            <w:pPr>
              <w:spacing w:after="0" w:line="240" w:lineRule="auto"/>
            </w:pPr>
            <w:r>
              <w:rPr>
                <w:b/>
              </w:rPr>
              <w:t xml:space="preserve">7 Ergebnisspalten</w:t>
            </w:r>
            <w:r>
              <w:t xml:space="preserve"> in </w:t>
            </w:r>
            <w:r>
              <w:rPr>
                <w:rFonts w:ascii="Consolas" w:hAnsi="Consolas" w:cs="Consolas"/>
                <w:noProof/>
                <w:sz w:val="20"/>
                <w:szCs w:val="20"/>
                <w:shd w:val="clear" w:color="auto" w:fill="EFEFEF"/>
              </w:rPr>
              <w:t xml:space="preserve">Tab_ErgebnisEnergiebedarf</w:t>
            </w:r>
            <w:r>
              <w:t xml:space="preserve"> — drei mit AK1, vier mit AK2; dazu drei Gegenstücke der Kälteseite</w:t>
            </w:r>
          </w:p>
        </w:tc>
        <w:tc>
          <w:tcPr>
            <w:tcW w:w="0" w:type="auto"/>
          </w:tcPr>
          <w:p>
            <w:pPr>
              <w:spacing w:after="0" w:line="240" w:lineRule="auto"/>
            </w:pPr>
            <w:r>
              <w:t xml:space="preserve">Vorlauf- und Rücklaufmittel, Stunden mit begrenzter Übergabe; Komfort-Unterschreitungsstunden, Kelvinstunden, längste Strecke, Stunden mit begrenzendem Fahrplan</w:t>
            </w:r>
          </w:p>
        </w:tc>
        <w:tc>
          <w:tcPr>
            <w:tcW w:w="0" w:type="auto"/>
          </w:tcPr>
          <w:p>
            <w:pPr>
              <w:spacing w:after="0" w:line="240" w:lineRule="auto"/>
            </w:pPr>
            <w:r>
              <w:t xml:space="preserve">AK1, AK2</w:t>
            </w:r>
          </w:p>
        </w:tc>
      </w:tr>
    </w:tbl>
    <w:p>
      <w:pPr>
        <w:spacing w:after="120"/>
      </w:pPr>
    </w:p>
    <w:p>
      <w:r>
        <w:rPr>
          <w:b/>
        </w:rPr>
        <w:t xml:space="preserve">Die Reihen bleiben draußen.</w:t>
      </w:r>
      <w:r>
        <w:t xml:space="preserve"> Die 8 760 Werte je Reihe gehören nicht in die Datenbank; sie reisen </w:t>
      </w:r>
      <w:r>
        <w:rPr>
          <w:b/>
        </w:rPr>
        <w:t xml:space="preserve">bedingt</w:t>
      </w:r>
      <w:r>
        <w:t xml:space="preserve"> über den Referenzlauf-Export — Vorlauf, Rücklauf und Übergabe je Gebäude mit aktivem Heizkreis. </w:t>
      </w:r>
      <w:r>
        <w:rPr>
          <w:b/>
        </w:rPr>
        <w:t xml:space="preserve">Vier Werte fehlen einem Bestandsgebäude, und alle vier werden hergeleitet, nicht geraten:</w:t>
      </w:r>
      <w:r>
        <w:t xml:space="preserve"> die Auslegungs-Außentemperatur als kältestes Tagesmittel der Klimareihe des Projekts, die Nennleistung der Übergabe als </w:t>
      </w:r>
      <w:r>
        <w:rPr>
          <w:b/>
        </w:rPr>
        <w:t xml:space="preserve">gerechnete</w:t>
      </w:r>
      <w:r>
        <w:t xml:space="preserve"> stationäre Auslegungslast des vorhandenen Lösers, Auslegungsvorlauf und ‑rücklauf sowie der Exponent als Vorgaben der Übergabeart. </w:t>
      </w:r>
      <w:r>
        <w:rPr>
          <w:b/>
        </w:rPr>
        <w:t xml:space="preserve">Jede Herleitung steht im Dialog als Zahl, nicht als Wort</w:t>
      </w:r>
      <w:r>
        <w:t xml:space="preserve"> — „Vorgabe der Art" ohne die 1,30 daneben ist keine Auskunft. Die hergeleitete Auslegungslast ist ausdrücklich </w:t>
      </w:r>
      <w:r>
        <w:rPr>
          <w:b/>
        </w:rPr>
        <w:t xml:space="preserve">kein Normnachweis</w:t>
      </w:r>
      <w:r>
        <w:t xml:space="preserve">: keine Heizlastberechnung, keine Zuschläge, keine raumweise Rechnung. </w:t>
      </w:r>
      <w:r>
        <w:rPr>
          <w:b/>
        </w:rPr>
        <w:t xml:space="preserve">Zwei Fallen gehören dazu:</w:t>
      </w:r>
      <w:r>
        <w:t xml:space="preserve"> der </w:t>
      </w:r>
      <w:r>
        <w:rPr>
          <w:b/>
        </w:rPr>
        <w:t xml:space="preserve">Sichtneubau</w:t>
      </w:r>
      <w:r>
        <w:t xml:space="preserve"> der Projektgebäude-Sicht (SQLite kennt kein </w:t>
      </w:r>
      <w:r>
        <w:rPr>
          <w:rFonts w:ascii="Consolas" w:hAnsi="Consolas" w:cs="Consolas"/>
          <w:noProof/>
          <w:sz w:val="20"/>
          <w:szCs w:val="20"/>
          <w:shd w:val="clear" w:color="auto" w:fill="EFEFEF"/>
        </w:rPr>
        <w:t xml:space="preserve">ALTER VIEW</w:t>
      </w:r>
      <w:r>
        <w:t xml:space="preserve">) und die </w:t>
      </w:r>
      <w:r>
        <w:rPr>
          <w:b/>
        </w:rPr>
        <w:t xml:space="preserve">NULL-erhaltende Katalogkopie</w:t>
      </w:r>
      <w:r>
        <w:t xml:space="preserve"> — sonst wird aus „NULL = Vorgabe der Übergabeart" ein Exponent 0,0, und der ist nicht falsch, sondern sinnlos.</w:t>
      </w:r>
    </w:p>
    <w:p>
      <w:r>
        <w:rPr>
          <w:b/>
        </w:rPr>
        <w:t xml:space="preserve">Dialogführung: kein neuer Maskenschlüssel.</w:t>
      </w:r>
      <w:r>
        <w:t xml:space="preserve"> Alle Felder sind Gruppen in vorhandenen Dialogen. Die Gruppe im Gebäudedialog heißt </w:t>
      </w:r>
      <w:r>
        <w:rPr>
          <w:b/>
        </w:rPr>
        <w:t xml:space="preserve">„Wärmeübergabe", nicht „Heizkreis"</w:t>
      </w:r>
      <w:r>
        <w:t xml:space="preserve"> — der Ressourcenschlüssel „Heizkreis" bezeichnet im Bestand bereits die </w:t>
      </w:r>
      <w:r>
        <w:rPr>
          <w:b/>
        </w:rPr>
        <w:t xml:space="preserve">Wärmesenke</w:t>
      </w:r>
      <w:r>
        <w:t xml:space="preserve"> des Anlagenschemas, und zwei Dinge in einem Produkt gleich zu nennen wäre der billigste vermeidbare Fehler dieses Vorhabens (</w:t>
      </w:r>
      <w:r>
        <w:rPr>
          <w:b/>
        </w:rPr>
        <w:t xml:space="preserve">H11</w:t>
      </w:r>
      <w:r>
        <w:t xml:space="preserve">). Der </w:t>
      </w:r>
      <w:r>
        <w:rPr>
          <w:b/>
        </w:rPr>
        <w:t xml:space="preserve">Wochenraster-Baustein</w:t>
      </w:r>
      <w:r>
        <w:t xml:space="preserve"> 7 × 24 entsteht </w:t>
      </w:r>
      <w:r>
        <w:rPr>
          <w:b/>
        </w:rPr>
        <w:t xml:space="preserve">einmal</w:t>
      </w:r>
      <w:r>
        <w:t xml:space="preserve"> und dient zweimal: dem Sollwertprofil des Gebäudes und dem Zeitprogramm des Erzeugers. Der Erzeugerdialog bekommt die Gruppe „Betriebszeiten" neben Sperrzeit und Priorität; die Projekteinstellung „Anlagenkopplung" führt nur die Werte, deren Stufe gebaut ist — </w:t>
      </w:r>
      <w:r>
        <w:rPr>
          <w:b/>
        </w:rPr>
        <w:t xml:space="preserve">kein Persistenzwert ohne Rechenweg</w:t>
      </w:r>
      <w:r>
        <w:t xml:space="preserve">. Der </w:t>
      </w:r>
      <w:r>
        <w:rPr>
          <w:b/>
        </w:rPr>
        <w:t xml:space="preserve">Bedarfsdialog</w:t>
      </w:r>
      <w:r>
        <w:t xml:space="preserve"> bekommt die Kacheln für Vorlauf- und Rücklaufmittel und die begrenzten Stunden, ab AK2 die drei Komfortkacheln, dazu zwei Bilder mit Gegenprobe in </w:t>
      </w:r>
      <w:r>
        <w:rPr>
          <w:rFonts w:ascii="Consolas" w:hAnsi="Consolas" w:cs="Consolas"/>
          <w:noProof/>
          <w:sz w:val="20"/>
          <w:szCs w:val="20"/>
          <w:shd w:val="clear" w:color="auto" w:fill="EFEFEF"/>
        </w:rPr>
        <w:t xml:space="preserve">Proben/ChartProben</w:t>
      </w:r>
      <w:r>
        <w:t xml:space="preserve">. Der Abweichungsvergleich führt Übergabeart und Kopplungsstufe mit, sonst sieht ein Variantenvergleich wie ein Modellwechsel aus.</w:t>
      </w:r>
    </w:p>
    <w:p>
      <w:r>
        <w:rPr>
          <w:b/>
        </w:rPr>
        <w:t xml:space="preserve">Die Kälteseite ist spiegelbildlich (E21)</w:t>
      </w:r>
      <w:r>
        <w:t xml:space="preserve"> und folgt derselben Bauvorschrift: </w:t>
      </w:r>
      <w:r>
        <w:rPr>
          <w:b/>
        </w:rPr>
        <w:t xml:space="preserve">Kühlkurve</w:t>
      </w:r>
      <w:r>
        <w:t xml:space="preserve"> statt Heizkurve (steigende Außentemperatur, sinkender Kaltwasser-Vorlauf), </w:t>
      </w:r>
      <w:r>
        <w:rPr>
          <w:b/>
        </w:rPr>
        <w:t xml:space="preserve">Kühlflächenexponent</w:t>
      </w:r>
      <w:r>
        <w:t xml:space="preserve"> als EPOS-Vorgabe je Kühlübergabeart, Strahlungsanteil, die vorhandene Kühlleistungsgrenze, </w:t>
      </w:r>
      <w:r>
        <w:rPr>
          <w:b/>
        </w:rPr>
        <w:t xml:space="preserve">Überschreitungsstunden</w:t>
      </w:r>
      <w:r>
        <w:t xml:space="preserve"> statt Unterschreitungsstunden nach demselben Schwellenprinzip, und </w:t>
      </w:r>
      <w:r>
        <w:rPr>
          <w:b/>
        </w:rPr>
        <w:t xml:space="preserve">ein</w:t>
      </w:r>
      <w:r>
        <w:t xml:space="preserve"> Fahrplan je reversibler Maschine, nicht zwei. Der </w:t>
      </w:r>
      <w:r>
        <w:rPr>
          <w:b/>
        </w:rPr>
        <w:t xml:space="preserve">Taupunkt</w:t>
      </w:r>
      <w:r>
        <w:t xml:space="preserve"> kommt ausschließlich als </w:t>
      </w:r>
      <w:r>
        <w:rPr>
          <w:b/>
        </w:rPr>
        <w:t xml:space="preserve">benannte Grenze</w:t>
      </w:r>
      <w:r>
        <w:t xml:space="preserve"> des Kaltwasser-Vorlaufs je Kühlübergabeart vor, nie als Bilanz — EPOS-Plan rechnet keine Feuchte, und der Bericht sagt, dass die Grenze eine Vorgabe ist. </w:t>
      </w:r>
      <w:r>
        <w:rPr>
          <w:b/>
        </w:rPr>
        <w:t xml:space="preserve">Drei Abweichungen von der Symmetrie sind benannt</w:t>
      </w:r>
      <w:r>
        <w:t xml:space="preserve">, und alle drei haben denselben Grund — die Kälteseite ist jünger: Ihr fehlt ein Bestands-Festwert des Vorlaufs, weshalb die </w:t>
      </w:r>
      <w:r>
        <w:rPr>
          <w:b/>
        </w:rPr>
        <w:t xml:space="preserve">Kälteseite der Kopplung KU1 und KU2 voraussetzt</w:t>
      </w:r>
      <w:r>
        <w:t xml:space="preserve"> (</w:t>
      </w:r>
      <w:r>
        <w:rPr>
          <w:b/>
        </w:rPr>
        <w:t xml:space="preserve">H9</w:t>
      </w:r>
      <w:r>
        <w:t xml:space="preserve">), während die Wärmeseite nur G2 braucht; sie hat keinen Altweg und damit keinen Hinweis auf den Bestandsweg; und Kältenetzverluste bleiben auch hier außen vor.</w:t>
      </w:r>
    </w:p>
    <w:p>
      <w:pPr>
        <w:pStyle w:val="Heading2"/>
      </w:pPr>
      <w:r>
        <w:t xml:space="preserve">8b.7 Nachweis, Referenzbasis und die Fragen H1 bis H12</w:t>
      </w:r>
    </w:p>
    <w:p>
      <w:r>
        <w:rPr>
          <w:b/>
        </w:rPr>
        <w:t xml:space="preserve">Die Normfälle bleiben unberührt.</w:t>
      </w:r>
      <w:r>
        <w:t xml:space="preserve"> Die zwölf Testbeispiele rechnen </w:t>
      </w:r>
      <w:r>
        <w:rPr>
          <w:b/>
        </w:rPr>
        <w:t xml:space="preserve">unverändert mit idealer Regelung</w:t>
      </w:r>
      <w:r>
        <w:t xml:space="preserve">, die Kopplung ist dort ausgeschaltet und bleibt es; Prüfband und Produktausweis nach </w:t>
      </w:r>
      <w:r>
        <w:rPr>
          <w:b/>
        </w:rPr>
        <w:t xml:space="preserve">E10</w:t>
      </w:r>
      <w:r>
        <w:t xml:space="preserve"> ändern sich nicht. Die Probe „unbegrenzte Übergabe" ist das einzige, was die beiden Welten verbindet, und mehr soll es nicht sein.</w:t>
      </w:r>
    </w:p>
    <w:p>
      <w:r>
        <w:rPr>
          <w:b/>
        </w:rPr>
        <w:t xml:space="preserve">Je aktivierter Stufe ein eigener Einfrierschritt</w:t>
      </w:r>
      <w:r>
        <w:t xml:space="preserve"> — daran führt kein Weg vorbei, weil jede Stufe eine </w:t>
      </w:r>
      <w:r>
        <w:rPr>
          <w:b/>
        </w:rPr>
        <w:t xml:space="preserve">neue Datei</w:t>
      </w:r>
      <w:r>
        <w:t xml:space="preserve"> im Referenzlauf-Export erzeugt: Gegen eine Datei, die nur im neuen Lauf liegt, gibt es </w:t>
      </w:r>
      <w:r>
        <w:rPr>
          <w:b/>
        </w:rPr>
        <w:t xml:space="preserve">keinen Schalter</w:t>
      </w:r>
      <w:r>
        <w:t xml:space="preserve">, sie ist FAIL. Die neuen </w:t>
      </w:r>
      <w:r>
        <w:rPr>
          <w:b/>
        </w:rPr>
        <w:t xml:space="preserve">Schlüssel</w:t>
      </w:r>
      <w:r>
        <w:t xml:space="preserve"> der Ergebnisspalten lassen sich dagegen benannt ausnehmen. Daraus folgt dieselbe Reihenfolge, die das Kühlvorhaben teuer gelernt hat: </w:t>
      </w:r>
      <w:r>
        <w:rPr>
          <w:b/>
        </w:rPr>
        <w:t xml:space="preserve">erst das Schema ohne Leser</w:t>
      </w:r>
      <w:r>
        <w:t xml:space="preserve"> (byte-gleich gegen die geltende Basis in allen alten Schlüsseln, die neuen benannt ausgenommen — </w:t>
      </w:r>
      <w:r>
        <w:rPr>
          <w:b/>
        </w:rPr>
        <w:t xml:space="preserve">geführt, nicht behauptet</w:t>
      </w:r>
      <w:r>
        <w:t xml:space="preserve">), </w:t>
      </w:r>
      <w:r>
        <w:rPr>
          <w:b/>
        </w:rPr>
        <w:t xml:space="preserve">dann die Rechnung</w:t>
      </w:r>
      <w:r>
        <w:t xml:space="preserve"> mit dem einen Referenzprojekt, das die Kopplung einschaltet, </w:t>
      </w:r>
      <w:r>
        <w:rPr>
          <w:b/>
        </w:rPr>
        <w:t xml:space="preserve">und die bedingten Reihen erst mit der Rechnung</w:t>
      </w:r>
      <w:r>
        <w:t xml:space="preserve">. Dazu gehört eine </w:t>
      </w:r>
      <w:r>
        <w:rPr>
          <w:b/>
        </w:rPr>
        <w:t xml:space="preserve">weitere Einfrierregel</w:t>
      </w:r>
      <w:r>
        <w:t xml:space="preserve"> — „gesäte Auslegungsdaten der Übergabe" — nach dem Muster der vorhandenen; ohne sie ändert die erste Saatkorrektur die Ergebnisse still. </w:t>
      </w:r>
      <w:r>
        <w:rPr>
          <w:b/>
        </w:rPr>
        <w:t xml:space="preserve">Der Nachweis liegt auf dem ubuntu-Lauf</w:t>
      </w:r>
      <w:r>
        <w:t xml:space="preserve">; ein iOS-Lauf ist für AK1 bis AK3 nicht begründet, solange keine Plattformschnittstelle, kein Prüfmodus und keine Seed-Kopie betroffen ist — der Wochenraster-Baustein wird am Gerät angesehen, wenn die Gelegenheit ohnehin besteht.</w:t>
      </w:r>
    </w:p>
    <w:p>
      <w:r>
        <w:rPr>
          <w:b/>
        </w:rPr>
        <w:t xml:space="preserve">Alle zwölf Fragen sind mit E24 entschieden</w:t>
      </w:r>
      <w:r>
        <w:t xml:space="preserve"> — sämtlich nach der Empfehlung des Papiers; die Spalte gibt den Entscheid wieder. H1 ist mit </w:t>
      </w:r>
      <w:r>
        <w:rPr>
          <w:b/>
        </w:rPr>
        <w:t xml:space="preserve">E25</w:t>
      </w:r>
      <w:r>
        <w:t xml:space="preserve"> um die Wahl des Bandes ergänzt.</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Nr.</w:t>
            </w:r>
          </w:p>
        </w:tc>
        <w:tc>
          <w:tcPr>
            <w:tcW w:w="0" w:type="auto"/>
            <w:shd w:val="clear" w:color="auto" w:fill="D9D9D9"/>
          </w:tcPr>
          <w:p>
            <w:pPr>
              <w:spacing w:after="0" w:line="240" w:lineRule="auto"/>
              <w:rPr>
                <w:b/>
              </w:rPr>
            </w:pPr>
            <w:r>
              <w:rPr>
                <w:b/>
              </w:rPr>
              <w:t xml:space="preserve">Frage in einem Satz</w:t>
            </w:r>
          </w:p>
        </w:tc>
        <w:tc>
          <w:tcPr>
            <w:tcW w:w="0" w:type="auto"/>
            <w:shd w:val="clear" w:color="auto" w:fill="D9D9D9"/>
          </w:tcPr>
          <w:p>
            <w:pPr>
              <w:spacing w:after="0" w:line="240" w:lineRule="auto"/>
              <w:rPr>
                <w:b/>
              </w:rPr>
            </w:pPr>
            <w:r>
              <w:rPr>
                <w:b/>
              </w:rPr>
              <w:t xml:space="preserve">Entscheid in einem Satz (E24)</w:t>
            </w:r>
          </w:p>
        </w:tc>
      </w:tr>
      <w:tr>
        <w:tc>
          <w:tcPr>
            <w:tcW w:w="0" w:type="auto"/>
          </w:tcPr>
          <w:p>
            <w:pPr>
              <w:spacing w:after="0" w:line="240" w:lineRule="auto"/>
            </w:pPr>
            <w:r>
              <w:rPr>
                <w:b/>
              </w:rPr>
              <w:t xml:space="preserve">H1</w:t>
            </w:r>
          </w:p>
        </w:tc>
        <w:tc>
          <w:tcPr>
            <w:tcW w:w="0" w:type="auto"/>
          </w:tcPr>
          <w:p>
            <w:pPr>
              <w:spacing w:after="0" w:line="240" w:lineRule="auto"/>
            </w:pPr>
            <w:r>
              <w:t xml:space="preserve">Reglertyp — ideale Regelung mit Grenze, P-Regler mit Proportionalband oder Zweipunkt mit Hysterese?</w:t>
            </w:r>
          </w:p>
        </w:tc>
        <w:tc>
          <w:tcPr>
            <w:tcW w:w="0" w:type="auto"/>
          </w:tcPr>
          <w:p>
            <w:pPr>
              <w:spacing w:after="0" w:line="240" w:lineRule="auto"/>
            </w:pPr>
            <w:r>
              <w:rPr>
                <w:b/>
              </w:rPr>
              <w:t xml:space="preserve">P-Regler</w:t>
            </w:r>
            <w:r>
              <w:t xml:space="preserve"> mit EPOS-Vorgabe 1 K, Band wählbar 0,5 / 1 / 2 K oder frei bis 5 K (E25): der einzige der drei, der den bitgleichen Grenzfall sauber enthält.</w:t>
            </w:r>
          </w:p>
        </w:tc>
      </w:tr>
      <w:tr>
        <w:tc>
          <w:tcPr>
            <w:tcW w:w="0" w:type="auto"/>
          </w:tcPr>
          <w:p>
            <w:pPr>
              <w:spacing w:after="0" w:line="240" w:lineRule="auto"/>
            </w:pPr>
            <w:r>
              <w:rPr>
                <w:b/>
              </w:rPr>
              <w:t xml:space="preserve">H2</w:t>
            </w:r>
          </w:p>
        </w:tc>
        <w:tc>
          <w:tcPr>
            <w:tcW w:w="0" w:type="auto"/>
          </w:tcPr>
          <w:p>
            <w:pPr>
              <w:spacing w:after="0" w:line="240" w:lineRule="auto"/>
            </w:pPr>
            <w:r>
              <w:t xml:space="preserve">Soll die gerechnete Raumtemperatur auf den Vorlauf zurückwirken — außentemperatur- oder raumgeführte Heizkurve?</w:t>
            </w:r>
          </w:p>
        </w:tc>
        <w:tc>
          <w:tcPr>
            <w:tcW w:w="0" w:type="auto"/>
          </w:tcPr>
          <w:p>
            <w:pPr>
              <w:spacing w:after="0" w:line="240" w:lineRule="auto"/>
            </w:pPr>
            <w:r>
              <w:rPr>
                <w:b/>
              </w:rPr>
              <w:t xml:space="preserve">Außentemperaturgeführt in AK1</w:t>
            </w:r>
            <w:r>
              <w:t xml:space="preserve">, die raumgeführte Korrektur gehört in AK3; sonst wäre AK1 keine Einbahnstraße mehr.</w:t>
            </w:r>
          </w:p>
        </w:tc>
      </w:tr>
      <w:tr>
        <w:tc>
          <w:tcPr>
            <w:tcW w:w="0" w:type="auto"/>
          </w:tcPr>
          <w:p>
            <w:pPr>
              <w:spacing w:after="0" w:line="240" w:lineRule="auto"/>
            </w:pPr>
            <w:r>
              <w:rPr>
                <w:b/>
              </w:rPr>
              <w:t xml:space="preserve">H3</w:t>
            </w:r>
          </w:p>
        </w:tc>
        <w:tc>
          <w:tcPr>
            <w:tcW w:w="0" w:type="auto"/>
          </w:tcPr>
          <w:p>
            <w:pPr>
              <w:spacing w:after="0" w:line="240" w:lineRule="auto"/>
            </w:pPr>
            <w:r>
              <w:t xml:space="preserve">Übergabe je Gebäude oder je Zone?</w:t>
            </w:r>
          </w:p>
        </w:tc>
        <w:tc>
          <w:tcPr>
            <w:tcW w:w="0" w:type="auto"/>
          </w:tcPr>
          <w:p>
            <w:pPr>
              <w:spacing w:after="0" w:line="240" w:lineRule="auto"/>
            </w:pPr>
            <w:r>
              <w:rPr>
                <w:b/>
              </w:rPr>
              <w:t xml:space="preserve">Je Zone ab G6, je Gebäude davor, ein Vorlauf je Gebäude</w:t>
            </w:r>
            <w:r>
              <w:t xml:space="preserve">; mehrere Heizkreise mit getrennten Kurven werden benannt abgelehnt.</w:t>
            </w:r>
          </w:p>
        </w:tc>
      </w:tr>
      <w:tr>
        <w:tc>
          <w:tcPr>
            <w:tcW w:w="0" w:type="auto"/>
          </w:tcPr>
          <w:p>
            <w:pPr>
              <w:spacing w:after="0" w:line="240" w:lineRule="auto"/>
            </w:pPr>
            <w:r>
              <w:rPr>
                <w:b/>
              </w:rPr>
              <w:t xml:space="preserve">H4</w:t>
            </w:r>
          </w:p>
        </w:tc>
        <w:tc>
          <w:tcPr>
            <w:tcW w:w="0" w:type="auto"/>
          </w:tcPr>
          <w:p>
            <w:pPr>
              <w:spacing w:after="0" w:line="240" w:lineRule="auto"/>
            </w:pPr>
            <w:r>
              <w:t xml:space="preserve">Profilweg oder echte Kopplung in AK2?</w:t>
            </w:r>
          </w:p>
        </w:tc>
        <w:tc>
          <w:tcPr>
            <w:tcW w:w="0" w:type="auto"/>
          </w:tcPr>
          <w:p>
            <w:pPr>
              <w:spacing w:after="0" w:line="240" w:lineRule="auto"/>
            </w:pPr>
            <w:r>
              <w:rPr>
                <w:b/>
              </w:rPr>
              <w:t xml:space="preserve">Profilweg</w:t>
            </w:r>
            <w:r>
              <w:t xml:space="preserve">, mit dem Speicher als Vorrat über die Sperrdauer statt als Ladezustand je Stunde — die Näherung steht im Bericht.</w:t>
            </w:r>
          </w:p>
        </w:tc>
      </w:tr>
      <w:tr>
        <w:tc>
          <w:tcPr>
            <w:tcW w:w="0" w:type="auto"/>
          </w:tcPr>
          <w:p>
            <w:pPr>
              <w:spacing w:after="0" w:line="240" w:lineRule="auto"/>
            </w:pPr>
            <w:r>
              <w:rPr>
                <w:b/>
              </w:rPr>
              <w:t xml:space="preserve">H5</w:t>
            </w:r>
          </w:p>
        </w:tc>
        <w:tc>
          <w:tcPr>
            <w:tcW w:w="0" w:type="auto"/>
          </w:tcPr>
          <w:p>
            <w:pPr>
              <w:spacing w:after="0" w:line="240" w:lineRule="auto"/>
            </w:pPr>
            <w:r>
              <w:t xml:space="preserve">Welche Schwelle und welche Zahlen tragen die Komfortstunden?</w:t>
            </w:r>
          </w:p>
        </w:tc>
        <w:tc>
          <w:tcPr>
            <w:tcW w:w="0" w:type="auto"/>
          </w:tcPr>
          <w:p>
            <w:pPr>
              <w:spacing w:after="0" w:line="240" w:lineRule="auto"/>
            </w:pPr>
            <w:r>
              <w:rPr>
                <w:b/>
              </w:rPr>
              <w:t xml:space="preserve">1,0 K Unterschreitung in der Nutzungszeit</w:t>
            </w:r>
            <w:r>
              <w:t xml:space="preserve">, dazu Kelvinstunden und die längste Strecke — drei Zahlen, nicht eine.</w:t>
            </w:r>
          </w:p>
        </w:tc>
      </w:tr>
      <w:tr>
        <w:tc>
          <w:tcPr>
            <w:tcW w:w="0" w:type="auto"/>
          </w:tcPr>
          <w:p>
            <w:pPr>
              <w:spacing w:after="0" w:line="240" w:lineRule="auto"/>
            </w:pPr>
            <w:r>
              <w:rPr>
                <w:b/>
              </w:rPr>
              <w:t xml:space="preserve">H6</w:t>
            </w:r>
          </w:p>
        </w:tc>
        <w:tc>
          <w:tcPr>
            <w:tcW w:w="0" w:type="auto"/>
          </w:tcPr>
          <w:p>
            <w:pPr>
              <w:spacing w:after="0" w:line="240" w:lineRule="auto"/>
            </w:pPr>
            <w:r>
              <w:t xml:space="preserve">Wird AK3 überhaupt gebaut?</w:t>
            </w:r>
          </w:p>
        </w:tc>
        <w:tc>
          <w:tcPr>
            <w:tcW w:w="0" w:type="auto"/>
          </w:tcPr>
          <w:p>
            <w:pPr>
              <w:spacing w:after="0" w:line="240" w:lineRule="auto"/>
            </w:pPr>
            <w:r>
              <w:rPr>
                <w:b/>
              </w:rPr>
              <w:t xml:space="preserve">Jetzt nicht entscheiden</w:t>
            </w:r>
            <w:r>
              <w:t xml:space="preserve"> — die Frage gehört nach eine Feldphase von AK1 und AK2, wenn man weiß, wie oft die Rückwirkung den Ausschlag gibt.</w:t>
            </w:r>
          </w:p>
        </w:tc>
      </w:tr>
      <w:tr>
        <w:tc>
          <w:tcPr>
            <w:tcW w:w="0" w:type="auto"/>
          </w:tcPr>
          <w:p>
            <w:pPr>
              <w:spacing w:after="0" w:line="240" w:lineRule="auto"/>
            </w:pPr>
            <w:r>
              <w:rPr>
                <w:b/>
              </w:rPr>
              <w:t xml:space="preserve">H7</w:t>
            </w:r>
          </w:p>
        </w:tc>
        <w:tc>
          <w:tcPr>
            <w:tcW w:w="0" w:type="auto"/>
          </w:tcPr>
          <w:p>
            <w:pPr>
              <w:spacing w:after="0" w:line="240" w:lineRule="auto"/>
            </w:pPr>
            <w:r>
              <w:t xml:space="preserve">Wie verträgt sich die Kopplung mit der Skalierung und der Verbrauchs-Rückrechnung nach E8, die nicht mehr proportional ist?</w:t>
            </w:r>
          </w:p>
        </w:tc>
        <w:tc>
          <w:tcPr>
            <w:tcW w:w="0" w:type="auto"/>
          </w:tcPr>
          <w:p>
            <w:pPr>
              <w:spacing w:after="0" w:line="240" w:lineRule="auto"/>
            </w:pPr>
            <w:r>
              <w:rPr>
                <w:b/>
              </w:rPr>
              <w:t xml:space="preserve">Die Kopplung wirkt in beiden Läufen der Verhältnisrechnung</w:t>
            </w:r>
            <w:r>
              <w:t xml:space="preserve">, und die Nennleistung folgt bei NULL der skalierten Auslegungslast; bei fester Nennleistung sagt es der Bericht.</w:t>
            </w:r>
          </w:p>
        </w:tc>
      </w:tr>
      <w:tr>
        <w:tc>
          <w:tcPr>
            <w:tcW w:w="0" w:type="auto"/>
          </w:tcPr>
          <w:p>
            <w:pPr>
              <w:spacing w:after="0" w:line="240" w:lineRule="auto"/>
            </w:pPr>
            <w:r>
              <w:rPr>
                <w:b/>
              </w:rPr>
              <w:t xml:space="preserve">H8</w:t>
            </w:r>
          </w:p>
        </w:tc>
        <w:tc>
          <w:tcPr>
            <w:tcW w:w="0" w:type="auto"/>
          </w:tcPr>
          <w:p>
            <w:pPr>
              <w:spacing w:after="0" w:line="240" w:lineRule="auto"/>
            </w:pPr>
            <w:r>
              <w:t xml:space="preserve">Zeitprogramm als Spalte je Gebäude und Anlage, als eigene Profiltabelle oder als Ausbau der Sperrzeitfelder?</w:t>
            </w:r>
          </w:p>
        </w:tc>
        <w:tc>
          <w:tcPr>
            <w:tcW w:w="0" w:type="auto"/>
          </w:tcPr>
          <w:p>
            <w:pPr>
              <w:spacing w:after="0" w:line="240" w:lineRule="auto"/>
            </w:pPr>
            <w:r>
              <w:rPr>
                <w:b/>
              </w:rPr>
              <w:t xml:space="preserve">Spalte mit 168 Werten</w:t>
            </w:r>
            <w:r>
              <w:t xml:space="preserve">, nach dem Muster, das der Bestand schon führt; eine Tabelle lohnt erst, wenn Profile wiederverwendbar werden sollen.</w:t>
            </w:r>
          </w:p>
        </w:tc>
      </w:tr>
      <w:tr>
        <w:tc>
          <w:tcPr>
            <w:tcW w:w="0" w:type="auto"/>
          </w:tcPr>
          <w:p>
            <w:pPr>
              <w:spacing w:after="0" w:line="240" w:lineRule="auto"/>
            </w:pPr>
            <w:r>
              <w:rPr>
                <w:b/>
              </w:rPr>
              <w:t xml:space="preserve">H9</w:t>
            </w:r>
          </w:p>
        </w:tc>
        <w:tc>
          <w:tcPr>
            <w:tcW w:w="0" w:type="auto"/>
          </w:tcPr>
          <w:p>
            <w:pPr>
              <w:spacing w:after="0" w:line="240" w:lineRule="auto"/>
            </w:pPr>
            <w:r>
              <w:t xml:space="preserve">Kommt die Kälteseite schon mit AK1 oder erst später?</w:t>
            </w:r>
          </w:p>
        </w:tc>
        <w:tc>
          <w:tcPr>
            <w:tcW w:w="0" w:type="auto"/>
          </w:tcPr>
          <w:p>
            <w:pPr>
              <w:spacing w:after="0" w:line="240" w:lineRule="auto"/>
            </w:pPr>
            <w:r>
              <w:rPr>
                <w:b/>
              </w:rPr>
              <w:t xml:space="preserve">Mit AK1, aber nur, wenn KU2 steht</w:t>
            </w:r>
            <w:r>
              <w:t xml:space="preserve">; sonst wird sie </w:t>
            </w:r>
            <w:r>
              <w:rPr>
                <w:b/>
              </w:rPr>
              <w:t xml:space="preserve">benannt vertagt</w:t>
            </w:r>
            <w:r>
              <w:t xml:space="preserve">, nicht still weggelassen.</w:t>
            </w:r>
          </w:p>
        </w:tc>
      </w:tr>
      <w:tr>
        <w:tc>
          <w:tcPr>
            <w:tcW w:w="0" w:type="auto"/>
          </w:tcPr>
          <w:p>
            <w:pPr>
              <w:spacing w:after="0" w:line="240" w:lineRule="auto"/>
            </w:pPr>
            <w:r>
              <w:rPr>
                <w:b/>
              </w:rPr>
              <w:t xml:space="preserve">H10</w:t>
            </w:r>
          </w:p>
        </w:tc>
        <w:tc>
          <w:tcPr>
            <w:tcW w:w="0" w:type="auto"/>
          </w:tcPr>
          <w:p>
            <w:pPr>
              <w:spacing w:after="0" w:line="240" w:lineRule="auto"/>
            </w:pPr>
            <w:r>
              <w:t xml:space="preserve">Auslegungs-Außentemperatur als Eingabefeld oder aus der Klimareihe hergeleitet?</w:t>
            </w:r>
          </w:p>
        </w:tc>
        <w:tc>
          <w:tcPr>
            <w:tcW w:w="0" w:type="auto"/>
          </w:tcPr>
          <w:p>
            <w:pPr>
              <w:spacing w:after="0" w:line="240" w:lineRule="auto"/>
            </w:pPr>
            <w:r>
              <w:rPr>
                <w:b/>
              </w:rPr>
              <w:t xml:space="preserve">Beides: hergeleitet als Vorgabe, Feld überschreibt</w:t>
            </w:r>
            <w:r>
              <w:t xml:space="preserve"> — eine feste Konstante wäre für jede Region dieselbe und damit falsch.</w:t>
            </w:r>
          </w:p>
        </w:tc>
      </w:tr>
      <w:tr>
        <w:tc>
          <w:tcPr>
            <w:tcW w:w="0" w:type="auto"/>
          </w:tcPr>
          <w:p>
            <w:pPr>
              <w:spacing w:after="0" w:line="240" w:lineRule="auto"/>
            </w:pPr>
            <w:r>
              <w:rPr>
                <w:b/>
              </w:rPr>
              <w:t xml:space="preserve">H11</w:t>
            </w:r>
          </w:p>
        </w:tc>
        <w:tc>
          <w:tcPr>
            <w:tcW w:w="0" w:type="auto"/>
          </w:tcPr>
          <w:p>
            <w:pPr>
              <w:spacing w:after="0" w:line="240" w:lineRule="auto"/>
            </w:pPr>
            <w:r>
              <w:t xml:space="preserve">Wie wird die Namenskollision „Heizkreis" mit der vorhandenen Wärmesenke aufgelöst?</w:t>
            </w:r>
          </w:p>
        </w:tc>
        <w:tc>
          <w:tcPr>
            <w:tcW w:w="0" w:type="auto"/>
          </w:tcPr>
          <w:p>
            <w:pPr>
              <w:spacing w:after="0" w:line="240" w:lineRule="auto"/>
            </w:pPr>
            <w:r>
              <w:rPr>
                <w:b/>
              </w:rPr>
              <w:t xml:space="preserve">Die neue Dialoggruppe heißt „Wärmeübergabe"</w:t>
            </w:r>
            <w:r>
              <w:t xml:space="preserve">, die Senke behält „Heizkreis".</w:t>
            </w:r>
          </w:p>
        </w:tc>
      </w:tr>
      <w:tr>
        <w:tc>
          <w:tcPr>
            <w:tcW w:w="0" w:type="auto"/>
          </w:tcPr>
          <w:p>
            <w:pPr>
              <w:spacing w:after="0" w:line="240" w:lineRule="auto"/>
            </w:pPr>
            <w:r>
              <w:rPr>
                <w:b/>
              </w:rPr>
              <w:t xml:space="preserve">H12</w:t>
            </w:r>
          </w:p>
        </w:tc>
        <w:tc>
          <w:tcPr>
            <w:tcW w:w="0" w:type="auto"/>
          </w:tcPr>
          <w:p>
            <w:pPr>
              <w:spacing w:after="0" w:line="240" w:lineRule="auto"/>
            </w:pPr>
            <w:r>
              <w:t xml:space="preserve">Bleibt der leere Strahlungsanteil der Heizung bei seinem heutigen Vorgabewert oder folgt er der Übergabeart?</w:t>
            </w:r>
          </w:p>
        </w:tc>
        <w:tc>
          <w:tcPr>
            <w:tcW w:w="0" w:type="auto"/>
          </w:tcPr>
          <w:p>
            <w:pPr>
              <w:spacing w:after="0" w:line="240" w:lineRule="auto"/>
            </w:pPr>
            <w:r>
              <w:rPr>
                <w:b/>
              </w:rPr>
              <w:t xml:space="preserve">Vorgabe der Übergabeart</w:t>
            </w:r>
            <w:r>
              <w:t xml:space="preserve"> — wer „Flächenheizung" wählt, hat den Strahlungsanteil gewählt; eine </w:t>
            </w:r>
            <w:r>
              <w:rPr>
                <w:b/>
              </w:rPr>
              <w:t xml:space="preserve">Bedeutungsänderung ohne Schemaänderung</w:t>
            </w:r>
            <w:r>
              <w:t xml:space="preserve">, die ins Glossar und in die Herleitungszeile gehört, nicht nur in den Code.</w:t>
            </w:r>
          </w:p>
        </w:tc>
      </w:tr>
    </w:tbl>
    <w:p>
      <w:pPr>
        <w:spacing w:after="120"/>
      </w:pPr>
    </w:p>
    <w:p>
      <w:r>
        <w:t xml:space="preserve">Daneben führt das Papier </w:t>
      </w:r>
      <w:r>
        <w:rPr>
          <w:b/>
        </w:rPr>
        <w:t xml:space="preserve">zwölf technische Festlegungen (H-F1 bis H-F12)</w:t>
      </w:r>
      <w:r>
        <w:t xml:space="preserve"> — arithmetisches Mittel der Heizmitteltemperatur, konstanter Massenstrom, Sekantenleitwert, Stützstellenwahl statt Interpolation über den Vorlauf, Reihenfolge der Grenzen mit Grund, proportionale Verteilung auf mehrere Gebäude, wirkungslose </w:t>
      </w:r>
      <w:r>
        <w:rPr>
          <w:rFonts w:ascii="Consolas" w:hAnsi="Consolas" w:cs="Consolas"/>
          <w:noProof/>
          <w:sz w:val="20"/>
          <w:szCs w:val="20"/>
          <w:shd w:val="clear" w:color="auto" w:fill="EFEFEF"/>
        </w:rPr>
        <w:t xml:space="preserve">Nutzungszeit</w:t>
      </w:r>
      <w:r>
        <w:t xml:space="preserve">, Vorrang der Sperrzeit, Höchstzahl 20 in AK3, strenger Profilparser, Taupunkt als Vorlaufgrenze und keine Heizlastberechnung nach Norm. Der Anwender hat sie mit </w:t>
      </w:r>
      <w:r>
        <w:rPr>
          <w:b/>
        </w:rPr>
        <w:t xml:space="preserve">E24</w:t>
      </w:r>
      <w:r>
        <w:t xml:space="preserve"> zur Kenntnis genommen; Widerspruch ist nicht erhoben.</w:t>
      </w:r>
    </w:p>
    <w:p>
      <w:r>
        <w:rPr>
          <w:b/>
        </w:rPr>
        <w:t xml:space="preserve">Die Fragen H1 bis H12 betrafen Zuschnitt und Technik dieses Kapitels und sind mit E24 sämtlich nach Empfehlung entschieden. Welche Stufe wann beauftragt wird, war ausdrücklich nicht darunter: Das ist Frage Q26 und steht im Gebäudekonzept, Kapitel 13</w:t>
      </w:r>
      <w:r>
        <w:t xml:space="preserve"> — und damit in Kapitel 12 dieses Papiers; sie ist die einzige, die hier offen bleibt.</w:t>
      </w:r>
    </w:p>
    <w:p>
      <w:r>
        <w:rPr>
          <w:b/>
        </w:rPr>
        <w:t xml:space="preserve">Einzelheiten:</w:t>
      </w:r>
      <w:r>
        <w:t xml:space="preserve"> </w:t>
      </w:r>
      <w:r>
        <w:rPr>
          <w:rFonts w:ascii="Consolas" w:hAnsi="Consolas" w:cs="Consolas"/>
          <w:noProof/>
          <w:sz w:val="20"/>
          <w:szCs w:val="20"/>
          <w:shd w:val="clear" w:color="auto" w:fill="EFEFEF"/>
        </w:rPr>
        <w:t xml:space="preserve">Dokumentation/aktuell/Konzept_Anlagenkopplung_Gebaeudesimulation_EPOS-Plan.md</w:t>
      </w:r>
      <w:r>
        <w:t xml:space="preserve"> (Rev. 1; Ergebnis in 0, Auftrag und Einordnung in 1, Physik in 3, Regelung und Zeitprogramm in 4, Fahrplan und Verfügbarkeit in 5, Kopplungsschema in 6, Kälteseite in 7, Datenmodell in 8, Dialoge in 9, Rechenschritt H in 10, Nachweis in 11, Stufen AK0–AK3 in 12, Fragen H1–H12 in 13, Risiken in 14, Abgrenzung in 15) sowie </w:t>
      </w:r>
      <w:r>
        <w:rPr>
          <w:rFonts w:ascii="Consolas" w:hAnsi="Consolas" w:cs="Consolas"/>
          <w:noProof/>
          <w:sz w:val="20"/>
          <w:szCs w:val="20"/>
          <w:shd w:val="clear" w:color="auto" w:fill="EFEFEF"/>
        </w:rPr>
        <w:t xml:space="preserve">Dokumentation/aktuell/Konzept_Gebaeudesimulation_VDI6007_EPOS-Plan.md</w:t>
      </w:r>
      <w:r>
        <w:t xml:space="preserve"> (Nachtrag N1.27, Frage Q26) und </w:t>
      </w:r>
      <w:r>
        <w:rPr>
          <w:rFonts w:ascii="Consolas" w:hAnsi="Consolas" w:cs="Consolas"/>
          <w:noProof/>
          <w:sz w:val="20"/>
          <w:szCs w:val="20"/>
          <w:shd w:val="clear" w:color="auto" w:fill="EFEFEF"/>
        </w:rPr>
        <w:t xml:space="preserve">Dokumentation/aktuell/ADR-005_Zonenkopplung_Mehrzonenmodell.md</w:t>
      </w:r>
      <w:r>
        <w:t xml:space="preserve"> (das Iterationsmuster, das AK3 erbt).</w:t>
      </w:r>
    </w:p>
    <w:p>
      <w:pPr>
        <w:pStyle w:val="Trennlinie"/>
      </w:pPr>
    </w:p>
    <w:p>
      <w:pPr>
        <w:pStyle w:val="Heading1"/>
      </w:pPr>
      <w:r>
        <w:t xml:space="preserve">9 Architekturentscheide</w:t>
      </w:r>
    </w:p>
    <w:p>
      <w:pPr>
        <w:pStyle w:val="Heading2"/>
      </w:pPr>
      <w:r>
        <w:t xml:space="preserve">9.1 ADR-002 — Stundenmodell als Vorgabemodell</w:t>
      </w:r>
    </w:p>
    <w:p>
      <w:r>
        <w:rPr>
          <w:b/>
        </w:rPr>
        <w:t xml:space="preserve">Status:</w:t>
      </w:r>
      <w:r>
        <w:t xml:space="preserve"> angenommen (15.09.2026, Entscheide E1, E2, E4, E8, E10), </w:t>
      </w:r>
      <w:r>
        <w:rPr>
          <w:b/>
        </w:rPr>
        <w:t xml:space="preserve">mit Ergänzungsvermerk zu E20</w:t>
      </w:r>
      <w:r>
        <w:t xml:space="preserve"> (16.09.2026): Aus der „einen Naht" wird </w:t>
      </w:r>
      <w:r>
        <w:rPr>
          <w:b/>
        </w:rPr>
        <w:t xml:space="preserve">eine Weiche am Eingang</w:t>
      </w:r>
      <w:r>
        <w:t xml:space="preserve"> hinter einem modellfreien Vorbereitungsschritt; die zwei Verzweigungspunkte der Ausarbeitung entfallen, der Tagesbilanz-Weg wird zum eigenen Modul, das nach </w:t>
      </w:r>
      <w:r>
        <w:rPr>
          <w:b/>
        </w:rPr>
        <w:t xml:space="preserve">E23</w:t>
      </w:r>
      <w:r>
        <w:t xml:space="preserve"> dauerhaft bleibt. ADR-002 bleibt im Übrigen gültig; die Einzelheiten stehen in ADR-006 (Abschnitt 9.5).</w:t>
      </w:r>
    </w:p>
    <w:p>
      <w:r>
        <w:rPr>
          <w:b/>
        </w:rPr>
        <w:t xml:space="preserve">Kontext.</w:t>
      </w:r>
      <w:r>
        <w:t xml:space="preserve"> EPOS-Plan rechnet heute ein Tagesmodell auf Tagesmitteln, dessen Tageswert nachgelagert auf Stunden verteilt wird; die Wärme eines Gebäudes entsteht an genau einer Stelle, und Lauf und Bedarfsdialog rufen dieselben Methoden. Das Material des Netzlaufwerks trägt einen Strukturfehler in der Systemmatrix — diagonal statt voll besetzt, bis zu 304 K Abweichung in den Normtestfällen — und eine ungeklärte Lizenz; übernehmbar sind allein Datenmodell und Lösungsschema.</w:t>
      </w:r>
    </w:p>
    <w:p>
      <w:r>
        <w:rPr>
          <w:b/>
        </w:rPr>
        <w:t xml:space="preserve">Entscheidung.</w:t>
      </w:r>
    </w:p>
    <w:p>
      <w:pPr>
        <w:pStyle w:val="ListBullet"/>
        <w:numPr>
          <w:ilvl w:val="0"/>
          <w:numId w:val="10"/>
        </w:numPr>
      </w:pPr>
      <w:r>
        <w:t xml:space="preserve">Das 2-K-Modell nach VDI 6007 Blatt 1 rechnet </w:t>
      </w:r>
      <w:r>
        <w:rPr>
          <w:b/>
        </w:rPr>
        <w:t xml:space="preserve">stündlich</w:t>
      </w:r>
      <w:r>
        <w:t xml:space="preserve"> und ist das Vorgabemodell </w:t>
      </w:r>
      <w:r>
        <w:rPr>
          <w:b/>
        </w:rPr>
        <w:t xml:space="preserve">aller</w:t>
      </w:r>
      <w:r>
        <w:t xml:space="preserve"> Gebäude; die Tagesbilanz bleibt ausdrücklich wählbare Ausnahme, und NULL bedeutet VDI 6007.</w:t>
      </w:r>
    </w:p>
    <w:p>
      <w:pPr>
        <w:pStyle w:val="ListBullet"/>
        <w:numPr>
          <w:ilvl w:val="0"/>
          <w:numId w:val="10"/>
        </w:numPr>
      </w:pPr>
      <w:r>
        <w:t xml:space="preserve">Der Rechenweg wird im Kern </w:t>
      </w:r>
      <w:r>
        <w:rPr>
          <w:b/>
        </w:rPr>
        <w:t xml:space="preserve">neu geschrieben</w:t>
      </w:r>
      <w:r>
        <w:t xml:space="preserve">; kein Quelltext wird übernommen, wohl aber Datenmodell und Lösungsschema. Der Prototyp ist Vorlage und zugleich unabhängige Zweitimplementierung für die Abnahme.</w:t>
      </w:r>
    </w:p>
    <w:p>
      <w:pPr>
        <w:pStyle w:val="ListBullet"/>
        <w:numPr>
          <w:ilvl w:val="0"/>
          <w:numId w:val="10"/>
        </w:numPr>
      </w:pPr>
      <w:r>
        <w:rPr>
          <w:b/>
        </w:rPr>
        <w:t xml:space="preserve">Eine Naht, zwei Aufrufer</w:t>
      </w:r>
      <w:r>
        <w:t xml:space="preserve">; Puffer, Kanal, Dauerlinie und Energieprobe bleiben unberührt. </w:t>
      </w:r>
      <w:r>
        <w:rPr>
          <w:b/>
        </w:rPr>
        <w:t xml:space="preserve">Ergänzungsvermerk (E20):</w:t>
      </w:r>
      <w:r>
        <w:t xml:space="preserve"> Die eine Naht ist </w:t>
      </w:r>
      <w:r>
        <w:rPr>
          <w:b/>
        </w:rPr>
        <w:t xml:space="preserve">eine Weiche am Eingang</w:t>
      </w:r>
      <w:r>
        <w:t xml:space="preserve"> hinter dem modellfreien Vorbereitungsschritt; zwei gemeinsam verzweigende Punkte gibt es nicht mehr.</w:t>
      </w:r>
    </w:p>
    <w:p>
      <w:pPr>
        <w:pStyle w:val="ListBullet"/>
        <w:numPr>
          <w:ilvl w:val="0"/>
          <w:numId w:val="10"/>
        </w:numPr>
      </w:pPr>
      <w:r>
        <w:t xml:space="preserve">Die Bestandsgewichte fallen im Stundenmodell; der Dialog zeigt U·A.</w:t>
      </w:r>
    </w:p>
    <w:p>
      <w:pPr>
        <w:pStyle w:val="ListBullet"/>
        <w:numPr>
          <w:ilvl w:val="0"/>
          <w:numId w:val="10"/>
        </w:numPr>
      </w:pPr>
      <w:r>
        <w:t xml:space="preserve">Die Basis wird </w:t>
      </w:r>
      <w:r>
        <w:rPr>
          <w:b/>
        </w:rPr>
        <w:t xml:space="preserve">zweimal</w:t>
      </w:r>
      <w:r>
        <w:t xml:space="preserve"> neu eingefroren: GB und G1 + G2. </w:t>
      </w:r>
      <w:r>
        <w:rPr>
          <w:b/>
        </w:rPr>
        <w:t xml:space="preserve">Ergänzungsvermerk (E23):</w:t>
      </w:r>
      <w:r>
        <w:t xml:space="preserve"> Ein dritter Einfrieranlass aus einer Stufe GA entfällt — der Altweg bleibt; im Gebäudeweg kommt allein </w:t>
      </w:r>
      <w:r>
        <w:rPr>
          <w:b/>
        </w:rPr>
        <w:t xml:space="preserve">G6d</w:t>
      </w:r>
      <w:r>
        <w:t xml:space="preserve"> hinzu.</w:t>
      </w:r>
    </w:p>
    <w:p>
      <w:r>
        <w:rPr>
          <w:b/>
        </w:rPr>
        <w:t xml:space="preserve">Konsequenz.</w:t>
      </w:r>
      <w:r>
        <w:t xml:space="preserve"> Einfacher wird: eine Physik, eine Kennzahlenmenge, eine Wiki-Seite — und die U·A-Tabelle ist zugleich die Zielstruktur der Importe. Schwerer wird: zwei begründete Neueinfrierungen, ein Normfallnachweis, der lokal und nicht in der CI läuft, und ein Katalogeditor, der einen Schreibweg und zwei neue Fensterfelder bekommt. Der Bestandsweg bleibt regressionsgeprüft und wird nicht weiterentwickelt — und er bleibt mit </w:t>
      </w:r>
      <w:r>
        <w:rPr>
          <w:b/>
        </w:rPr>
        <w:t xml:space="preserve">E23 dauerhaft</w:t>
      </w:r>
      <w:r>
        <w:t xml:space="preserve"> als eigenes, eingefrorenes Modul.</w:t>
      </w:r>
    </w:p>
    <w:p>
      <w:pPr>
        <w:pStyle w:val="Heading2"/>
      </w:pPr>
      <w:r>
        <w:t xml:space="preserve">9.2 ADR-003 — IFC über xBIM ohne Geometriekernel</w:t>
      </w:r>
    </w:p>
    <w:p>
      <w:r>
        <w:rPr>
          <w:b/>
        </w:rPr>
        <w:t xml:space="preserve">Status:</w:t>
      </w:r>
      <w:r>
        <w:t xml:space="preserve"> angenommen (15.09.2026, Entscheide E3 und E9).</w:t>
      </w:r>
    </w:p>
    <w:p>
      <w:r>
        <w:rPr>
          <w:b/>
        </w:rPr>
        <w:t xml:space="preserve">Kontext.</w:t>
      </w:r>
      <w:r>
        <w:t xml:space="preserve"> Für das Gebäudemodell werden keine Körper gebraucht, sondern Kennwerte: U-Werte, Bruttoflächen, Raumgrenzen, Schichtaufbauten, Lage und Nordrichtung — alles ohne Geometriekernel erreichbar. Das Metapaket von xBIM zieht jedoch eine Windows-gebundene Speicherschicht nach, und der Geometriekernel ist Windows-only und zieht eine weitere Lizenz nach sich.</w:t>
      </w:r>
    </w:p>
    <w:p>
      <w:r>
        <w:rPr>
          <w:b/>
        </w:rPr>
        <w:t xml:space="preserve">Entscheidung.</w:t>
      </w:r>
    </w:p>
    <w:p>
      <w:pPr>
        <w:pStyle w:val="ListBullet"/>
        <w:numPr>
          <w:ilvl w:val="0"/>
          <w:numId w:val="11"/>
        </w:numPr>
      </w:pPr>
      <w:r>
        <w:rPr>
          <w:b/>
        </w:rPr>
        <w:t xml:space="preserve">xBIM bleibt ein unverändertes NuGet-Paket</w:t>
      </w:r>
      <w:r>
        <w:t xml:space="preserve">; in den Kern kommt </w:t>
      </w:r>
      <w:r>
        <w:rPr>
          <w:b/>
        </w:rPr>
        <w:t xml:space="preserve">allein</w:t>
      </w:r>
      <w:r>
        <w:t xml:space="preserve"> das Speichermodell mit den drei Schema-Paketen. Ein Fork ist ausgeschlossen.</w:t>
      </w:r>
    </w:p>
    <w:p>
      <w:pPr>
        <w:pStyle w:val="ListBullet"/>
        <w:numPr>
          <w:ilvl w:val="0"/>
          <w:numId w:val="11"/>
        </w:numPr>
      </w:pPr>
      <w:r>
        <w:rPr>
          <w:b/>
        </w:rPr>
        <w:t xml:space="preserve">Kein Geometriekernel.</w:t>
      </w:r>
      <w:r>
        <w:t xml:space="preserve"> Flächen kommen aus den Mengensätzen, die Orientierung aus der Placement-Kette; die Ableitung aus Körpern bleibt der Stufe G5 „nur bei Bedarf".</w:t>
      </w:r>
    </w:p>
    <w:p>
      <w:pPr>
        <w:pStyle w:val="ListBullet"/>
        <w:numPr>
          <w:ilvl w:val="0"/>
          <w:numId w:val="11"/>
        </w:numPr>
      </w:pPr>
      <w:r>
        <w:t xml:space="preserve">Der Import folgt dem Hausmuster Ablauf/Profil/Satz: Lesen, Vorprüfen, Ausführen; Herkunft je Feld; Zuordnungsdialog als Razor-Komponente; Größenlimit als </w:t>
      </w:r>
      <w:r>
        <w:rPr>
          <w:b/>
        </w:rPr>
        <w:t xml:space="preserve">benannte Ablehnung</w:t>
      </w:r>
      <w:r>
        <w:t xml:space="preserve">, bei gepackten Dateien gegen die entpackte Größe.</w:t>
      </w:r>
    </w:p>
    <w:p>
      <w:pPr>
        <w:pStyle w:val="ListBullet"/>
        <w:numPr>
          <w:ilvl w:val="0"/>
          <w:numId w:val="11"/>
        </w:numPr>
      </w:pPr>
      <w:r>
        <w:t xml:space="preserve">Die </w:t>
      </w:r>
      <w:r>
        <w:rPr>
          <w:b/>
        </w:rPr>
        <w:t xml:space="preserve">Zuordnung wird persistiert</w:t>
      </w:r>
      <w:r>
        <w:t xml:space="preserve"> — Voraussetzung für die Rückgabe angereicherter Dateien.</w:t>
      </w:r>
    </w:p>
    <w:p>
      <w:pPr>
        <w:pStyle w:val="ListBullet"/>
        <w:numPr>
          <w:ilvl w:val="0"/>
          <w:numId w:val="11"/>
        </w:numPr>
      </w:pPr>
      <w:r>
        <w:t xml:space="preserve">Der Export schreibt IFC4 über dasselbe Speichermodell: deterministische Kennungen aus EPOS-Schlüsseln, eigene Bearbeitungsgeschichte, Längeneinheit Meter, eigener Ergebnis-Eigenschaftssatz, Energie in kWh mit explizitem Einheitenverweis.</w:t>
      </w:r>
    </w:p>
    <w:p>
      <w:r>
        <w:rPr>
          <w:b/>
        </w:rPr>
        <w:t xml:space="preserve">Konsequenz.</w:t>
      </w:r>
      <w:r>
        <w:t xml:space="preserve"> Einfacher wird: eine Paketzeile, ein Leser für drei Schemata, Import und Export mit derselben Bibliothek. Schwerer wird: Eigenschafts- und Mengenzugriff mit „Vorkommnis vor Typ", die Flächeneinheit je Größenart (nie aus der Längeneinheit quadriert), die Außennormale nur über die Raumgrenze bestimmbar — sonst bleibt der Azimut um 180° unbestimmt und wird gemeldet. Die Lizenzhinweisseite ist Vorbedingung der Auslieferung; ohne sie ist der Weg nicht auslieferbar. </w:t>
      </w:r>
      <w:r>
        <w:rPr>
          <w:b/>
        </w:rPr>
        <w:t xml:space="preserve">Für den Gebäudebetrachter nach E11 heißt der Entscheid:</w:t>
      </w:r>
      <w:r>
        <w:t xml:space="preserve"> kein IFC-Betrachter mit Geometriekernel — die Ansicht zeigt die eigene Zonengeometrie, und Modell samt Grundriss stehen als Aufgabe 6 des ADR. Offen bleiben das Trimming-Verhalten eines iOS-Gerätebaus und das dort zu messende Größenlimit.</w:t>
      </w:r>
    </w:p>
    <w:p>
      <w:pPr>
        <w:pStyle w:val="Heading2"/>
      </w:pPr>
      <w:r>
        <w:t xml:space="preserve">9.3 ADR-004 — gbXML mit LINQ to XML</w:t>
      </w:r>
    </w:p>
    <w:p>
      <w:r>
        <w:rPr>
          <w:b/>
        </w:rPr>
        <w:t xml:space="preserve">Status:</w:t>
      </w:r>
      <w:r>
        <w:t xml:space="preserve"> </w:t>
      </w:r>
      <w:r>
        <w:rPr>
          <w:b/>
        </w:rPr>
        <w:t xml:space="preserve">angenommen</w:t>
      </w:r>
      <w:r>
        <w:t xml:space="preserve"> (16.09.2026, Entscheid E16; vorgeschlagen am 15.09.2026). Der gbXML-Import hat damit seinen Leseweg; offen bleiben D1, D2 und D16 sowie die Ablage der Schemakopie.</w:t>
      </w:r>
    </w:p>
    <w:p>
      <w:r>
        <w:rPr>
          <w:b/>
        </w:rPr>
        <w:t xml:space="preserve">Kontext.</w:t>
      </w:r>
      <w:r>
        <w:t xml:space="preserve"> Der gbXML-Import ist mit E9 Pflicht. Das aus dem Schema erzeugte Modell ist unbrauchbar: 328 Klassen mit typlosen Sammelfeldern statt typisierter Eigenschaften, und der Standardserialisierer scheitert schon unter Windows, unter Trimming zusätzlich. Eine gepflegte .NET-Bibliothek für gbXML gibt es nicht. Keine der vier offiziellen Beispieldateien ist schemagültig, zwei sind in UTF-16 kodiert, und eine Architekturdatei trägt null Konstruktionen. EPOS braucht rund 25 der 518 Schemaelemente.</w:t>
      </w:r>
    </w:p>
    <w:p>
      <w:r>
        <w:rPr>
          <w:b/>
        </w:rPr>
        <w:t xml:space="preserve">Entscheidung.</w:t>
      </w:r>
    </w:p>
    <w:p>
      <w:pPr>
        <w:pStyle w:val="ListBullet"/>
        <w:numPr>
          <w:ilvl w:val="0"/>
          <w:numId w:val="12"/>
        </w:numPr>
      </w:pPr>
      <w:r>
        <w:rPr>
          <w:b/>
        </w:rPr>
        <w:t xml:space="preserve">Lesen und Schreiben mit LINQ to XML</w:t>
      </w:r>
      <w:r>
        <w:t xml:space="preserve"> gegen ein </w:t>
      </w:r>
      <w:r>
        <w:rPr>
          <w:b/>
        </w:rPr>
        <w:t xml:space="preserve">handgeschriebenes Modell</w:t>
      </w:r>
      <w:r>
        <w:t xml:space="preserve"> der benötigten Elemente — reine BCL, keine Code-Erzeugung, keine Reflexion, iOS-fest.</w:t>
      </w:r>
    </w:p>
    <w:p>
      <w:pPr>
        <w:pStyle w:val="ListBullet"/>
        <w:numPr>
          <w:ilvl w:val="0"/>
          <w:numId w:val="12"/>
        </w:numPr>
      </w:pPr>
      <w:r>
        <w:rPr>
          <w:b/>
        </w:rPr>
        <w:t xml:space="preserve">Import tolerant:</w:t>
      </w:r>
      <w:r>
        <w:t xml:space="preserve"> Datei als Strom öffnen, Kodierung aus der XML-Deklaration, Einheiten global und lokal auflösen, Rechteckgeometrie als Flächenquelle, Fensterabzug selbst rechnen, Aufbauten je Aufbau auf Vollständigkeit prüfen, fehlende Konstruktionen als Vorgabe kennzeichnen.</w:t>
      </w:r>
    </w:p>
    <w:p>
      <w:pPr>
        <w:pStyle w:val="ListBullet"/>
        <w:numPr>
          <w:ilvl w:val="0"/>
          <w:numId w:val="12"/>
        </w:numPr>
      </w:pPr>
      <w:r>
        <w:rPr>
          <w:b/>
        </w:rPr>
        <w:t xml:space="preserve">Export zweistufig:</w:t>
      </w:r>
      <w:r>
        <w:t xml:space="preserve"> Stufe 1 schemagültiger Datenexport mit Version 6.01; Stufe 2 synthetische Quadergeometrie mit Kennzeichnung „schematisch" in Datei und Oberfläche.</w:t>
      </w:r>
    </w:p>
    <w:p>
      <w:pPr>
        <w:pStyle w:val="ListBullet"/>
        <w:numPr>
          <w:ilvl w:val="0"/>
          <w:numId w:val="12"/>
        </w:numPr>
      </w:pPr>
      <w:r>
        <w:rPr>
          <w:b/>
        </w:rPr>
        <w:t xml:space="preserve">Validierung nur im Test</w:t>
      </w:r>
      <w:r>
        <w:t xml:space="preserve"> gegen ein Schema, das nicht ausgeliefert wird; Rundlauf Export nach Import als Regressionstest mit selbst erzeugten Dateien.</w:t>
      </w:r>
    </w:p>
    <w:p>
      <w:r>
        <w:rPr>
          <w:b/>
        </w:rPr>
        <w:t xml:space="preserve">Konsequenz.</w:t>
      </w:r>
      <w:r>
        <w:t xml:space="preserve"> Einfacher wird: keine Paketabhängigkeit, keine zusätzliche Lizenzseite, ein Lesemodell für Import und Export, und das Zuordnungsgerüst wird mit dem IFC-Import geteilt. Schwerer wird: Einheiten und Kodierung sind eigene Testfälle, die Vollständigkeit der Aufbauten ist je Aufbau zu prüfen, und die Versionsnummer 6.01 braucht einen Quelltextkommentar, damit niemand sie „korrigiert".</w:t>
      </w:r>
    </w:p>
    <w:p>
      <w:pPr>
        <w:pStyle w:val="Heading2"/>
      </w:pPr>
      <w:r>
        <w:t xml:space="preserve">9.4 ADR-005 — Zonenkopplung im Mehrzonenmodell</w:t>
      </w:r>
    </w:p>
    <w:p>
      <w:r>
        <w:rPr>
          <w:b/>
        </w:rPr>
        <w:t xml:space="preserve">Status:</w:t>
      </w:r>
      <w:r>
        <w:t xml:space="preserve"> </w:t>
      </w:r>
      <w:r>
        <w:rPr>
          <w:b/>
        </w:rPr>
        <w:t xml:space="preserve">angenommen</w:t>
      </w:r>
      <w:r>
        <w:t xml:space="preserve"> (16.09.2026, Entscheid E17; vorgeschlagen am 15.09.2026), mit Messpflicht. Das Mehrzonenmodell hat damit sein Lösungsschema; M1 (Kopplungsweg B) und M4 (Zonen-Luftaustausch in G6b) sind entschieden.</w:t>
      </w:r>
    </w:p>
    <w:p>
      <w:r>
        <w:rPr>
          <w:b/>
        </w:rPr>
        <w:t xml:space="preserve">Kontext.</w:t>
      </w:r>
      <w:r>
        <w:t xml:space="preserve"> Richtlinie und Nachbarnorm nehmen die Zonierung eines Gebäudes ausdrücklich aus; geregelt ist allein die Randbedingung eines einzelnen Raums zum Nachbarraum. Das validierte Netz je Zone darf sich nicht ändern, die Kopplung darf nur in der Randbedingung sitzen. Die Bisektion des Umschaltzeitpunkts macht das System innerhalb der Stunde stückweise linear — ein gemeinsames Zustandssystem aller Zonen müsste bei jedem Umschalten einer Zone neu zerlegt werden. Der Luftaustausch zwischen Zonen koppelt die Luftknoten unmittelbar und ist der Grund, warum eine Kopplung über die Vorstunde zu weit hinkt.</w:t>
      </w:r>
    </w:p>
    <w:p>
      <w:r>
        <w:rPr>
          <w:b/>
        </w:rPr>
        <w:t xml:space="preserve">Entscheidung.</w:t>
      </w:r>
    </w:p>
    <w:p>
      <w:pPr>
        <w:pStyle w:val="ListBullet"/>
        <w:numPr>
          <w:ilvl w:val="0"/>
          <w:numId w:val="13"/>
        </w:numPr>
      </w:pPr>
      <w:r>
        <w:rPr>
          <w:b/>
        </w:rPr>
        <w:t xml:space="preserve">Kopplung über die Nachbarraum-Randbedingung:</w:t>
      </w:r>
      <w:r>
        <w:t xml:space="preserve"> Trennbauteile gehören in die Außenbauteilgruppe der Zone, die Nachbartemperatur geht als äquivalente Temperatur ein und wird gewichtet; der Strahlungsaustausch endet an der Zonengrenze.</w:t>
      </w:r>
    </w:p>
    <w:p>
      <w:pPr>
        <w:pStyle w:val="ListBullet"/>
        <w:numPr>
          <w:ilvl w:val="0"/>
          <w:numId w:val="13"/>
        </w:numPr>
      </w:pPr>
      <w:r>
        <w:rPr>
          <w:b/>
        </w:rPr>
        <w:t xml:space="preserve">Gauß-Seidel innerhalb der Stunde:</w:t>
      </w:r>
      <w:r>
        <w:t xml:space="preserve"> feste Reihenfolge, jede Zone rechnet mit den jüngsten Nachbartemperaturen; Abbruch bei 0,01 K und 0,1 W, spätestens nach 50 Durchläufen mit benanntem Fehler, der die beteiligten Zonen und den Volumenstrom nennt. Wechselt die Regelungszuordnung zwischen zwei Durchläufen, wird das Muster des ersten Durchlaufs festgehalten und der Wechsel gezählt.</w:t>
      </w:r>
    </w:p>
    <w:p>
      <w:pPr>
        <w:pStyle w:val="ListBullet"/>
        <w:numPr>
          <w:ilvl w:val="0"/>
          <w:numId w:val="13"/>
        </w:numPr>
      </w:pPr>
      <w:r>
        <w:rPr>
          <w:b/>
        </w:rPr>
        <w:t xml:space="preserve">Zonen-Luftaustausch</w:t>
      </w:r>
      <w:r>
        <w:t xml:space="preserve"> als normierte Paare, im selben Durchlauf berücksichtigt.</w:t>
      </w:r>
    </w:p>
    <w:p>
      <w:pPr>
        <w:pStyle w:val="ListBullet"/>
        <w:numPr>
          <w:ilvl w:val="0"/>
          <w:numId w:val="13"/>
        </w:numPr>
      </w:pPr>
      <w:r>
        <w:rPr>
          <w:b/>
        </w:rPr>
        <w:t xml:space="preserve">Nachweis:</w:t>
      </w:r>
      <w:r>
        <w:t xml:space="preserve"> Vorstundenkopplung als Vergleichsrechnung, das Gesamtsystem für zwei Zonen als exaktes Orakel, „eine Zone bitgleich" als Gate.</w:t>
      </w:r>
    </w:p>
    <w:p>
      <w:r>
        <w:rPr>
          <w:b/>
        </w:rPr>
        <w:t xml:space="preserve">Konsequenz.</w:t>
      </w:r>
      <w:r>
        <w:t xml:space="preserve"> Einfacher wird: unbeheizte Zonen bekommen eine eigene Temperatur, und Zonen aus dem Import lassen sich koppeln, ohne ein zweites Modell zu bauen. Schwerer wird: eine Abbruchregel mit benanntem Fehler, eine festzulegende Zonenreihenfolge, und der an der Zonengrenze endende Strahlungsaustausch als Argument für große Zonen. </w:t>
      </w:r>
      <w:r>
        <w:rPr>
          <w:b/>
        </w:rPr>
        <w:t xml:space="preserve">Normstatus:</w:t>
      </w:r>
      <w:r>
        <w:t xml:space="preserve"> „Mehrzonensimulation nach VDI 6007" wäre falsch — der Ausweis gilt je Zone, die Kopplung ist als EPOS-Erweiterung benannt.</w:t>
      </w:r>
    </w:p>
    <w:p>
      <w:pPr>
        <w:pStyle w:val="Heading2"/>
      </w:pPr>
      <w:r>
        <w:t xml:space="preserve">9.5 ADR-006 — Trennung der Rechenwege, der Altweg als dauerhafter Bestandsweg</w:t>
      </w:r>
    </w:p>
    <w:p>
      <w:r>
        <w:rPr>
          <w:b/>
        </w:rPr>
        <w:t xml:space="preserve">Status:</w:t>
      </w:r>
      <w:r>
        <w:t xml:space="preserve"> </w:t>
      </w:r>
      <w:r>
        <w:rPr>
          <w:b/>
        </w:rPr>
        <w:t xml:space="preserve">angenommen</w:t>
      </w:r>
      <w:r>
        <w:t xml:space="preserve"> (16.09.2026, Entscheid E20), </w:t>
      </w:r>
      <w:r>
        <w:rPr>
          <w:b/>
        </w:rPr>
        <w:t xml:space="preserve">mit Ergänzungsvermerk zu E23</w:t>
      </w:r>
      <w:r>
        <w:t xml:space="preserve"> (16.09.2026): </w:t>
      </w:r>
      <w:r>
        <w:rPr>
          <w:b/>
        </w:rPr>
        <w:t xml:space="preserve">Entscheidung 4 — Stufe GA — ist aufgehoben</w:t>
      </w:r>
      <w:r>
        <w:t xml:space="preserve">, der Altweg bleibt dauerhaft; die Entscheidungen 1 bis 3 und 5 gelten unverändert. ADR-002 bleibt gültig und bekommt ebenfalls einen Ergänzungsvermerk (9.1); </w:t>
      </w:r>
      <w:r>
        <w:rPr>
          <w:b/>
        </w:rPr>
        <w:t xml:space="preserve">A16</w:t>
      </w:r>
      <w:r>
        <w:t xml:space="preserve"> und </w:t>
      </w:r>
      <w:r>
        <w:rPr>
          <w:b/>
        </w:rPr>
        <w:t xml:space="preserve">U2</w:t>
      </w:r>
      <w:r>
        <w:t xml:space="preserve"> sind gegenstandslos, </w:t>
      </w:r>
      <w:r>
        <w:rPr>
          <w:b/>
        </w:rPr>
        <w:t xml:space="preserve">A15</w:t>
      </w:r>
      <w:r>
        <w:t xml:space="preserve"> lautet „dauerhaft", </w:t>
      </w:r>
      <w:r>
        <w:rPr>
          <w:b/>
        </w:rPr>
        <w:t xml:space="preserve">Q24</w:t>
      </w:r>
      <w:r>
        <w:t xml:space="preserve"> und </w:t>
      </w:r>
      <w:r>
        <w:rPr>
          <w:b/>
        </w:rPr>
        <w:t xml:space="preserve">Q25</w:t>
      </w:r>
      <w:r>
        <w:t xml:space="preserve"> sind mit E23 erledigt.</w:t>
      </w:r>
    </w:p>
    <w:p>
      <w:r>
        <w:rPr>
          <w:b/>
        </w:rPr>
        <w:t xml:space="preserve">Kontext.</w:t>
      </w:r>
      <w:r>
        <w:t xml:space="preserve"> E1 hat das Stundenmodell zum Rechenmodell aller Gebäude gemacht und die Tagesbilanz als je Gebäude wählbare Ausnahme stehen lassen; ADR-002 hat die Einbindung als </w:t>
      </w:r>
      <w:r>
        <w:rPr>
          <w:b/>
        </w:rPr>
        <w:t xml:space="preserve">eine Naht</w:t>
      </w:r>
      <w:r>
        <w:t xml:space="preserve"> im Bestandscode beschrieben. Die Ausarbeitung hat daraus </w:t>
      </w:r>
      <w:r>
        <w:rPr>
          <w:b/>
        </w:rPr>
        <w:t xml:space="preserve">zwei Verzweigungspunkte</w:t>
      </w:r>
      <w:r>
        <w:t xml:space="preserve"> im Rumpf der Bedarfsmethode gemacht, einen Gebäudedialog mit Modellreiter, dessen Felder je nach Modell versteckt oder gesperrt werden (U2), und ein Referenzprojekt, das </w:t>
      </w:r>
      <w:r>
        <w:rPr>
          <w:b/>
        </w:rPr>
        <w:t xml:space="preserve">dauerhaft</w:t>
      </w:r>
      <w:r>
        <w:t xml:space="preserve"> auf Tagesbilanz steht (A15). Vier Kräfte sprechen dagegen: Zwei Rechenwege in einem Rumpf stellen jede Zeile des VDI-Wegs unter Beweislast; ein Dialog, der je nach Modell Felder versteckt, ist für den Anwender ein Rätsel und für die Tests ein Zustandsraum; ein Bestandsweg, der dauerhaft bleibt, muss deshalb </w:t>
      </w:r>
      <w:r>
        <w:rPr>
          <w:b/>
        </w:rPr>
        <w:t xml:space="preserve">getrennt</w:t>
      </w:r>
      <w:r>
        <w:t xml:space="preserve"> und eingefroren liegen statt im selben Rumpf; und die Verschiebung des Altwegs darf kein Ergebnis ändern — sie muss byte-gleich nachweisbar sein, </w:t>
      </w:r>
      <w:r>
        <w:rPr>
          <w:b/>
        </w:rPr>
        <w:t xml:space="preserve">bevor</w:t>
      </w:r>
      <w:r>
        <w:t xml:space="preserve"> der VDI-Weg angebunden wird.</w:t>
      </w:r>
    </w:p>
    <w:p>
      <w:r>
        <w:rPr>
          <w:b/>
        </w:rPr>
        <w:t xml:space="preserve">Entscheidung.</w:t>
      </w:r>
    </w:p>
    <w:p>
      <w:pPr>
        <w:pStyle w:val="ListBullet"/>
        <w:numPr>
          <w:ilvl w:val="0"/>
          <w:numId w:val="14"/>
        </w:numPr>
      </w:pPr>
      <w:r>
        <w:rPr>
          <w:b/>
        </w:rPr>
        <w:t xml:space="preserve">Eine Weiche, zwei Module.</w:t>
      </w:r>
      <w:r>
        <w:t xml:space="preserve"> </w:t>
      </w:r>
      <w:r>
        <w:rPr>
          <w:rFonts w:ascii="Consolas" w:hAnsi="Consolas" w:cs="Consolas"/>
          <w:noProof/>
          <w:sz w:val="20"/>
          <w:szCs w:val="20"/>
          <w:shd w:val="clear" w:color="auto" w:fill="EFEFEF"/>
        </w:rPr>
        <w:t xml:space="preserve">SimulationWaermebedarf</w:t>
      </w:r>
      <w:r>
        <w:t xml:space="preserve"> wird zur </w:t>
      </w:r>
      <w:r>
        <w:rPr>
          <w:b/>
        </w:rPr>
        <w:t xml:space="preserve">Fassade</w:t>
      </w:r>
      <w:r>
        <w:t xml:space="preserve">: Ein </w:t>
      </w:r>
      <w:r>
        <w:rPr>
          <w:b/>
        </w:rPr>
        <w:t xml:space="preserve">modellfreier Vorbereitungsschritt</w:t>
      </w:r>
      <w:r>
        <w:t xml:space="preserve"> liefert, was beide Wege brauchen (Bewohner aus der Nutzfläche, Skalierungsfaktor nach E8, Klimareihen); dann liest </w:t>
      </w:r>
      <w:r>
        <w:rPr>
          <w:b/>
        </w:rPr>
        <w:t xml:space="preserve">eine</w:t>
      </w:r>
      <w:r>
        <w:t xml:space="preserve"> Weiche den Rechenweg des Gebäudes und ruft genau ein Modul. Der Tagesbilanz-Weg wandert </w:t>
      </w:r>
      <w:r>
        <w:rPr>
          <w:b/>
        </w:rPr>
        <w:t xml:space="preserve">Zeichen für Zeichen</w:t>
      </w:r>
      <w:r>
        <w:t xml:space="preserve"> nach </w:t>
      </w:r>
      <w:r>
        <w:rPr>
          <w:rFonts w:ascii="Consolas" w:hAnsi="Consolas" w:cs="Consolas"/>
          <w:noProof/>
          <w:sz w:val="20"/>
          <w:szCs w:val="20"/>
          <w:shd w:val="clear" w:color="auto" w:fill="EFEFEF"/>
        </w:rPr>
        <w:t xml:space="preserve">EPOS.Kern/Allgemein/Simulation/Altweg/</w:t>
      </w:r>
      <w:r>
        <w:t xml:space="preserve">, der VDI-Weg lebt in </w:t>
      </w:r>
      <w:r>
        <w:rPr>
          <w:rFonts w:ascii="Consolas" w:hAnsi="Consolas" w:cs="Consolas"/>
          <w:noProof/>
          <w:sz w:val="20"/>
          <w:szCs w:val="20"/>
          <w:shd w:val="clear" w:color="auto" w:fill="EFEFEF"/>
        </w:rPr>
        <w:t xml:space="preserve">Gebaeude/</w:t>
      </w:r>
      <w:r>
        <w:t xml:space="preserve"> und ruft nichts daraus. Einen zweiten Verzweigungspunkt gibt es nicht.</w:t>
      </w:r>
    </w:p>
    <w:p>
      <w:pPr>
        <w:pStyle w:val="ListBullet"/>
        <w:numPr>
          <w:ilvl w:val="0"/>
          <w:numId w:val="14"/>
        </w:numPr>
      </w:pPr>
      <w:r>
        <w:rPr>
          <w:b/>
        </w:rPr>
        <w:t xml:space="preserve">Oberfläche in VDI-Struktur.</w:t>
      </w:r>
      <w:r>
        <w:t xml:space="preserve"> Gebäudedialog, Katalogdialog, Skalierungsdialog und Bedarfsdialog folgen den Eingaben des VDI-Wegs; die </w:t>
      </w:r>
      <w:r>
        <w:rPr>
          <w:b/>
        </w:rPr>
        <w:t xml:space="preserve">Modellparameter sind immer sichtbar und bearbeitbar</w:t>
      </w:r>
      <w:r>
        <w:t xml:space="preserve">. Felder, die nur der Altweg liest, erscheinen allein bei einem Altweg-Gebäude in einem </w:t>
      </w:r>
      <w:r>
        <w:rPr>
          <w:b/>
        </w:rPr>
        <w:t xml:space="preserve">eingeklappten Abschnitt „Tagesbilanz (Bestandsweg)"</w:t>
      </w:r>
      <w:r>
        <w:t xml:space="preserve">. Der Schalter heißt </w:t>
      </w:r>
      <w:r>
        <w:rPr>
          <w:b/>
        </w:rPr>
        <w:t xml:space="preserve">„Rechenweg"</w:t>
      </w:r>
      <w:r>
        <w:t xml:space="preserve"> mit der Vorgabe </w:t>
      </w:r>
      <w:r>
        <w:rPr>
          <w:b/>
        </w:rPr>
        <w:t xml:space="preserve">„VDI 6007"</w:t>
      </w:r>
      <w:r>
        <w:t xml:space="preserve"> und dem Wert </w:t>
      </w:r>
      <w:r>
        <w:rPr>
          <w:b/>
        </w:rPr>
        <w:t xml:space="preserve">„Tagesbilanz"</w:t>
      </w:r>
      <w:r>
        <w:t xml:space="preserve">.</w:t>
      </w:r>
    </w:p>
    <w:p>
      <w:pPr>
        <w:pStyle w:val="ListBullet"/>
        <w:numPr>
          <w:ilvl w:val="0"/>
          <w:numId w:val="14"/>
        </w:numPr>
      </w:pPr>
      <w:r>
        <w:rPr>
          <w:b/>
        </w:rPr>
        <w:t xml:space="preserve">Kein zweites Datenmodell.</w:t>
      </w:r>
      <w:r>
        <w:t xml:space="preserve"> Der Gebäudespalten-Schritt bringt die VDI-Spalten und die Umbenennung nach E19; Altweg-Spalten bleiben dauerhaft unangetastet (E23). Ein Befund je Feld weist die Klasse aus: nur Altweg, beide, nur VDI.</w:t>
      </w:r>
    </w:p>
    <w:p>
      <w:pPr>
        <w:pStyle w:val="ListBullet"/>
        <w:numPr>
          <w:ilvl w:val="0"/>
          <w:numId w:val="14"/>
        </w:numPr>
      </w:pPr>
      <w:r>
        <w:rPr>
          <w:b/>
        </w:rPr>
        <w:t xml:space="preserve">Der Altweg bleibt — Entscheidung 4 ist mit E23 aufgehoben.</w:t>
      </w:r>
      <w:r>
        <w:t xml:space="preserve"> Eine Stufe GA gibt es nicht: Modul, Weiche, Schalter und Altweg-Spalten bleiben, ein Schemaschritt mit </w:t>
      </w:r>
      <w:r>
        <w:rPr>
          <w:rFonts w:ascii="Consolas" w:hAnsi="Consolas" w:cs="Consolas"/>
          <w:noProof/>
          <w:sz w:val="20"/>
          <w:szCs w:val="20"/>
          <w:shd w:val="clear" w:color="auto" w:fill="EFEFEF"/>
        </w:rPr>
        <w:t xml:space="preserve">DROP COLUMN</w:t>
      </w:r>
      <w:r>
        <w:t xml:space="preserve"> entfällt, und das Referenzprojekt auf dem Altweg wie der Rückweg-Test bleiben </w:t>
      </w:r>
      <w:r>
        <w:rPr>
          <w:b/>
        </w:rPr>
        <w:t xml:space="preserve">dauerhaft</w:t>
      </w:r>
      <w:r>
        <w:t xml:space="preserve">. Der Altweg bekommt </w:t>
      </w:r>
      <w:r>
        <w:rPr>
          <w:b/>
        </w:rPr>
        <w:t xml:space="preserve">keine Änderung außer Fehlerbehebung</w:t>
      </w:r>
      <w:r>
        <w:t xml:space="preserve">, und die Bestandsbefunde GB werden </w:t>
      </w:r>
      <w:r>
        <w:rPr>
          <w:b/>
        </w:rPr>
        <w:t xml:space="preserve">vor</w:t>
      </w:r>
      <w:r>
        <w:t xml:space="preserve"> der Verschiebung behoben.</w:t>
      </w:r>
    </w:p>
    <w:p>
      <w:pPr>
        <w:pStyle w:val="ListBullet"/>
        <w:numPr>
          <w:ilvl w:val="0"/>
          <w:numId w:val="14"/>
        </w:numPr>
      </w:pPr>
      <w:r>
        <w:rPr>
          <w:b/>
        </w:rPr>
        <w:t xml:space="preserve">Ausweis.</w:t>
      </w:r>
      <w:r>
        <w:t xml:space="preserve"> Ein Gebäude auf dem Altweg trägt </w:t>
      </w:r>
      <w:r>
        <w:rPr>
          <w:b/>
        </w:rPr>
        <w:t xml:space="preserve">„Tagesbilanz (Bestandsweg)"</w:t>
      </w:r>
      <w:r>
        <w:t xml:space="preserve"> statt des Produktausweises nach E10.</w:t>
      </w:r>
    </w:p>
    <w:p>
      <w:r>
        <w:rPr>
          <w:b/>
        </w:rPr>
        <w:t xml:space="preserve">Betrachtete Alternativen.</w:t>
      </w:r>
      <w:r>
        <w:t xml:space="preserve"> (a) Die Verzweigung im Bestandscode nach dem bisherigen Plan — der kleinste erste Schritt, aber zwei Produkte in einem Rumpf, dauerhaft. (c) Die sofortige Entfernung des Tagesbilanz-Wegs mit G1 + G2 — sauber im Kern, aber ohne Brücke für Bestandsprojekte, die nach E1 um 7 bis 33 % andere Zahlen sehen. Gewählt ist (b), die vollständige Trennung mit eingefrorenem Altweg: Sie kostet einen Nachweisschritt mehr und liefert dafür, was E20 verlangt — Trennung und Ablösung; mit </w:t>
      </w:r>
      <w:r>
        <w:rPr>
          <w:b/>
        </w:rPr>
        <w:t xml:space="preserve">E23</w:t>
      </w:r>
      <w:r>
        <w:t xml:space="preserve"> bleibt der getrennte Bestandsweg dauerhaft stehen.</w:t>
      </w:r>
    </w:p>
    <w:p>
      <w:r>
        <w:rPr>
          <w:b/>
        </w:rPr>
        <w:t xml:space="preserve">Konsequenz.</w:t>
      </w:r>
      <w:r>
        <w:t xml:space="preserve"> Einfacher wird: Der VDI-Weg entsteht ohne Rücksicht auf den Rumpf des Bestands, die Oberfläche hat </w:t>
      </w:r>
      <w:r>
        <w:rPr>
          <w:b/>
        </w:rPr>
        <w:t xml:space="preserve">eine</w:t>
      </w:r>
      <w:r>
        <w:t xml:space="preserve"> Struktur, und Tests des Dialogs kennen keinen Modellzustand mehr. Schwerer wird: ein zusätzlicher </w:t>
      </w:r>
      <w:r>
        <w:rPr>
          <w:b/>
        </w:rPr>
        <w:t xml:space="preserve">byte-gleicher</w:t>
      </w:r>
      <w:r>
        <w:t xml:space="preserve"> Nachweis der Verschiebung in G1 (+3–5 PT) und der Abschnitt „Tagesbilanz (Bestandsweg)" im Dialog (rund 1 PT); die 5–8 PT einer Stufe GA entfallen mit </w:t>
      </w:r>
      <w:r>
        <w:rPr>
          <w:b/>
        </w:rPr>
        <w:t xml:space="preserve">E23</w:t>
      </w:r>
      <w:r>
        <w:t xml:space="preserve">. Offen bleibt hier nichts mehr; der Vergleich alt/neu im Bedarfsdialog bleibt </w:t>
      </w:r>
      <w:r>
        <w:rPr>
          <w:b/>
        </w:rPr>
        <w:t xml:space="preserve">dauerhaft</w:t>
      </w:r>
      <w:r>
        <w:t xml:space="preserve">, weil beide Rechenwege bleiben.</w:t>
      </w:r>
    </w:p>
    <w:p>
      <w:r>
        <w:rPr>
          <w:b/>
        </w:rPr>
        <w:t xml:space="preserve">Einzelheiten:</w:t>
      </w:r>
      <w:r>
        <w:t xml:space="preserve"> </w:t>
      </w:r>
      <w:r>
        <w:rPr>
          <w:rFonts w:ascii="Consolas" w:hAnsi="Consolas" w:cs="Consolas"/>
          <w:noProof/>
          <w:sz w:val="20"/>
          <w:szCs w:val="20"/>
          <w:shd w:val="clear" w:color="auto" w:fill="EFEFEF"/>
        </w:rPr>
        <w:t xml:space="preserve">Dokumentation/aktuell/ADR-002_Stundenmodell_VDI6007_Einbindung.md</w:t>
      </w:r>
      <w:r>
        <w:t xml:space="preserve">, </w:t>
      </w:r>
      <w:r>
        <w:rPr>
          <w:rFonts w:ascii="Consolas" w:hAnsi="Consolas" w:cs="Consolas"/>
          <w:noProof/>
          <w:sz w:val="20"/>
          <w:szCs w:val="20"/>
          <w:shd w:val="clear" w:color="auto" w:fill="EFEFEF"/>
        </w:rPr>
        <w:t xml:space="preserve">Dokumentation/aktuell/ADR-003_IFC_xBIM_ohne_Geometriekernel.md</w:t>
      </w:r>
      <w:r>
        <w:t xml:space="preserve">, </w:t>
      </w:r>
      <w:r>
        <w:rPr>
          <w:rFonts w:ascii="Consolas" w:hAnsi="Consolas" w:cs="Consolas"/>
          <w:noProof/>
          <w:sz w:val="20"/>
          <w:szCs w:val="20"/>
          <w:shd w:val="clear" w:color="auto" w:fill="EFEFEF"/>
        </w:rPr>
        <w:t xml:space="preserve">Dokumentation/aktuell/ADR-004_gbXML_LINQ_to_XML.md</w:t>
      </w:r>
      <w:r>
        <w:t xml:space="preserve">, </w:t>
      </w:r>
      <w:r>
        <w:rPr>
          <w:rFonts w:ascii="Consolas" w:hAnsi="Consolas" w:cs="Consolas"/>
          <w:noProof/>
          <w:sz w:val="20"/>
          <w:szCs w:val="20"/>
          <w:shd w:val="clear" w:color="auto" w:fill="EFEFEF"/>
        </w:rPr>
        <w:t xml:space="preserve">Dokumentation/aktuell/ADR-005_Zonenkopplung_Mehrzonenmodell.md</w:t>
      </w:r>
      <w:r>
        <w:t xml:space="preserve">, </w:t>
      </w:r>
      <w:r>
        <w:rPr>
          <w:rFonts w:ascii="Consolas" w:hAnsi="Consolas" w:cs="Consolas"/>
          <w:noProof/>
          <w:sz w:val="20"/>
          <w:szCs w:val="20"/>
          <w:shd w:val="clear" w:color="auto" w:fill="EFEFEF"/>
        </w:rPr>
        <w:t xml:space="preserve">Dokumentation/aktuell/ADR-006_Trennung_Altweg_VDI6007.md</w:t>
      </w:r>
      <w:r>
        <w:t xml:space="preserve"> und, für die Schema-Ausrollung, </w:t>
      </w:r>
      <w:r>
        <w:rPr>
          <w:rFonts w:ascii="Consolas" w:hAnsi="Consolas" w:cs="Consolas"/>
          <w:noProof/>
          <w:sz w:val="20"/>
          <w:szCs w:val="20"/>
          <w:shd w:val="clear" w:color="auto" w:fill="EFEFEF"/>
        </w:rPr>
        <w:t xml:space="preserve">Dokumentation/aktuell/ADR-001_Schema-Ausrollung.md</w:t>
      </w:r>
      <w:r>
        <w:t xml:space="preserve">.</w:t>
      </w:r>
    </w:p>
    <w:p>
      <w:pPr>
        <w:pStyle w:val="Trennlinie"/>
      </w:pPr>
    </w:p>
    <w:p>
      <w:pPr>
        <w:pStyle w:val="Heading1"/>
      </w:pPr>
      <w:r>
        <w:t xml:space="preserve">10 Die Berechnung in Schritten</w:t>
      </w:r>
    </w:p>
    <w:p>
      <w:r>
        <w:rPr>
          <w:b/>
        </w:rPr>
        <w:t xml:space="preserve">Bezeichnungen.</w:t>
      </w:r>
      <w:r>
        <w:t xml:space="preserve"> Die Richtlinie nennt das Modell </w:t>
      </w:r>
      <w:r>
        <w:rPr>
          <w:b/>
        </w:rPr>
        <w:t xml:space="preserve">2-K-Modell</w:t>
      </w:r>
      <w:r>
        <w:t xml:space="preserve"> (zwei Kapazitäten); „7R2C" ist nur Kurzform und steht nicht in der Richtlinie. Gleichungsnummern in Klammern verweisen auf </w:t>
      </w:r>
      <w:r>
        <w:rPr>
          <w:b/>
        </w:rPr>
        <w:t xml:space="preserve">VDI 6007 Blatt 1</w:t>
      </w:r>
      <w:r>
        <w:t xml:space="preserve"> (Juni 2015), Nummern mit dem Zusatz „Blatt 3" auf Blatt 3 (Juni 2015), mit „Blatt 2" auf Blatt 2 (März 2012). Wo keine Gleichungsnummer steht, ist die Formel eine </w:t>
      </w:r>
      <w:r>
        <w:rPr>
          <w:b/>
        </w:rPr>
        <w:t xml:space="preserve">EPOS-Festlegung</w:t>
      </w:r>
      <w:r>
        <w:t xml:space="preserve">. Temperaturen </w:t>
      </w:r>
      <m:oMath xmlns:m="http://schemas.openxmlformats.org/officeDocument/2006/math">
        <m:r>
          <w:rPr>
            <w:rFonts w:ascii="Cambria Math" w:hAnsi="Cambria Math"/>
          </w:rPr>
          <m:t>θ</m:t>
        </m:r>
      </m:oMath>
      <w:r>
        <w:t xml:space="preserve"> in °C, Leistungen </w:t>
      </w:r>
      <m:oMath xmlns:m="http://schemas.openxmlformats.org/officeDocument/2006/math">
        <m:r>
          <w:rPr>
            <w:rFonts w:ascii="Cambria Math" w:hAnsi="Cambria Math"/>
          </w:rPr>
          <m:t>Φ</m:t>
        </m:r>
      </m:oMath>
      <w:r>
        <w:t xml:space="preserve"> in W, Widerstände </w:t>
      </w:r>
      <m:oMath xmlns:m="http://schemas.openxmlformats.org/officeDocument/2006/math">
        <m:r>
          <w:rPr>
            <w:rFonts w:ascii="Cambria Math" w:hAnsi="Cambria Math"/>
          </w:rPr>
          <m:t>R</m:t>
        </m:r>
      </m:oMath>
      <w:r>
        <w:t xml:space="preserve"> in K/W, Leitwerte </w:t>
      </w:r>
      <m:oMath xmlns:m="http://schemas.openxmlformats.org/officeDocument/2006/math">
        <m:r>
          <w:rPr>
            <w:rFonts w:ascii="Cambria Math" w:hAnsi="Cambria Math"/>
          </w:rPr>
          <m:t>G</m:t>
        </m:r>
      </m:oMath>
      <w:r>
        <w:t xml:space="preserve"> in W/K, Kapazitäten </w:t>
      </w:r>
      <m:oMath xmlns:m="http://schemas.openxmlformats.org/officeDocument/2006/math">
        <m:r>
          <w:rPr>
            <w:rFonts w:ascii="Cambria Math" w:hAnsi="Cambria Math"/>
          </w:rPr>
          <m:t>C</m:t>
        </m:r>
      </m:oMath>
      <w:r>
        <w:t xml:space="preserve"> in J/K.</w:t>
      </w:r>
    </w:p>
    <w:p>
      <w:pPr>
        <w:pStyle w:val="Heading2"/>
      </w:pPr>
      <w:r>
        <w:t xml:space="preserve">10.1 Überblick</w:t>
      </w:r>
    </w:p>
    <w:p>
      <w:r>
        <w:t xml:space="preserve">Die Rechnung in zwölf Sätzen, gekürzt:</w:t>
      </w:r>
    </w:p>
    <w:p>
      <w:pPr>
        <w:pStyle w:val="ListNumber"/>
        <w:numPr>
          <w:ilvl w:val="0"/>
          <w:numId w:val="15"/>
        </w:numPr>
      </w:pPr>
      <w:r>
        <w:t xml:space="preserve">Für jedes Gebäude wird </w:t>
      </w:r>
      <w:r>
        <w:rPr>
          <w:b/>
        </w:rPr>
        <w:t xml:space="preserve">einmal je Lauf</w:t>
      </w:r>
      <w:r>
        <w:t xml:space="preserve"> aus U-Werten, Flächen, Bauweise und Nutzung ein Netz aus zwei Massenknoten, drei algebraischen Knoten und sieben Widerständen gebaut (Schritt A; in Stufe G3 aus Schichtaufbauten, Schritt B).</w:t>
      </w:r>
    </w:p>
    <w:p>
      <w:pPr>
        <w:pStyle w:val="ListNumber"/>
        <w:numPr>
          <w:ilvl w:val="0"/>
          <w:numId w:val="15"/>
        </w:numPr>
      </w:pPr>
      <w:r>
        <w:t xml:space="preserve">Die beiden Oberflächenknoten und der Luftknoten sind kapazitätslos und werden </w:t>
      </w:r>
      <w:r>
        <w:rPr>
          <w:b/>
        </w:rPr>
        <w:t xml:space="preserve">algebraisch eliminiert</w:t>
      </w:r>
      <w:r>
        <w:t xml:space="preserve">; übrig bleibt ein Zustandssystem zweiter Ordnung mit </w:t>
      </w:r>
      <w:r>
        <w:rPr>
          <w:b/>
        </w:rPr>
        <w:t xml:space="preserve">voll besetzter</w:t>
      </w:r>
      <w:r>
        <w:t xml:space="preserve"> 2×2-Matrix (Schritt C).</w:t>
      </w:r>
    </w:p>
    <w:p>
      <w:pPr>
        <w:pStyle w:val="ListNumber"/>
        <w:numPr>
          <w:ilvl w:val="0"/>
          <w:numId w:val="15"/>
        </w:numPr>
      </w:pPr>
      <w:r>
        <w:t xml:space="preserve">Die Systemmatrix hängt nicht von den Lasten ab, sondern nur vom Betriebsfall und vom Lüftungsleitwert; die Übergangsmatrizen für h = 3 600 s entstehen deshalb </w:t>
      </w:r>
      <w:r>
        <w:rPr>
          <w:b/>
        </w:rPr>
        <w:t xml:space="preserve">einmal je Gebäude, Betriebsfall und Lüftungszustand</w:t>
      </w:r>
      <w:r>
        <w:t xml:space="preserve">, nicht je Stunde (Schritt D).</w:t>
      </w:r>
    </w:p>
    <w:p>
      <w:pPr>
        <w:pStyle w:val="ListNumber"/>
        <w:numPr>
          <w:ilvl w:val="0"/>
          <w:numId w:val="15"/>
        </w:numPr>
      </w:pPr>
      <w:r>
        <w:t xml:space="preserve">Aus den Klimareihen entstehen je Stunde die Randbedingungen: Außentemperatur, äquivalente Außentemperatur am Außenwandpfad, Erdreich- oder Kellertemperatur, Fenstersolareintrag je Orientierung, innere Lasten, Sollwert und obere Grenze (Schritt E).</w:t>
      </w:r>
    </w:p>
    <w:p>
      <w:pPr>
        <w:pStyle w:val="ListNumber"/>
        <w:numPr>
          <w:ilvl w:val="0"/>
          <w:numId w:val="15"/>
        </w:numPr>
      </w:pPr>
      <w:r>
        <w:t xml:space="preserve">Die Strahlungslasten werden flächenproportional auf die beiden Oberflächenknoten verteilt, die konvektiven Anteile auf die Luft.</w:t>
      </w:r>
    </w:p>
    <w:p>
      <w:pPr>
        <w:pStyle w:val="ListNumber"/>
        <w:numPr>
          <w:ilvl w:val="0"/>
          <w:numId w:val="15"/>
        </w:numPr>
      </w:pPr>
      <w:r>
        <w:t xml:space="preserve">Die Stundenschleife läuft über 8 760 Blockstunden, nach einem Vorlauf von 30 Tagen, dessen Ergebnisse verworfen werden (Schritt F).</w:t>
      </w:r>
    </w:p>
    <w:p>
      <w:pPr>
        <w:pStyle w:val="ListNumber"/>
        <w:numPr>
          <w:ilvl w:val="0"/>
          <w:numId w:val="15"/>
        </w:numPr>
      </w:pPr>
      <w:r>
        <w:t xml:space="preserve">Innerhalb einer Stunde hält die ideale Regelung die Lufttemperatur </w:t>
      </w:r>
      <w:r>
        <w:rPr>
          <w:b/>
        </w:rPr>
        <w:t xml:space="preserve">durchgehend</w:t>
      </w:r>
      <w:r>
        <w:t xml:space="preserve"> auf dem Sollwert; die dafür nötige Leistung ist eine affine Funktion des Zustands, ihr Stundenmittel folgt geschlossen.</w:t>
      </w:r>
    </w:p>
    <w:p>
      <w:pPr>
        <w:pStyle w:val="ListNumber"/>
        <w:numPr>
          <w:ilvl w:val="0"/>
          <w:numId w:val="15"/>
        </w:numPr>
      </w:pPr>
      <w:r>
        <w:t xml:space="preserve">Wechselt der Betrieb innerhalb der Stunde — Heizung erreicht null, Leistungsgrenze greift, Kühlgrenze wird erreicht —, sucht der Löser den Umschaltzeitpunkt per Bisektion und setzt die Stunde aus zwei oder mehr Abschnitten zusammen. </w:t>
      </w:r>
      <w:r>
        <w:rPr>
          <w:b/>
        </w:rPr>
        <w:t xml:space="preserve">Das ist die einzige Iteration.</w:t>
      </w:r>
    </w:p>
    <w:p>
      <w:pPr>
        <w:pStyle w:val="ListNumber"/>
        <w:numPr>
          <w:ilvl w:val="0"/>
          <w:numId w:val="15"/>
        </w:numPr>
      </w:pPr>
      <w:r>
        <w:t xml:space="preserve">Prüfgröße ist das </w:t>
      </w:r>
      <w:r>
        <w:rPr>
          <w:b/>
        </w:rPr>
        <w:t xml:space="preserve">Blockmittel</w:t>
      </w:r>
      <w:r>
        <w:t xml:space="preserve"> der Stunde, nicht der Momentanwert am Stundenende.</w:t>
      </w:r>
    </w:p>
    <w:p>
      <w:pPr>
        <w:pStyle w:val="ListNumber"/>
        <w:numPr>
          <w:ilvl w:val="0"/>
          <w:numId w:val="15"/>
        </w:numPr>
      </w:pPr>
      <w:r>
        <w:t xml:space="preserve">Je Gebäude entstehen vier Reihen und sieben Kennzahlen (Schritt G).</w:t>
      </w:r>
    </w:p>
    <w:p>
      <w:pPr>
        <w:pStyle w:val="ListNumber"/>
        <w:numPr>
          <w:ilvl w:val="0"/>
          <w:numId w:val="15"/>
        </w:numPr>
      </w:pPr>
      <w:r>
        <w:t xml:space="preserve">Die Heizlastreihe geht in </w:t>
      </w:r>
      <w:r>
        <w:rPr>
          <w:b/>
        </w:rPr>
        <w:t xml:space="preserve">Watt</w:t>
      </w:r>
      <w:r>
        <w:t xml:space="preserve"> in den vorhandenen Gebäudepuffer und von dort unverändert in den Heizkanal, die Kühllastreihe desselben Laufs in den Kältekanal (E21); alles danach bleibt Zeichen für Zeichen der Bestandsweg.</w:t>
      </w:r>
    </w:p>
    <w:p>
      <w:pPr>
        <w:pStyle w:val="ListNumber"/>
        <w:numPr>
          <w:ilvl w:val="0"/>
          <w:numId w:val="15"/>
        </w:numPr>
      </w:pPr>
      <w:r>
        <w:t xml:space="preserve">Die Skalierung vom Katalogbau auf die Projektfläche und die Verbrauchs-Rückrechnung sind eine Verhältnisrechnung </w:t>
      </w:r>
      <w:r>
        <w:rPr>
          <w:b/>
        </w:rPr>
        <w:t xml:space="preserve">nach</w:t>
      </w:r>
      <w:r>
        <w:t xml:space="preserve"> der Simulation und ändern die Physik nicht; </w:t>
      </w:r>
      <w:r>
        <w:rPr>
          <w:b/>
        </w:rPr>
        <w:t xml:space="preserve">ihren Faktor und die Bewohnerzahl aus der Nutzfläche liefert der modellfreie Vorbereitungsschritt vor der Weiche</w:t>
      </w:r>
      <w:r>
        <w:t xml:space="preserve"> (E20), die Verhältnisrechnung selbst führt das VDI-Modul.</w:t>
      </w:r>
    </w:p>
    <w:p>
      <w:pPr>
        <w:pStyle w:val="Diagrammbild"/>
      </w:pPr>
      <w:r>
        <w:drawing>
          <wp:inline xmlns:wp="http://schemas.openxmlformats.org/drawingml/2006/wordprocessingDrawing" distT="0" distB="0" distL="0" distR="0">
            <wp:extent cx="6120130" cy="7175852"/>
            <wp:effectExtent l="0" t="0" r="0" b="0"/>
            <wp:docPr id="14"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14.png"/>
                    <pic:cNvPicPr/>
                  </pic:nvPicPr>
                  <pic:blipFill>
                    <a:blip xmlns:r="http://schemas.openxmlformats.org/officeDocument/2006/relationships" r:embed="R7f7b19efb93e4e71"/>
                    <a:stretch>
                      <a:fillRect/>
                    </a:stretch>
                  </pic:blipFill>
                  <pic:spPr>
                    <a:xfrm>
                      <a:off x="0" y="0"/>
                      <a:ext cx="6120130" cy="7175852"/>
                    </a:xfrm>
                    <a:prstGeom prst="rect">
                      <a:avLst/>
                    </a:prstGeom>
                  </pic:spPr>
                </pic:pic>
              </a:graphicData>
            </a:graphic>
          </wp:inline>
        </w:drawing>
      </w:r>
    </w:p>
    <w:p>
      <w:pPr>
        <w:pStyle w:val="Bildunterschrift"/>
      </w:pPr>
      <w:r>
        <w:rPr>
          <w:i/>
          <w:iCs/>
        </w:rPr>
        <w:t xml:space="preserve">Bild 14: 10.1 Überblick</w:t>
      </w:r>
    </w:p>
    <w:p>
      <w:pPr>
        <w:pStyle w:val="Heading2"/>
      </w:pPr>
      <w:r>
        <w:t xml:space="preserve">10.2 Eingaben</w:t>
      </w:r>
    </w:p>
    <w:p>
      <w:r>
        <w:t xml:space="preserve">Quelle der Gebäudedaten ist </w:t>
      </w:r>
      <w:r>
        <w:rPr>
          <w:rFonts w:ascii="Consolas" w:hAnsi="Consolas" w:cs="Consolas"/>
          <w:noProof/>
          <w:sz w:val="20"/>
          <w:szCs w:val="20"/>
          <w:shd w:val="clear" w:color="auto" w:fill="EFEFEF"/>
        </w:rPr>
        <w:t xml:space="preserve">Tab_Gebaeude</w:t>
      </w:r>
      <w:r>
        <w:t xml:space="preserve">, die Projektkopie des Katalogs, gelesen über die Sicht </w:t>
      </w:r>
      <w:r>
        <w:rPr>
          <w:rFonts w:ascii="Consolas" w:hAnsi="Consolas" w:cs="Consolas"/>
          <w:noProof/>
          <w:sz w:val="20"/>
          <w:szCs w:val="20"/>
          <w:shd w:val="clear" w:color="auto" w:fill="EFEFEF"/>
        </w:rPr>
        <w:t xml:space="preserve">Abfrage_Projektgebaeude</w:t>
      </w:r>
      <w:r>
        <w:t xml:space="preserve">. </w:t>
      </w:r>
      <w:r>
        <w:rPr>
          <w:b/>
        </w:rPr>
        <w:t xml:space="preserve">„Vorgabe bei NULL" ist die Vorgabe des Eingangsbauers</w:t>
      </w:r>
      <w:r>
        <w:t xml:space="preserve">, nicht ein DDL-Vorgabewert: auf den neuen Fachwerten steht kein </w:t>
      </w:r>
      <w:r>
        <w:rPr>
          <w:rFonts w:ascii="Consolas" w:hAnsi="Consolas" w:cs="Consolas"/>
          <w:noProof/>
          <w:sz w:val="20"/>
          <w:szCs w:val="20"/>
          <w:shd w:val="clear" w:color="auto" w:fill="EFEFEF"/>
        </w:rPr>
        <w:t xml:space="preserve">DEFAULT</w:t>
      </w:r>
      <w:r>
        <w:t xml:space="preserve">.</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Größe</w:t>
            </w:r>
          </w:p>
        </w:tc>
        <w:tc>
          <w:tcPr>
            <w:tcW w:w="0" w:type="auto"/>
            <w:shd w:val="clear" w:color="auto" w:fill="D9D9D9"/>
          </w:tcPr>
          <w:p>
            <w:pPr>
              <w:spacing w:after="0" w:line="240" w:lineRule="auto"/>
              <w:rPr>
                <w:b/>
              </w:rPr>
            </w:pPr>
            <w:r>
              <w:rPr>
                <w:b/>
              </w:rPr>
              <w:t xml:space="preserve">Zeichen</w:t>
            </w:r>
          </w:p>
        </w:tc>
        <w:tc>
          <w:tcPr>
            <w:tcW w:w="0" w:type="auto"/>
            <w:shd w:val="clear" w:color="auto" w:fill="D9D9D9"/>
          </w:tcPr>
          <w:p>
            <w:pPr>
              <w:spacing w:after="0" w:line="240" w:lineRule="auto"/>
              <w:rPr>
                <w:b/>
              </w:rPr>
            </w:pPr>
            <w:r>
              <w:rPr>
                <w:b/>
              </w:rPr>
              <w:t xml:space="preserve">Einheit</w:t>
            </w:r>
          </w:p>
        </w:tc>
        <w:tc>
          <w:tcPr>
            <w:tcW w:w="0" w:type="auto"/>
            <w:shd w:val="clear" w:color="auto" w:fill="D9D9D9"/>
          </w:tcPr>
          <w:p>
            <w:pPr>
              <w:spacing w:after="0" w:line="240" w:lineRule="auto"/>
              <w:rPr>
                <w:b/>
              </w:rPr>
            </w:pPr>
            <w:r>
              <w:rPr>
                <w:b/>
              </w:rPr>
              <w:t xml:space="preserve">Vorgabe bei NULL</w:t>
            </w:r>
          </w:p>
        </w:tc>
        <w:tc>
          <w:tcPr>
            <w:tcW w:w="0" w:type="auto"/>
            <w:shd w:val="clear" w:color="auto" w:fill="D9D9D9"/>
          </w:tcPr>
          <w:p>
            <w:pPr>
              <w:spacing w:after="0" w:line="240" w:lineRule="auto"/>
              <w:rPr>
                <w:b/>
              </w:rPr>
            </w:pPr>
            <w:r>
              <w:rPr>
                <w:b/>
              </w:rPr>
              <w:t xml:space="preserve">Grenze</w:t>
            </w:r>
          </w:p>
        </w:tc>
      </w:tr>
      <w:tr>
        <w:tc>
          <w:tcPr>
            <w:tcW w:w="0" w:type="auto"/>
          </w:tcPr>
          <w:p>
            <w:pPr>
              <w:spacing w:after="0" w:line="240" w:lineRule="auto"/>
            </w:pPr>
            <w:r>
              <w:t xml:space="preserve">Rechenmodell</w:t>
            </w:r>
          </w:p>
        </w:tc>
        <w:tc>
          <w:tcPr>
            <w:tcW w:w="0" w:type="auto"/>
          </w:tcPr>
          <w:p>
            <w:pPr>
              <w:spacing w:after="0" w:line="240" w:lineRule="auto"/>
            </w:pPr>
            <w:r>
              <w:t xml:space="preserve">—</w:t>
            </w:r>
          </w:p>
        </w:tc>
        <w:tc>
          <w:tcPr>
            <w:tcW w:w="0" w:type="auto"/>
          </w:tcPr>
          <w:p>
            <w:pPr>
              <w:spacing w:after="0" w:line="240" w:lineRule="auto"/>
            </w:pPr>
            <w:r>
              <w:t xml:space="preserve">—</w:t>
            </w:r>
          </w:p>
        </w:tc>
        <w:tc>
          <w:tcPr>
            <w:tcW w:w="0" w:type="auto"/>
          </w:tcPr>
          <w:p>
            <w:pPr>
              <w:spacing w:after="0" w:line="240" w:lineRule="auto"/>
            </w:pPr>
            <w:r>
              <w:t xml:space="preserve">VDI 6007 (E1)</w:t>
            </w:r>
          </w:p>
        </w:tc>
        <w:tc>
          <w:tcPr>
            <w:tcW w:w="0" w:type="auto"/>
          </w:tcPr>
          <w:p>
            <w:pPr>
              <w:spacing w:after="0" w:line="240" w:lineRule="auto"/>
            </w:pPr>
            <w:r>
              <w:t xml:space="preserve">Wertliste</w:t>
            </w:r>
          </w:p>
        </w:tc>
      </w:tr>
      <w:tr>
        <w:tc>
          <w:tcPr>
            <w:tcW w:w="0" w:type="auto"/>
          </w:tcPr>
          <w:p>
            <w:pPr>
              <w:spacing w:after="0" w:line="240" w:lineRule="auto"/>
            </w:pPr>
            <w:r>
              <w:t xml:space="preserve">Nutzfläche des Katalogbaus (E13; Bestandsspalte „Wohnfläche")</w:t>
            </w:r>
          </w:p>
        </w:tc>
        <w:tc>
          <w:tcPr>
            <w:tcW w:w="0" w:type="auto"/>
          </w:tcPr>
          <w:p>
            <w:pPr>
              <w:spacing w:after="0" w:line="240" w:lineRule="auto"/>
            </w:pPr>
            <m:oMath xmlns:m="http://schemas.openxmlformats.org/officeDocument/2006/math">
              <m:sSub>
                <m:e>
                  <m:r>
                    <w:rPr>
                      <w:rFonts w:ascii="Cambria Math" w:hAnsi="Cambria Math"/>
                    </w:rPr>
                    <m:t>A</m:t>
                  </m:r>
                </m:e>
                <m:sub>
                  <m:r>
                    <m:rPr>
                      <m:sty m:val="p"/>
                    </m:rPr>
                    <w:rPr>
                      <w:rFonts w:ascii="Cambria Math" w:hAnsi="Cambria Math"/>
                    </w:rPr>
                    <m:t>f</m:t>
                  </m:r>
                </m:sub>
              </m:sSub>
            </m:oMath>
          </w:p>
        </w:tc>
        <w:tc>
          <w:tcPr>
            <w:tcW w:w="0" w:type="auto"/>
          </w:tcPr>
          <w:p>
            <w:pPr>
              <w:spacing w:after="0" w:line="240" w:lineRule="auto"/>
            </w:pPr>
            <w:r>
              <w:t xml:space="preserve">m²</w:t>
            </w:r>
          </w:p>
        </w:tc>
        <w:tc>
          <w:tcPr>
            <w:tcW w:w="0" w:type="auto"/>
          </w:tcPr>
          <w:p>
            <w:pPr>
              <w:spacing w:after="0" w:line="240" w:lineRule="auto"/>
            </w:pPr>
            <w:r>
              <w:t xml:space="preserve">Pflicht</w:t>
            </w:r>
          </w:p>
        </w:tc>
        <w:tc>
          <w:tcPr>
            <w:tcW w:w="0" w:type="auto"/>
          </w:tcPr>
          <w:p>
            <w:pPr>
              <w:spacing w:after="0" w:line="240" w:lineRule="auto"/>
            </w:pPr>
            <m:oMath xmlns:m="http://schemas.openxmlformats.org/officeDocument/2006/math">
              <m:r>
                <w:rPr>
                  <w:rFonts w:ascii="Cambria Math" w:hAnsi="Cambria Math"/>
                </w:rPr>
                <m:t>&gt;</m:t>
              </m:r>
              <m:r>
                <w:rPr>
                  <w:rFonts w:ascii="Cambria Math" w:hAnsi="Cambria Math"/>
                </w:rPr>
                <m:t>0</m:t>
              </m:r>
            </m:oMath>
          </w:p>
        </w:tc>
      </w:tr>
      <w:tr>
        <w:tc>
          <w:tcPr>
            <w:tcW w:w="0" w:type="auto"/>
          </w:tcPr>
          <w:p>
            <w:pPr>
              <w:spacing w:after="0" w:line="240" w:lineRule="auto"/>
            </w:pPr>
            <w:r>
              <w:t xml:space="preserve">Raumhöhe</w:t>
            </w:r>
          </w:p>
        </w:tc>
        <w:tc>
          <w:tcPr>
            <w:tcW w:w="0" w:type="auto"/>
          </w:tcPr>
          <w:p>
            <w:pPr>
              <w:spacing w:after="0" w:line="240" w:lineRule="auto"/>
            </w:pPr>
            <m:oMath xmlns:m="http://schemas.openxmlformats.org/officeDocument/2006/math">
              <m:r>
                <w:rPr>
                  <w:rFonts w:ascii="Cambria Math" w:hAnsi="Cambria Math"/>
                </w:rPr>
                <m:t>H</m:t>
              </m:r>
            </m:oMath>
          </w:p>
        </w:tc>
        <w:tc>
          <w:tcPr>
            <w:tcW w:w="0" w:type="auto"/>
          </w:tcPr>
          <w:p>
            <w:pPr>
              <w:spacing w:after="0" w:line="240" w:lineRule="auto"/>
            </w:pPr>
            <w:r>
              <w:t xml:space="preserve">m</w:t>
            </w:r>
          </w:p>
        </w:tc>
        <w:tc>
          <w:tcPr>
            <w:tcW w:w="0" w:type="auto"/>
          </w:tcPr>
          <w:p>
            <w:pPr>
              <w:spacing w:after="0" w:line="240" w:lineRule="auto"/>
            </w:pPr>
            <w:r>
              <w:t xml:space="preserve">Pflicht</w:t>
            </w:r>
          </w:p>
        </w:tc>
        <w:tc>
          <w:tcPr>
            <w:tcW w:w="0" w:type="auto"/>
          </w:tcPr>
          <w:p>
            <w:pPr>
              <w:spacing w:after="0" w:line="240" w:lineRule="auto"/>
            </w:pPr>
            <m:oMath xmlns:m="http://schemas.openxmlformats.org/officeDocument/2006/math">
              <m:r>
                <w:rPr>
                  <w:rFonts w:ascii="Cambria Math" w:hAnsi="Cambria Math"/>
                </w:rPr>
                <m:t>&gt;</m:t>
              </m:r>
              <m:r>
                <w:rPr>
                  <w:rFonts w:ascii="Cambria Math" w:hAnsi="Cambria Math"/>
                </w:rPr>
                <m:t>0</m:t>
              </m:r>
            </m:oMath>
          </w:p>
        </w:tc>
      </w:tr>
      <w:tr>
        <w:tc>
          <w:tcPr>
            <w:tcW w:w="0" w:type="auto"/>
          </w:tcPr>
          <w:p>
            <w:pPr>
              <w:spacing w:after="0" w:line="240" w:lineRule="auto"/>
            </w:pPr>
            <w:r>
              <w:t xml:space="preserve">Speichermasse</w:t>
            </w:r>
          </w:p>
        </w:tc>
        <w:tc>
          <w:tcPr>
            <w:tcW w:w="0" w:type="auto"/>
          </w:tcPr>
          <w:p>
            <w:pPr>
              <w:spacing w:after="0" w:line="240" w:lineRule="auto"/>
            </w:pPr>
            <m:oMath xmlns:m="http://schemas.openxmlformats.org/officeDocument/2006/math">
              <m:sSub>
                <m:e>
                  <m:r>
                    <w:rPr>
                      <w:rFonts w:ascii="Cambria Math" w:hAnsi="Cambria Math"/>
                    </w:rPr>
                    <m:t>C</m:t>
                  </m:r>
                </m:e>
                <m:sub>
                  <m:r>
                    <m:rPr>
                      <m:sty m:val="p"/>
                    </m:rPr>
                    <w:rPr>
                      <w:rFonts w:ascii="Cambria Math" w:hAnsi="Cambria Math"/>
                    </w:rPr>
                    <m:t>ges</m:t>
                  </m:r>
                </m:sub>
              </m:sSub>
            </m:oMath>
          </w:p>
        </w:tc>
        <w:tc>
          <w:tcPr>
            <w:tcW w:w="0" w:type="auto"/>
          </w:tcPr>
          <w:p>
            <w:pPr>
              <w:spacing w:after="0" w:line="240" w:lineRule="auto"/>
            </w:pPr>
            <w:r>
              <w:t xml:space="preserve">Wh/K</w:t>
            </w:r>
          </w:p>
        </w:tc>
        <w:tc>
          <w:tcPr>
            <w:tcW w:w="0" w:type="auto"/>
          </w:tcPr>
          <w:p>
            <w:pPr>
              <w:spacing w:after="0" w:line="240" w:lineRule="auto"/>
            </w:pPr>
            <w:r>
              <w:t xml:space="preserve">Pflicht</w:t>
            </w:r>
          </w:p>
        </w:tc>
        <w:tc>
          <w:tcPr>
            <w:tcW w:w="0" w:type="auto"/>
          </w:tcPr>
          <w:p>
            <w:pPr>
              <w:spacing w:after="0" w:line="240" w:lineRule="auto"/>
            </w:pPr>
            <m:oMath xmlns:m="http://schemas.openxmlformats.org/officeDocument/2006/math">
              <m:r>
                <w:rPr>
                  <w:rFonts w:ascii="Cambria Math" w:hAnsi="Cambria Math"/>
                </w:rPr>
                <m:t>5</m:t>
              </m:r>
              <m:r>
                <w:rPr>
                  <w:rFonts w:ascii="Cambria Math" w:hAnsi="Cambria Math"/>
                </w:rPr>
                <m:t>≤</m:t>
              </m:r>
              <m:sSub>
                <m:e>
                  <m:r>
                    <w:rPr>
                      <w:rFonts w:ascii="Cambria Math" w:hAnsi="Cambria Math"/>
                    </w:rPr>
                    <m:t>C</m:t>
                  </m:r>
                </m:e>
                <m:sub>
                  <m:r>
                    <m:rPr>
                      <m:sty m:val="p"/>
                    </m:rPr>
                    <w:rPr>
                      <w:rFonts w:ascii="Cambria Math" w:hAnsi="Cambria Math"/>
                    </w:rPr>
                    <m:t>ges</m:t>
                  </m:r>
                </m:sub>
              </m:sSub>
              <m:r>
                <w:rPr>
                  <w:rFonts w:ascii="Cambria Math" w:hAnsi="Cambria Math"/>
                </w:rPr>
                <m:t>/</m:t>
              </m:r>
              <m:sSub>
                <m:e>
                  <m:r>
                    <w:rPr>
                      <w:rFonts w:ascii="Cambria Math" w:hAnsi="Cambria Math"/>
                    </w:rPr>
                    <m:t>A</m:t>
                  </m:r>
                </m:e>
                <m:sub>
                  <m:r>
                    <m:rPr>
                      <m:sty m:val="p"/>
                    </m:rPr>
                    <w:rPr>
                      <w:rFonts w:ascii="Cambria Math" w:hAnsi="Cambria Math"/>
                    </w:rPr>
                    <m:t>f</m:t>
                  </m:r>
                </m:sub>
              </m:sSub>
              <m:r>
                <w:rPr>
                  <w:rFonts w:ascii="Cambria Math" w:hAnsi="Cambria Math"/>
                </w:rPr>
                <m:t>≤</m:t>
              </m:r>
              <m:r>
                <w:rPr>
                  <w:rFonts w:ascii="Cambria Math" w:hAnsi="Cambria Math"/>
                </w:rPr>
                <m:t>2</m:t>
              </m:r>
              <m:r>
                <w:rPr>
                  <w:rFonts w:ascii="Cambria Math" w:hAnsi="Cambria Math"/>
                </w:rPr>
                <m:t>0</m:t>
              </m:r>
              <m:r>
                <w:rPr>
                  <w:rFonts w:ascii="Cambria Math" w:hAnsi="Cambria Math"/>
                </w:rPr>
                <m:t>0</m:t>
              </m:r>
            </m:oMath>
            <w:r>
              <w:t xml:space="preserve"> Wh/(m²K)</w:t>
            </w:r>
          </w:p>
        </w:tc>
      </w:tr>
      <w:tr>
        <w:tc>
          <w:tcPr>
            <w:tcW w:w="0" w:type="auto"/>
          </w:tcPr>
          <w:p>
            <w:pPr>
              <w:spacing w:after="0" w:line="240" w:lineRule="auto"/>
            </w:pPr>
            <w:r>
              <w:t xml:space="preserve">U-Werte Außenwand, Fenster, Dach, Grundfläche, Sonstiges</w:t>
            </w:r>
          </w:p>
        </w:tc>
        <w:tc>
          <w:tcPr>
            <w:tcW w:w="0" w:type="auto"/>
          </w:tcPr>
          <w:p>
            <w:pPr>
              <w:spacing w:after="0" w:line="240" w:lineRule="auto"/>
            </w:pPr>
            <m:oMath xmlns:m="http://schemas.openxmlformats.org/officeDocument/2006/math">
              <m:sSub>
                <m:e>
                  <m:r>
                    <w:rPr>
                      <w:rFonts w:ascii="Cambria Math" w:hAnsi="Cambria Math"/>
                    </w:rPr>
                    <m:t>U</m:t>
                  </m:r>
                </m:e>
                <m:sub>
                  <m:r>
                    <m:rPr>
                      <m:sty m:val="p"/>
                    </m:rPr>
                    <w:rPr>
                      <w:rFonts w:ascii="Cambria Math" w:hAnsi="Cambria Math"/>
                    </w:rPr>
                    <m:t>AW</m:t>
                  </m:r>
                </m:sub>
              </m:sSub>
            </m:oMath>
            <w:r>
              <w:t xml:space="preserve">, </w:t>
            </w:r>
            <m:oMath xmlns:m="http://schemas.openxmlformats.org/officeDocument/2006/math">
              <m:sSub>
                <m:e>
                  <m:r>
                    <w:rPr>
                      <w:rFonts w:ascii="Cambria Math" w:hAnsi="Cambria Math"/>
                    </w:rPr>
                    <m:t>U</m:t>
                  </m:r>
                </m:e>
                <m:sub>
                  <m:r>
                    <m:rPr>
                      <m:sty m:val="p"/>
                    </m:rPr>
                    <w:rPr>
                      <w:rFonts w:ascii="Cambria Math" w:hAnsi="Cambria Math"/>
                    </w:rPr>
                    <m:t>w</m:t>
                  </m:r>
                </m:sub>
              </m:sSub>
            </m:oMath>
            <w:r>
              <w:t xml:space="preserve">, </w:t>
            </w:r>
            <m:oMath xmlns:m="http://schemas.openxmlformats.org/officeDocument/2006/math">
              <m:sSub>
                <m:e>
                  <m:r>
                    <w:rPr>
                      <w:rFonts w:ascii="Cambria Math" w:hAnsi="Cambria Math"/>
                    </w:rPr>
                    <m:t>U</m:t>
                  </m:r>
                </m:e>
                <m:sub>
                  <m:r>
                    <m:rPr>
                      <m:sty m:val="p"/>
                    </m:rPr>
                    <w:rPr>
                      <w:rFonts w:ascii="Cambria Math" w:hAnsi="Cambria Math"/>
                    </w:rPr>
                    <m:t>D</m:t>
                  </m:r>
                </m:sub>
              </m:sSub>
            </m:oMath>
            <w:r>
              <w:t xml:space="preserve">, </w:t>
            </w:r>
            <m:oMath xmlns:m="http://schemas.openxmlformats.org/officeDocument/2006/math">
              <m:sSub>
                <m:e>
                  <m:r>
                    <w:rPr>
                      <w:rFonts w:ascii="Cambria Math" w:hAnsi="Cambria Math"/>
                    </w:rPr>
                    <m:t>U</m:t>
                  </m:r>
                </m:e>
                <m:sub>
                  <m:r>
                    <m:rPr>
                      <m:sty m:val="p"/>
                    </m:rPr>
                    <w:rPr>
                      <w:rFonts w:ascii="Cambria Math" w:hAnsi="Cambria Math"/>
                    </w:rPr>
                    <m:t>G</m:t>
                  </m:r>
                </m:sub>
              </m:sSub>
            </m:oMath>
            <w:r>
              <w:t xml:space="preserve">, </w:t>
            </w:r>
            <m:oMath xmlns:m="http://schemas.openxmlformats.org/officeDocument/2006/math">
              <m:sSub>
                <m:e>
                  <m:r>
                    <w:rPr>
                      <w:rFonts w:ascii="Cambria Math" w:hAnsi="Cambria Math"/>
                    </w:rPr>
                    <m:t>U</m:t>
                  </m:r>
                </m:e>
                <m:sub>
                  <m:r>
                    <m:rPr>
                      <m:sty m:val="p"/>
                    </m:rPr>
                    <w:rPr>
                      <w:rFonts w:ascii="Cambria Math" w:hAnsi="Cambria Math"/>
                    </w:rPr>
                    <m:t>So</m:t>
                  </m:r>
                </m:sub>
              </m:sSub>
            </m:oMath>
          </w:p>
        </w:tc>
        <w:tc>
          <w:tcPr>
            <w:tcW w:w="0" w:type="auto"/>
          </w:tcPr>
          <w:p>
            <w:pPr>
              <w:spacing w:after="0" w:line="240" w:lineRule="auto"/>
            </w:pPr>
            <w:r>
              <w:t xml:space="preserve">W/(m²K)</w:t>
            </w:r>
          </w:p>
        </w:tc>
        <w:tc>
          <w:tcPr>
            <w:tcW w:w="0" w:type="auto"/>
          </w:tcPr>
          <w:p>
            <w:pPr>
              <w:spacing w:after="0" w:line="240" w:lineRule="auto"/>
            </w:pPr>
            <w:r>
              <w:t xml:space="preserve">—</w:t>
            </w:r>
          </w:p>
        </w:tc>
        <w:tc>
          <w:tcPr>
            <w:tcW w:w="0" w:type="auto"/>
          </w:tcPr>
          <w:p>
            <w:pPr>
              <w:spacing w:after="0" w:line="240" w:lineRule="auto"/>
            </w:pPr>
            <w:r>
              <w:t xml:space="preserve">0,1 … 6</w:t>
            </w:r>
          </w:p>
        </w:tc>
      </w:tr>
      <w:tr>
        <w:tc>
          <w:tcPr>
            <w:tcW w:w="0" w:type="auto"/>
          </w:tcPr>
          <w:p>
            <w:pPr>
              <w:spacing w:after="0" w:line="240" w:lineRule="auto"/>
            </w:pPr>
            <w:r>
              <w:t xml:space="preserve">Flächen Außenwand, Fenster gesamt, Dach, Grundfläche, Sonstiges</w:t>
            </w:r>
          </w:p>
        </w:tc>
        <w:tc>
          <w:tcPr>
            <w:tcW w:w="0" w:type="auto"/>
          </w:tcPr>
          <w:p>
            <w:pPr>
              <w:spacing w:after="0" w:line="240" w:lineRule="auto"/>
            </w:pPr>
            <m:oMath xmlns:m="http://schemas.openxmlformats.org/officeDocument/2006/math">
              <m:sSub>
                <m:e>
                  <m:r>
                    <w:rPr>
                      <w:rFonts w:ascii="Cambria Math" w:hAnsi="Cambria Math"/>
                    </w:rPr>
                    <m:t>A</m:t>
                  </m:r>
                </m:e>
                <m:sub>
                  <m:r>
                    <m:rPr>
                      <m:sty m:val="p"/>
                    </m:rPr>
                    <w:rPr>
                      <w:rFonts w:ascii="Cambria Math" w:hAnsi="Cambria Math"/>
                    </w:rPr>
                    <m:t>AW</m:t>
                  </m:r>
                </m:sub>
              </m:sSub>
            </m:oMath>
            <w:r>
              <w:t xml:space="preserve">, </w:t>
            </w:r>
            <m:oMath xmlns:m="http://schemas.openxmlformats.org/officeDocument/2006/math">
              <m:sSub>
                <m:e>
                  <m:r>
                    <w:rPr>
                      <w:rFonts w:ascii="Cambria Math" w:hAnsi="Cambria Math"/>
                    </w:rPr>
                    <m:t>A</m:t>
                  </m:r>
                </m:e>
                <m:sub>
                  <m:r>
                    <m:rPr>
                      <m:sty m:val="p"/>
                    </m:rPr>
                    <w:rPr>
                      <w:rFonts w:ascii="Cambria Math" w:hAnsi="Cambria Math"/>
                    </w:rPr>
                    <m:t>w</m:t>
                  </m:r>
                </m:sub>
              </m:sSub>
            </m:oMath>
            <w:r>
              <w:t xml:space="preserve">, </w:t>
            </w:r>
            <m:oMath xmlns:m="http://schemas.openxmlformats.org/officeDocument/2006/math">
              <m:sSub>
                <m:e>
                  <m:r>
                    <w:rPr>
                      <w:rFonts w:ascii="Cambria Math" w:hAnsi="Cambria Math"/>
                    </w:rPr>
                    <m:t>A</m:t>
                  </m:r>
                </m:e>
                <m:sub>
                  <m:r>
                    <m:rPr>
                      <m:sty m:val="p"/>
                    </m:rPr>
                    <w:rPr>
                      <w:rFonts w:ascii="Cambria Math" w:hAnsi="Cambria Math"/>
                    </w:rPr>
                    <m:t>D</m:t>
                  </m:r>
                </m:sub>
              </m:sSub>
            </m:oMath>
            <w:r>
              <w:t xml:space="preserve">, </w:t>
            </w:r>
            <m:oMath xmlns:m="http://schemas.openxmlformats.org/officeDocument/2006/math">
              <m:sSub>
                <m:e>
                  <m:r>
                    <w:rPr>
                      <w:rFonts w:ascii="Cambria Math" w:hAnsi="Cambria Math"/>
                    </w:rPr>
                    <m:t>A</m:t>
                  </m:r>
                </m:e>
                <m:sub>
                  <m:r>
                    <m:rPr>
                      <m:sty m:val="p"/>
                    </m:rPr>
                    <w:rPr>
                      <w:rFonts w:ascii="Cambria Math" w:hAnsi="Cambria Math"/>
                    </w:rPr>
                    <m:t>G</m:t>
                  </m:r>
                </m:sub>
              </m:sSub>
            </m:oMath>
            <w:r>
              <w:t xml:space="preserve">, </w:t>
            </w:r>
            <m:oMath xmlns:m="http://schemas.openxmlformats.org/officeDocument/2006/math">
              <m:sSub>
                <m:e>
                  <m:r>
                    <w:rPr>
                      <w:rFonts w:ascii="Cambria Math" w:hAnsi="Cambria Math"/>
                    </w:rPr>
                    <m:t>A</m:t>
                  </m:r>
                </m:e>
                <m:sub>
                  <m:r>
                    <m:rPr>
                      <m:sty m:val="p"/>
                    </m:rPr>
                    <w:rPr>
                      <w:rFonts w:ascii="Cambria Math" w:hAnsi="Cambria Math"/>
                    </w:rPr>
                    <m:t>So</m:t>
                  </m:r>
                </m:sub>
              </m:sSub>
            </m:oMath>
          </w:p>
        </w:tc>
        <w:tc>
          <w:tcPr>
            <w:tcW w:w="0" w:type="auto"/>
          </w:tcPr>
          <w:p>
            <w:pPr>
              <w:spacing w:after="0" w:line="240" w:lineRule="auto"/>
            </w:pPr>
            <w:r>
              <w:t xml:space="preserve">m²</w:t>
            </w:r>
          </w:p>
        </w:tc>
        <w:tc>
          <w:tcPr>
            <w:tcW w:w="0" w:type="auto"/>
          </w:tcPr>
          <w:p>
            <w:pPr>
              <w:spacing w:after="0" w:line="240" w:lineRule="auto"/>
            </w:pPr>
            <w:r>
              <w:t xml:space="preserve">—</w:t>
            </w:r>
          </w:p>
        </w:tc>
        <w:tc>
          <w:tcPr>
            <w:tcW w:w="0" w:type="auto"/>
          </w:tcPr>
          <w:p>
            <w:pPr>
              <w:spacing w:after="0" w:line="240" w:lineRule="auto"/>
            </w:pPr>
            <m:oMath xmlns:m="http://schemas.openxmlformats.org/officeDocument/2006/math">
              <m:r>
                <w:rPr>
                  <w:rFonts w:ascii="Cambria Math" w:hAnsi="Cambria Math"/>
                </w:rPr>
                <m:t>≥</m:t>
              </m:r>
              <m:r>
                <w:rPr>
                  <w:rFonts w:ascii="Cambria Math" w:hAnsi="Cambria Math"/>
                </w:rPr>
                <m:t>0</m:t>
              </m:r>
            </m:oMath>
          </w:p>
        </w:tc>
      </w:tr>
      <w:tr>
        <w:tc>
          <w:tcPr>
            <w:tcW w:w="0" w:type="auto"/>
          </w:tcPr>
          <w:p>
            <w:pPr>
              <w:spacing w:after="0" w:line="240" w:lineRule="auto"/>
            </w:pPr>
            <w:r>
              <w:t xml:space="preserve">Fensterflächen Süd, Nord, Ost, West</w:t>
            </w:r>
          </w:p>
        </w:tc>
        <w:tc>
          <w:tcPr>
            <w:tcW w:w="0" w:type="auto"/>
          </w:tcPr>
          <w:p>
            <w:pPr>
              <w:spacing w:after="0" w:line="240" w:lineRule="auto"/>
            </w:pPr>
            <m:oMath xmlns:m="http://schemas.openxmlformats.org/officeDocument/2006/math">
              <m:sSub>
                <m:e>
                  <m:r>
                    <w:rPr>
                      <w:rFonts w:ascii="Cambria Math" w:hAnsi="Cambria Math"/>
                    </w:rPr>
                    <m:t>A</m:t>
                  </m:r>
                </m:e>
                <m:sub>
                  <m:r>
                    <m:rPr>
                      <m:sty m:val="p"/>
                    </m:rPr>
                    <w:rPr>
                      <w:rFonts w:ascii="Cambria Math" w:hAnsi="Cambria Math"/>
                    </w:rPr>
                    <m:t>w,S</m:t>
                  </m:r>
                </m:sub>
              </m:sSub>
              <m:r>
                <w:rPr>
                  <w:rFonts w:ascii="Cambria Math" w:hAnsi="Cambria Math"/>
                </w:rPr>
                <m:t>…</m:t>
              </m:r>
              <m:sSub>
                <m:e>
                  <m:r>
                    <w:rPr>
                      <w:rFonts w:ascii="Cambria Math" w:hAnsi="Cambria Math"/>
                    </w:rPr>
                    <m:t>A</m:t>
                  </m:r>
                </m:e>
                <m:sub>
                  <m:r>
                    <m:rPr>
                      <m:sty m:val="p"/>
                    </m:rPr>
                    <w:rPr>
                      <w:rFonts w:ascii="Cambria Math" w:hAnsi="Cambria Math"/>
                    </w:rPr>
                    <m:t>w,W</m:t>
                  </m:r>
                </m:sub>
              </m:sSub>
            </m:oMath>
          </w:p>
        </w:tc>
        <w:tc>
          <w:tcPr>
            <w:tcW w:w="0" w:type="auto"/>
          </w:tcPr>
          <w:p>
            <w:pPr>
              <w:spacing w:after="0" w:line="240" w:lineRule="auto"/>
            </w:pPr>
            <w:r>
              <w:t xml:space="preserve">m²</w:t>
            </w:r>
          </w:p>
        </w:tc>
        <w:tc>
          <w:tcPr>
            <w:tcW w:w="0" w:type="auto"/>
          </w:tcPr>
          <w:p>
            <w:pPr>
              <w:spacing w:after="0" w:line="240" w:lineRule="auto"/>
            </w:pPr>
            <w:r>
              <w:t xml:space="preserve">Ost und West je ½ der Ost-West-Summe</w:t>
            </w:r>
          </w:p>
        </w:tc>
        <w:tc>
          <w:tcPr>
            <w:tcW w:w="0" w:type="auto"/>
          </w:tcPr>
          <w:p>
            <w:pPr>
              <w:spacing w:after="0" w:line="240" w:lineRule="auto"/>
            </w:pPr>
            <w:r>
              <w:t xml:space="preserve">Summe aller vier </w:t>
            </w:r>
            <m:oMath xmlns:m="http://schemas.openxmlformats.org/officeDocument/2006/math">
              <m:r>
                <w:rPr>
                  <w:rFonts w:ascii="Cambria Math" w:hAnsi="Cambria Math"/>
                </w:rPr>
                <m:t>=</m:t>
              </m:r>
              <m:sSub>
                <m:e>
                  <m:r>
                    <w:rPr>
                      <w:rFonts w:ascii="Cambria Math" w:hAnsi="Cambria Math"/>
                    </w:rPr>
                    <m:t>A</m:t>
                  </m:r>
                </m:e>
                <m:sub>
                  <m:r>
                    <m:rPr>
                      <m:sty m:val="p"/>
                    </m:rPr>
                    <w:rPr>
                      <w:rFonts w:ascii="Cambria Math" w:hAnsi="Cambria Math"/>
                    </w:rPr>
                    <m:t>w</m:t>
                  </m:r>
                </m:sub>
              </m:sSub>
            </m:oMath>
          </w:p>
        </w:tc>
      </w:tr>
      <w:tr>
        <w:tc>
          <w:tcPr>
            <w:tcW w:w="0" w:type="auto"/>
          </w:tcPr>
          <w:p>
            <w:pPr>
              <w:spacing w:after="0" w:line="240" w:lineRule="auto"/>
            </w:pPr>
            <w:r>
              <w:t xml:space="preserve">Gesamtenergiedurchlassgrad</w:t>
            </w:r>
          </w:p>
        </w:tc>
        <w:tc>
          <w:tcPr>
            <w:tcW w:w="0" w:type="auto"/>
          </w:tcPr>
          <w:p>
            <w:pPr>
              <w:spacing w:after="0" w:line="240" w:lineRule="auto"/>
            </w:pPr>
            <m:oMath xmlns:m="http://schemas.openxmlformats.org/officeDocument/2006/math">
              <m:r>
                <w:rPr>
                  <w:rFonts w:ascii="Cambria Math" w:hAnsi="Cambria Math"/>
                </w:rPr>
                <m:t>g</m:t>
              </m:r>
            </m:oMath>
          </w:p>
        </w:tc>
        <w:tc>
          <w:tcPr>
            <w:tcW w:w="0" w:type="auto"/>
          </w:tcPr>
          <w:p>
            <w:pPr>
              <w:spacing w:after="0" w:line="240" w:lineRule="auto"/>
            </w:pPr>
            <w:r>
              <w:t xml:space="preserve">—</w:t>
            </w:r>
          </w:p>
        </w:tc>
        <w:tc>
          <w:tcPr>
            <w:tcW w:w="0" w:type="auto"/>
          </w:tcPr>
          <w:p>
            <w:pPr>
              <w:spacing w:after="0" w:line="240" w:lineRule="auto"/>
            </w:pPr>
            <w:r>
              <w:t xml:space="preserve">—</w:t>
            </w:r>
          </w:p>
        </w:tc>
        <w:tc>
          <w:tcPr>
            <w:tcW w:w="0" w:type="auto"/>
          </w:tcPr>
          <w:p>
            <w:pPr>
              <w:spacing w:after="0" w:line="240" w:lineRule="auto"/>
            </w:pPr>
            <m:oMath xmlns:m="http://schemas.openxmlformats.org/officeDocument/2006/math">
              <m:r>
                <w:rPr>
                  <w:rFonts w:ascii="Cambria Math" w:hAnsi="Cambria Math"/>
                </w:rPr>
                <m:t>0</m:t>
              </m:r>
              <m:r>
                <w:rPr>
                  <w:rFonts w:ascii="Cambria Math" w:hAnsi="Cambria Math"/>
                </w:rPr>
                <m:t>&lt;</m:t>
              </m:r>
              <m:r>
                <w:rPr>
                  <w:rFonts w:ascii="Cambria Math" w:hAnsi="Cambria Math"/>
                </w:rPr>
                <m:t>g</m:t>
              </m:r>
              <m:r>
                <w:rPr>
                  <w:rFonts w:ascii="Cambria Math" w:hAnsi="Cambria Math"/>
                </w:rPr>
                <m:t>≤</m:t>
              </m:r>
              <m:r>
                <w:rPr>
                  <w:rFonts w:ascii="Cambria Math" w:hAnsi="Cambria Math"/>
                </w:rPr>
                <m:t>1</m:t>
              </m:r>
            </m:oMath>
          </w:p>
        </w:tc>
      </w:tr>
      <w:tr>
        <w:tc>
          <w:tcPr>
            <w:tcW w:w="0" w:type="auto"/>
          </w:tcPr>
          <w:p>
            <w:pPr>
              <w:spacing w:after="0" w:line="240" w:lineRule="auto"/>
            </w:pPr>
            <w:r>
              <w:t xml:space="preserve">Rahmenanteil, Verschattungsfaktor</w:t>
            </w:r>
          </w:p>
        </w:tc>
        <w:tc>
          <w:tcPr>
            <w:tcW w:w="0" w:type="auto"/>
          </w:tcPr>
          <w:p>
            <w:pPr>
              <w:spacing w:after="0" w:line="240" w:lineRule="auto"/>
            </w:pPr>
            <m:oMath xmlns:m="http://schemas.openxmlformats.org/officeDocument/2006/math">
              <m:r>
                <w:rPr>
                  <w:rFonts w:ascii="Cambria Math" w:hAnsi="Cambria Math"/>
                </w:rPr>
                <m:t>(</m:t>
              </m:r>
              <m:r>
                <w:rPr>
                  <w:rFonts w:ascii="Cambria Math" w:hAnsi="Cambria Math"/>
                </w:rPr>
                <m:t>1</m:t>
              </m:r>
              <m:r>
                <w:rPr>
                  <w:rFonts w:ascii="Cambria Math" w:hAnsi="Cambria Math"/>
                </w:rPr>
                <m:t>-</m:t>
              </m:r>
              <m:sSub>
                <m:e>
                  <m:r>
                    <w:rPr>
                      <w:rFonts w:ascii="Cambria Math" w:hAnsi="Cambria Math"/>
                    </w:rPr>
                    <m:t>F</m:t>
                  </m:r>
                </m:e>
                <m:sub>
                  <m:r>
                    <m:rPr>
                      <m:sty m:val="p"/>
                    </m:rPr>
                    <w:rPr>
                      <w:rFonts w:ascii="Cambria Math" w:hAnsi="Cambria Math"/>
                    </w:rPr>
                    <m:t>F</m:t>
                  </m:r>
                </m:sub>
              </m:sSub>
              <m:r>
                <w:rPr>
                  <w:rFonts w:ascii="Cambria Math" w:hAnsi="Cambria Math"/>
                </w:rPr>
                <m:t>)</m:t>
              </m:r>
            </m:oMath>
            <w:r>
              <w:t xml:space="preserve">, </w:t>
            </w:r>
            <m:oMath xmlns:m="http://schemas.openxmlformats.org/officeDocument/2006/math">
              <m:sSub>
                <m:e>
                  <m:r>
                    <w:rPr>
                      <w:rFonts w:ascii="Cambria Math" w:hAnsi="Cambria Math"/>
                    </w:rPr>
                    <m:t>F</m:t>
                  </m:r>
                </m:e>
                <m:sub>
                  <m:r>
                    <m:rPr>
                      <m:sty m:val="p"/>
                    </m:rPr>
                    <w:rPr>
                      <w:rFonts w:ascii="Cambria Math" w:hAnsi="Cambria Math"/>
                    </w:rPr>
                    <m:t>S</m:t>
                  </m:r>
                </m:sub>
              </m:sSub>
            </m:oMath>
          </w:p>
        </w:tc>
        <w:tc>
          <w:tcPr>
            <w:tcW w:w="0" w:type="auto"/>
          </w:tcPr>
          <w:p>
            <w:pPr>
              <w:spacing w:after="0" w:line="240" w:lineRule="auto"/>
            </w:pPr>
            <w:r>
              <w:t xml:space="preserve">—</w:t>
            </w:r>
          </w:p>
        </w:tc>
        <w:tc>
          <w:tcPr>
            <w:tcW w:w="0" w:type="auto"/>
          </w:tcPr>
          <w:p>
            <w:pPr>
              <w:spacing w:after="0" w:line="240" w:lineRule="auto"/>
            </w:pPr>
            <w:r>
              <w:t xml:space="preserve">0,3 bzw. 0,9</w:t>
            </w:r>
          </w:p>
        </w:tc>
        <w:tc>
          <w:tcPr>
            <w:tcW w:w="0" w:type="auto"/>
          </w:tcPr>
          <w:p>
            <w:pPr>
              <w:spacing w:after="0" w:line="240" w:lineRule="auto"/>
            </w:pPr>
            <m:oMath xmlns:m="http://schemas.openxmlformats.org/officeDocument/2006/math">
              <m:r>
                <w:rPr>
                  <w:rFonts w:ascii="Cambria Math" w:hAnsi="Cambria Math"/>
                </w:rPr>
                <m:t>0</m:t>
              </m:r>
              <m:r>
                <w:rPr>
                  <w:rFonts w:ascii="Cambria Math" w:hAnsi="Cambria Math"/>
                </w:rPr>
                <m:t>≤</m:t>
              </m:r>
            </m:oMath>
            <w:r>
              <w:t xml:space="preserve"> Wert </w:t>
            </w:r>
            <m:oMath xmlns:m="http://schemas.openxmlformats.org/officeDocument/2006/math">
              <m:r>
                <w:rPr>
                  <w:rFonts w:ascii="Cambria Math" w:hAnsi="Cambria Math"/>
                </w:rPr>
                <m:t>&lt;</m:t>
              </m:r>
              <m:r>
                <w:rPr>
                  <w:rFonts w:ascii="Cambria Math" w:hAnsi="Cambria Math"/>
                </w:rPr>
                <m:t>1</m:t>
              </m:r>
            </m:oMath>
            <w:r>
              <w:t xml:space="preserve"> bzw. </w:t>
            </w:r>
            <m:oMath xmlns:m="http://schemas.openxmlformats.org/officeDocument/2006/math">
              <m:r>
                <w:rPr>
                  <w:rFonts w:ascii="Cambria Math" w:hAnsi="Cambria Math"/>
                </w:rPr>
                <m:t>0</m:t>
              </m:r>
              <m:r>
                <w:rPr>
                  <w:rFonts w:ascii="Cambria Math" w:hAnsi="Cambria Math"/>
                </w:rPr>
                <m:t>&lt;</m:t>
              </m:r>
              <m:sSub>
                <m:e>
                  <m:r>
                    <w:rPr>
                      <w:rFonts w:ascii="Cambria Math" w:hAnsi="Cambria Math"/>
                    </w:rPr>
                    <m:t>F</m:t>
                  </m:r>
                </m:e>
                <m:sub>
                  <m:r>
                    <m:rPr>
                      <m:sty m:val="p"/>
                    </m:rPr>
                    <w:rPr>
                      <w:rFonts w:ascii="Cambria Math" w:hAnsi="Cambria Math"/>
                    </w:rPr>
                    <m:t>S</m:t>
                  </m:r>
                </m:sub>
              </m:sSub>
              <m:r>
                <w:rPr>
                  <w:rFonts w:ascii="Cambria Math" w:hAnsi="Cambria Math"/>
                </w:rPr>
                <m:t>≤</m:t>
              </m:r>
              <m:r>
                <w:rPr>
                  <w:rFonts w:ascii="Cambria Math" w:hAnsi="Cambria Math"/>
                </w:rPr>
                <m:t>1</m:t>
              </m:r>
            </m:oMath>
          </w:p>
        </w:tc>
      </w:tr>
      <w:tr>
        <w:tc>
          <w:tcPr>
            <w:tcW w:w="0" w:type="auto"/>
          </w:tcPr>
          <w:p>
            <w:pPr>
              <w:spacing w:after="0" w:line="240" w:lineRule="auto"/>
            </w:pPr>
            <w:r>
              <w:t xml:space="preserve">Wärmebrücken, drei Paare aus </w:t>
            </w:r>
            <m:oMath xmlns:m="http://schemas.openxmlformats.org/officeDocument/2006/math">
              <m:r>
                <w:rPr>
                  <w:rFonts w:ascii="Cambria Math" w:hAnsi="Cambria Math"/>
                </w:rPr>
                <m:t>ψ</m:t>
              </m:r>
            </m:oMath>
            <w:r>
              <w:t xml:space="preserve"> und Länge</w:t>
            </w:r>
          </w:p>
        </w:tc>
        <w:tc>
          <w:tcPr>
            <w:tcW w:w="0" w:type="auto"/>
          </w:tcPr>
          <w:p>
            <w:pPr>
              <w:spacing w:after="0" w:line="240" w:lineRule="auto"/>
            </w:pPr>
            <m:oMath xmlns:m="http://schemas.openxmlformats.org/officeDocument/2006/math">
              <m:sSub>
                <m:e>
                  <m:r>
                    <w:rPr>
                      <w:rFonts w:ascii="Cambria Math" w:hAnsi="Cambria Math"/>
                    </w:rPr>
                    <m:t>ψ</m:t>
                  </m:r>
                </m:e>
                <m:sub>
                  <m:r>
                    <w:rPr>
                      <w:rFonts w:ascii="Cambria Math" w:hAnsi="Cambria Math"/>
                    </w:rPr>
                    <m:t>k</m:t>
                  </m:r>
                </m:sub>
              </m:sSub>
            </m:oMath>
            <w:r>
              <w:t xml:space="preserve">, </w:t>
            </w:r>
            <m:oMath xmlns:m="http://schemas.openxmlformats.org/officeDocument/2006/math">
              <m:sSub>
                <m:e>
                  <m:r>
                    <w:rPr>
                      <w:rFonts w:ascii="Cambria Math" w:hAnsi="Cambria Math"/>
                    </w:rPr>
                    <m:t>L</m:t>
                  </m:r>
                </m:e>
                <m:sub>
                  <m:r>
                    <w:rPr>
                      <w:rFonts w:ascii="Cambria Math" w:hAnsi="Cambria Math"/>
                    </w:rPr>
                    <m:t>k</m:t>
                  </m:r>
                </m:sub>
              </m:sSub>
            </m:oMath>
          </w:p>
        </w:tc>
        <w:tc>
          <w:tcPr>
            <w:tcW w:w="0" w:type="auto"/>
          </w:tcPr>
          <w:p>
            <w:pPr>
              <w:spacing w:after="0" w:line="240" w:lineRule="auto"/>
            </w:pPr>
            <w:r>
              <w:t xml:space="preserve">W/(mK), m</w:t>
            </w:r>
          </w:p>
        </w:tc>
        <w:tc>
          <w:tcPr>
            <w:tcW w:w="0" w:type="auto"/>
          </w:tcPr>
          <w:p>
            <w:pPr>
              <w:spacing w:after="0" w:line="240" w:lineRule="auto"/>
            </w:pPr>
            <w:r>
              <w:t xml:space="preserve">0</w:t>
            </w:r>
          </w:p>
        </w:tc>
        <w:tc>
          <w:tcPr>
            <w:tcW w:w="0" w:type="auto"/>
          </w:tcPr>
          <w:p>
            <w:pPr>
              <w:spacing w:after="0" w:line="240" w:lineRule="auto"/>
            </w:pPr>
            <m:oMath xmlns:m="http://schemas.openxmlformats.org/officeDocument/2006/math">
              <m:r>
                <w:rPr>
                  <w:rFonts w:ascii="Cambria Math" w:hAnsi="Cambria Math"/>
                </w:rPr>
                <m:t>≥</m:t>
              </m:r>
              <m:r>
                <w:rPr>
                  <w:rFonts w:ascii="Cambria Math" w:hAnsi="Cambria Math"/>
                </w:rPr>
                <m:t>0</m:t>
              </m:r>
            </m:oMath>
          </w:p>
        </w:tc>
      </w:tr>
      <w:tr>
        <w:tc>
          <w:tcPr>
            <w:tcW w:w="0" w:type="auto"/>
          </w:tcPr>
          <w:p>
            <w:pPr>
              <w:spacing w:after="0" w:line="240" w:lineRule="auto"/>
            </w:pPr>
            <w:r>
              <w:t xml:space="preserve">Luftwechselrate</w:t>
            </w:r>
          </w:p>
        </w:tc>
        <w:tc>
          <w:tcPr>
            <w:tcW w:w="0" w:type="auto"/>
          </w:tcPr>
          <w:p>
            <w:pPr>
              <w:spacing w:after="0" w:line="240" w:lineRule="auto"/>
            </w:pPr>
            <m:oMath xmlns:m="http://schemas.openxmlformats.org/officeDocument/2006/math">
              <m:r>
                <w:rPr>
                  <w:rFonts w:ascii="Cambria Math" w:hAnsi="Cambria Math"/>
                </w:rPr>
                <m:t>n</m:t>
              </m:r>
            </m:oMath>
          </w:p>
        </w:tc>
        <w:tc>
          <w:tcPr>
            <w:tcW w:w="0" w:type="auto"/>
          </w:tcPr>
          <w:p>
            <w:pPr>
              <w:spacing w:after="0" w:line="240" w:lineRule="auto"/>
            </w:pPr>
            <w:r>
              <w:t xml:space="preserve">1/h</w:t>
            </w:r>
          </w:p>
        </w:tc>
        <w:tc>
          <w:tcPr>
            <w:tcW w:w="0" w:type="auto"/>
          </w:tcPr>
          <w:p>
            <w:pPr>
              <w:spacing w:after="0" w:line="240" w:lineRule="auto"/>
            </w:pPr>
            <w:r>
              <w:t xml:space="preserve">— (DDL-Vorgabe 0)</w:t>
            </w:r>
          </w:p>
        </w:tc>
        <w:tc>
          <w:tcPr>
            <w:tcW w:w="0" w:type="auto"/>
          </w:tcPr>
          <w:p>
            <w:pPr>
              <w:spacing w:after="0" w:line="240" w:lineRule="auto"/>
            </w:pPr>
            <m:oMath xmlns:m="http://schemas.openxmlformats.org/officeDocument/2006/math">
              <m:r>
                <w:rPr>
                  <w:rFonts w:ascii="Cambria Math" w:hAnsi="Cambria Math"/>
                </w:rPr>
                <m:t>&gt;</m:t>
              </m:r>
              <m:r>
                <w:rPr>
                  <w:rFonts w:ascii="Cambria Math" w:hAnsi="Cambria Math"/>
                </w:rPr>
                <m:t>0</m:t>
              </m:r>
            </m:oMath>
          </w:p>
        </w:tc>
      </w:tr>
      <w:tr>
        <w:tc>
          <w:tcPr>
            <w:tcW w:w="0" w:type="auto"/>
          </w:tcPr>
          <w:p>
            <w:pPr>
              <w:spacing w:after="0" w:line="240" w:lineRule="auto"/>
            </w:pPr>
            <w:r>
              <w:t xml:space="preserve">Infiltration und Nutzerlüftung (G2)</w:t>
            </w:r>
          </w:p>
        </w:tc>
        <w:tc>
          <w:tcPr>
            <w:tcW w:w="0" w:type="auto"/>
          </w:tcPr>
          <w:p>
            <w:pPr>
              <w:spacing w:after="0" w:line="240" w:lineRule="auto"/>
            </w:pPr>
            <m:oMath xmlns:m="http://schemas.openxmlformats.org/officeDocument/2006/math">
              <m:sSub>
                <m:e>
                  <m:r>
                    <w:rPr>
                      <w:rFonts w:ascii="Cambria Math" w:hAnsi="Cambria Math"/>
                    </w:rPr>
                    <m:t>n</m:t>
                  </m:r>
                </m:e>
                <m:sub>
                  <m:r>
                    <m:rPr>
                      <m:sty m:val="p"/>
                    </m:rPr>
                    <w:rPr>
                      <w:rFonts w:ascii="Cambria Math" w:hAnsi="Cambria Math"/>
                    </w:rPr>
                    <m:t>inf</m:t>
                  </m:r>
                </m:sub>
              </m:sSub>
            </m:oMath>
            <w:r>
              <w:t xml:space="preserve">, </w:t>
            </w:r>
            <m:oMath xmlns:m="http://schemas.openxmlformats.org/officeDocument/2006/math">
              <m:sSub>
                <m:e>
                  <m:r>
                    <w:rPr>
                      <w:rFonts w:ascii="Cambria Math" w:hAnsi="Cambria Math"/>
                    </w:rPr>
                    <m:t>n</m:t>
                  </m:r>
                </m:e>
                <m:sub>
                  <m:r>
                    <m:rPr>
                      <m:sty m:val="p"/>
                    </m:rPr>
                    <w:rPr>
                      <w:rFonts w:ascii="Cambria Math" w:hAnsi="Cambria Math"/>
                    </w:rPr>
                    <m:t>nutz</m:t>
                  </m:r>
                </m:sub>
              </m:sSub>
            </m:oMath>
          </w:p>
        </w:tc>
        <w:tc>
          <w:tcPr>
            <w:tcW w:w="0" w:type="auto"/>
          </w:tcPr>
          <w:p>
            <w:pPr>
              <w:spacing w:after="0" w:line="240" w:lineRule="auto"/>
            </w:pPr>
            <w:r>
              <w:t xml:space="preserve">1/h</w:t>
            </w:r>
          </w:p>
        </w:tc>
        <w:tc>
          <w:tcPr>
            <w:tcW w:w="0" w:type="auto"/>
          </w:tcPr>
          <w:p>
            <w:pPr>
              <w:spacing w:after="0" w:line="240" w:lineRule="auto"/>
            </w:pPr>
            <w:r>
              <w:t xml:space="preserve">0,3 bzw. 0,4</w:t>
            </w:r>
          </w:p>
        </w:tc>
        <w:tc>
          <w:tcPr>
            <w:tcW w:w="0" w:type="auto"/>
          </w:tcPr>
          <w:p>
            <w:pPr>
              <w:spacing w:after="0" w:line="240" w:lineRule="auto"/>
            </w:pPr>
            <m:oMath xmlns:m="http://schemas.openxmlformats.org/officeDocument/2006/math">
              <m:r>
                <w:rPr>
                  <w:rFonts w:ascii="Cambria Math" w:hAnsi="Cambria Math"/>
                </w:rPr>
                <m:t>&gt;</m:t>
              </m:r>
              <m:r>
                <w:rPr>
                  <w:rFonts w:ascii="Cambria Math" w:hAnsi="Cambria Math"/>
                </w:rPr>
                <m:t>0</m:t>
              </m:r>
            </m:oMath>
            <w:r>
              <w:t xml:space="preserve"> bzw. </w:t>
            </w:r>
            <m:oMath xmlns:m="http://schemas.openxmlformats.org/officeDocument/2006/math">
              <m:r>
                <w:rPr>
                  <w:rFonts w:ascii="Cambria Math" w:hAnsi="Cambria Math"/>
                </w:rPr>
                <m:t>≥</m:t>
              </m:r>
              <m:r>
                <w:rPr>
                  <w:rFonts w:ascii="Cambria Math" w:hAnsi="Cambria Math"/>
                </w:rPr>
                <m:t>0</m:t>
              </m:r>
            </m:oMath>
          </w:p>
        </w:tc>
      </w:tr>
      <w:tr>
        <w:tc>
          <w:tcPr>
            <w:tcW w:w="0" w:type="auto"/>
          </w:tcPr>
          <w:p>
            <w:pPr>
              <w:spacing w:after="0" w:line="240" w:lineRule="auto"/>
            </w:pPr>
            <w:r>
              <w:t xml:space="preserve">Innere Wärmegewinne</w:t>
            </w:r>
          </w:p>
        </w:tc>
        <w:tc>
          <w:tcPr>
            <w:tcW w:w="0" w:type="auto"/>
          </w:tcPr>
          <w:p>
            <w:pPr>
              <w:spacing w:after="0" w:line="240" w:lineRule="auto"/>
            </w:pPr>
            <m:oMath xmlns:m="http://schemas.openxmlformats.org/officeDocument/2006/math">
              <m:sSub>
                <m:e>
                  <m:r>
                    <w:rPr>
                      <w:rFonts w:ascii="Cambria Math" w:hAnsi="Cambria Math"/>
                    </w:rPr>
                    <m:t>Φ</m:t>
                  </m:r>
                </m:e>
                <m:sub>
                  <m:r>
                    <m:rPr>
                      <m:sty m:val="p"/>
                    </m:rPr>
                    <w:rPr>
                      <w:rFonts w:ascii="Cambria Math" w:hAnsi="Cambria Math"/>
                    </w:rPr>
                    <m:t>int</m:t>
                  </m:r>
                </m:sub>
              </m:sSub>
            </m:oMath>
          </w:p>
        </w:tc>
        <w:tc>
          <w:tcPr>
            <w:tcW w:w="0" w:type="auto"/>
          </w:tcPr>
          <w:p>
            <w:pPr>
              <w:spacing w:after="0" w:line="240" w:lineRule="auto"/>
            </w:pPr>
            <w:r>
              <w:t xml:space="preserve">W</w:t>
            </w:r>
          </w:p>
        </w:tc>
        <w:tc>
          <w:tcPr>
            <w:tcW w:w="0" w:type="auto"/>
          </w:tcPr>
          <w:p>
            <w:pPr>
              <w:spacing w:after="0" w:line="240" w:lineRule="auto"/>
            </w:pPr>
            <w:r>
              <w:t xml:space="preserve">0</w:t>
            </w:r>
          </w:p>
        </w:tc>
        <w:tc>
          <w:tcPr>
            <w:tcW w:w="0" w:type="auto"/>
          </w:tcPr>
          <w:p>
            <w:pPr>
              <w:spacing w:after="0" w:line="240" w:lineRule="auto"/>
            </w:pPr>
            <m:oMath xmlns:m="http://schemas.openxmlformats.org/officeDocument/2006/math">
              <m:r>
                <w:rPr>
                  <w:rFonts w:ascii="Cambria Math" w:hAnsi="Cambria Math"/>
                </w:rPr>
                <m:t>≥</m:t>
              </m:r>
              <m:r>
                <w:rPr>
                  <w:rFonts w:ascii="Cambria Math" w:hAnsi="Cambria Math"/>
                </w:rPr>
                <m:t>0</m:t>
              </m:r>
            </m:oMath>
            <w:r>
              <w:t xml:space="preserve">, Leistung des ganzen Katalogbaus</w:t>
            </w:r>
          </w:p>
        </w:tc>
      </w:tr>
      <w:tr>
        <w:tc>
          <w:tcPr>
            <w:tcW w:w="0" w:type="auto"/>
          </w:tcPr>
          <w:p>
            <w:pPr>
              <w:spacing w:after="0" w:line="240" w:lineRule="auto"/>
            </w:pPr>
            <w:r>
              <w:t xml:space="preserve">Sollwerte Tag, Nacht, Wochenende, Ferien</w:t>
            </w:r>
          </w:p>
        </w:tc>
        <w:tc>
          <w:tcPr>
            <w:tcW w:w="0" w:type="auto"/>
          </w:tcPr>
          <w:p>
            <w:pPr>
              <w:spacing w:after="0" w:line="240" w:lineRule="auto"/>
            </w:pPr>
            <m:oMath xmlns:m="http://schemas.openxmlformats.org/officeDocument/2006/math">
              <m:sSub>
                <m:e>
                  <m:r>
                    <w:rPr>
                      <w:rFonts w:ascii="Cambria Math" w:hAnsi="Cambria Math"/>
                    </w:rPr>
                    <m:t>θ</m:t>
                  </m:r>
                </m:e>
                <m:sub>
                  <m:r>
                    <m:rPr>
                      <m:sty m:val="p"/>
                    </m:rPr>
                    <w:rPr>
                      <w:rFonts w:ascii="Cambria Math" w:hAnsi="Cambria Math"/>
                    </w:rPr>
                    <m:t>soll</m:t>
                  </m:r>
                  <m:r>
                    <w:rPr>
                      <w:rFonts w:ascii="Cambria Math" w:hAnsi="Cambria Math"/>
                    </w:rPr>
                    <m:t>,</m:t>
                  </m:r>
                  <m:r>
                    <w:rPr>
                      <w:rFonts w:ascii="Cambria Math" w:hAnsi="Cambria Math"/>
                    </w:rPr>
                    <m:t>*</m:t>
                  </m:r>
                </m:sub>
              </m:sSub>
            </m:oMath>
          </w:p>
        </w:tc>
        <w:tc>
          <w:tcPr>
            <w:tcW w:w="0" w:type="auto"/>
          </w:tcPr>
          <w:p>
            <w:pPr>
              <w:spacing w:after="0" w:line="240" w:lineRule="auto"/>
            </w:pPr>
            <w:r>
              <w:t xml:space="preserve">°C</w:t>
            </w:r>
          </w:p>
        </w:tc>
        <w:tc>
          <w:tcPr>
            <w:tcW w:w="0" w:type="auto"/>
          </w:tcPr>
          <w:p>
            <w:pPr>
              <w:spacing w:after="0" w:line="240" w:lineRule="auto"/>
            </w:pPr>
            <w:r>
              <w:t xml:space="preserve">—</w:t>
            </w:r>
          </w:p>
        </w:tc>
        <w:tc>
          <w:tcPr>
            <w:tcW w:w="0" w:type="auto"/>
          </w:tcPr>
          <w:p>
            <w:pPr>
              <w:spacing w:after="0" w:line="240" w:lineRule="auto"/>
            </w:pPr>
            <w:r>
              <w:t xml:space="preserve">Tag gilt Stunden 7…22; Wochenende wirkt nur über Wert </w:t>
            </w:r>
            <m:oMath xmlns:m="http://schemas.openxmlformats.org/officeDocument/2006/math">
              <m:r>
                <w:rPr>
                  <w:rFonts w:ascii="Cambria Math" w:hAnsi="Cambria Math"/>
                </w:rPr>
                <m:t>&gt;</m:t>
              </m:r>
              <m:r>
                <w:rPr>
                  <w:rFonts w:ascii="Cambria Math" w:hAnsi="Cambria Math"/>
                </w:rPr>
                <m:t>5</m:t>
              </m:r>
            </m:oMath>
          </w:p>
        </w:tc>
      </w:tr>
      <w:tr>
        <w:tc>
          <w:tcPr>
            <w:tcW w:w="0" w:type="auto"/>
          </w:tcPr>
          <w:p>
            <w:pPr>
              <w:spacing w:after="0" w:line="240" w:lineRule="auto"/>
            </w:pPr>
            <w:r>
              <w:t xml:space="preserve">Obere Raumtemperatur</w:t>
            </w:r>
          </w:p>
        </w:tc>
        <w:tc>
          <w:tcPr>
            <w:tcW w:w="0" w:type="auto"/>
          </w:tcPr>
          <w:p>
            <w:pPr>
              <w:spacing w:after="0" w:line="240" w:lineRule="auto"/>
            </w:pPr>
            <m:oMath xmlns:m="http://schemas.openxmlformats.org/officeDocument/2006/math">
              <m:sSub>
                <m:e>
                  <m:r>
                    <w:rPr>
                      <w:rFonts w:ascii="Cambria Math" w:hAnsi="Cambria Math"/>
                    </w:rPr>
                    <m:t>θ</m:t>
                  </m:r>
                </m:e>
                <m:sub>
                  <m:r>
                    <m:rPr>
                      <m:sty m:val="p"/>
                    </m:rPr>
                    <w:rPr>
                      <w:rFonts w:ascii="Cambria Math" w:hAnsi="Cambria Math"/>
                    </w:rPr>
                    <m:t>max</m:t>
                  </m:r>
                </m:sub>
              </m:sSub>
            </m:oMath>
          </w:p>
        </w:tc>
        <w:tc>
          <w:tcPr>
            <w:tcW w:w="0" w:type="auto"/>
          </w:tcPr>
          <w:p>
            <w:pPr>
              <w:spacing w:after="0" w:line="240" w:lineRule="auto"/>
            </w:pPr>
            <w:r>
              <w:t xml:space="preserve">°C</w:t>
            </w:r>
          </w:p>
        </w:tc>
        <w:tc>
          <w:tcPr>
            <w:tcW w:w="0" w:type="auto"/>
          </w:tcPr>
          <w:p>
            <w:pPr>
              <w:spacing w:after="0" w:line="240" w:lineRule="auto"/>
            </w:pPr>
            <w:r>
              <w:t xml:space="preserve">—</w:t>
            </w:r>
          </w:p>
        </w:tc>
        <w:tc>
          <w:tcPr>
            <w:tcW w:w="0" w:type="auto"/>
          </w:tcPr>
          <w:p>
            <w:pPr>
              <w:spacing w:after="0" w:line="240" w:lineRule="auto"/>
            </w:pPr>
            <m:oMath xmlns:m="http://schemas.openxmlformats.org/officeDocument/2006/math">
              <m:r>
                <w:rPr>
                  <w:rFonts w:ascii="Cambria Math" w:hAnsi="Cambria Math"/>
                </w:rPr>
                <m:t>&gt;</m:t>
              </m:r>
              <m:sSub>
                <m:e>
                  <m:r>
                    <w:rPr>
                      <w:rFonts w:ascii="Cambria Math" w:hAnsi="Cambria Math"/>
                    </w:rPr>
                    <m:t>θ</m:t>
                  </m:r>
                </m:e>
                <m:sub>
                  <m:r>
                    <m:rPr>
                      <m:sty m:val="p"/>
                    </m:rPr>
                    <w:rPr>
                      <w:rFonts w:ascii="Cambria Math" w:hAnsi="Cambria Math"/>
                    </w:rPr>
                    <m:t>soll,Tag</m:t>
                  </m:r>
                </m:sub>
              </m:sSub>
            </m:oMath>
          </w:p>
        </w:tc>
      </w:tr>
      <w:tr>
        <w:tc>
          <w:tcPr>
            <w:tcW w:w="0" w:type="auto"/>
          </w:tcPr>
          <w:p>
            <w:pPr>
              <w:spacing w:after="0" w:line="240" w:lineRule="auto"/>
            </w:pPr>
            <w:r>
              <w:t xml:space="preserve">Ferienzeiträume</w:t>
            </w:r>
          </w:p>
        </w:tc>
        <w:tc>
          <w:tcPr>
            <w:tcW w:w="0" w:type="auto"/>
          </w:tcPr>
          <w:p>
            <w:pPr>
              <w:spacing w:after="0" w:line="240" w:lineRule="auto"/>
            </w:pPr>
            <w:r>
              <w:t xml:space="preserve">—</w:t>
            </w:r>
          </w:p>
        </w:tc>
        <w:tc>
          <w:tcPr>
            <w:tcW w:w="0" w:type="auto"/>
          </w:tcPr>
          <w:p>
            <w:pPr>
              <w:spacing w:after="0" w:line="240" w:lineRule="auto"/>
            </w:pPr>
            <w:r>
              <w:t xml:space="preserve">Tag 1…365</w:t>
            </w:r>
          </w:p>
        </w:tc>
        <w:tc>
          <w:tcPr>
            <w:tcW w:w="0" w:type="auto"/>
          </w:tcPr>
          <w:p>
            <w:pPr>
              <w:spacing w:after="0" w:line="240" w:lineRule="auto"/>
            </w:pPr>
            <w:r>
              <w:t xml:space="preserve">aus</w:t>
            </w:r>
          </w:p>
        </w:tc>
        <w:tc>
          <w:tcPr>
            <w:tcW w:w="0" w:type="auto"/>
          </w:tcPr>
          <w:p>
            <w:pPr>
              <w:spacing w:after="0" w:line="240" w:lineRule="auto"/>
            </w:pPr>
            <w:r>
              <w:rPr>
                <w:b/>
              </w:rPr>
              <w:t xml:space="preserve">0 und 366 heißen „aus"</w:t>
            </w:r>
          </w:p>
        </w:tc>
      </w:tr>
      <w:tr>
        <w:tc>
          <w:tcPr>
            <w:tcW w:w="0" w:type="auto"/>
          </w:tcPr>
          <w:p>
            <w:pPr>
              <w:spacing w:after="0" w:line="240" w:lineRule="auto"/>
            </w:pPr>
            <w:r>
              <w:t xml:space="preserve">Masseanteil außen, Innenflächenfaktor</w:t>
            </w:r>
          </w:p>
        </w:tc>
        <w:tc>
          <w:tcPr>
            <w:tcW w:w="0" w:type="auto"/>
          </w:tcPr>
          <w:p>
            <w:pPr>
              <w:spacing w:after="0" w:line="240" w:lineRule="auto"/>
            </w:pPr>
            <m:oMath xmlns:m="http://schemas.openxmlformats.org/officeDocument/2006/math">
              <m:sSub>
                <m:e>
                  <m:r>
                    <w:rPr>
                      <w:rFonts w:ascii="Cambria Math" w:hAnsi="Cambria Math"/>
                    </w:rPr>
                    <m:t>a</m:t>
                  </m:r>
                </m:e>
                <m:sub>
                  <m:r>
                    <m:rPr>
                      <m:sty m:val="p"/>
                    </m:rPr>
                    <w:rPr>
                      <w:rFonts w:ascii="Cambria Math" w:hAnsi="Cambria Math"/>
                    </w:rPr>
                    <m:t>AW</m:t>
                  </m:r>
                </m:sub>
              </m:sSub>
            </m:oMath>
            <w:r>
              <w:t xml:space="preserve">, </w:t>
            </w:r>
            <m:oMath xmlns:m="http://schemas.openxmlformats.org/officeDocument/2006/math">
              <m:sSub>
                <m:e>
                  <m:r>
                    <w:rPr>
                      <w:rFonts w:ascii="Cambria Math" w:hAnsi="Cambria Math"/>
                    </w:rPr>
                    <m:t>f</m:t>
                  </m:r>
                </m:e>
                <m:sub>
                  <m:r>
                    <m:rPr>
                      <m:sty m:val="p"/>
                    </m:rPr>
                    <w:rPr>
                      <w:rFonts w:ascii="Cambria Math" w:hAnsi="Cambria Math"/>
                    </w:rPr>
                    <m:t>IW</m:t>
                  </m:r>
                </m:sub>
              </m:sSub>
            </m:oMath>
          </w:p>
        </w:tc>
        <w:tc>
          <w:tcPr>
            <w:tcW w:w="0" w:type="auto"/>
          </w:tcPr>
          <w:p>
            <w:pPr>
              <w:spacing w:after="0" w:line="240" w:lineRule="auto"/>
            </w:pPr>
            <w:r>
              <w:t xml:space="preserve">—</w:t>
            </w:r>
          </w:p>
        </w:tc>
        <w:tc>
          <w:tcPr>
            <w:tcW w:w="0" w:type="auto"/>
          </w:tcPr>
          <w:p>
            <w:pPr>
              <w:spacing w:after="0" w:line="240" w:lineRule="auto"/>
            </w:pPr>
            <w:r>
              <w:t xml:space="preserve">0,3 bzw. 2,5</w:t>
            </w:r>
          </w:p>
        </w:tc>
        <w:tc>
          <w:tcPr>
            <w:tcW w:w="0" w:type="auto"/>
          </w:tcPr>
          <w:p>
            <w:pPr>
              <w:spacing w:after="0" w:line="240" w:lineRule="auto"/>
            </w:pPr>
            <m:oMath xmlns:m="http://schemas.openxmlformats.org/officeDocument/2006/math">
              <m:r>
                <w:rPr>
                  <w:rFonts w:ascii="Cambria Math" w:hAnsi="Cambria Math"/>
                </w:rPr>
                <m:t>0</m:t>
              </m:r>
              <m:r>
                <w:rPr>
                  <w:rFonts w:ascii="Cambria Math" w:hAnsi="Cambria Math"/>
                </w:rPr>
                <m:t>&lt;</m:t>
              </m:r>
              <m:sSub>
                <m:e>
                  <m:r>
                    <w:rPr>
                      <w:rFonts w:ascii="Cambria Math" w:hAnsi="Cambria Math"/>
                    </w:rPr>
                    <m:t>a</m:t>
                  </m:r>
                </m:e>
                <m:sub>
                  <m:r>
                    <m:rPr>
                      <m:sty m:val="p"/>
                    </m:rPr>
                    <w:rPr>
                      <w:rFonts w:ascii="Cambria Math" w:hAnsi="Cambria Math"/>
                    </w:rPr>
                    <m:t>AW</m:t>
                  </m:r>
                </m:sub>
              </m:sSub>
              <m:r>
                <w:rPr>
                  <w:rFonts w:ascii="Cambria Math" w:hAnsi="Cambria Math"/>
                </w:rPr>
                <m:t>&lt;</m:t>
              </m:r>
              <m:r>
                <w:rPr>
                  <w:rFonts w:ascii="Cambria Math" w:hAnsi="Cambria Math"/>
                </w:rPr>
                <m:t>1</m:t>
              </m:r>
            </m:oMath>
            <w:r>
              <w:t xml:space="preserve">; </w:t>
            </w:r>
            <m:oMath xmlns:m="http://schemas.openxmlformats.org/officeDocument/2006/math">
              <m:sSub>
                <m:e>
                  <m:r>
                    <w:rPr>
                      <w:rFonts w:ascii="Cambria Math" w:hAnsi="Cambria Math"/>
                    </w:rPr>
                    <m:t>f</m:t>
                  </m:r>
                </m:e>
                <m:sub>
                  <m:r>
                    <m:rPr>
                      <m:sty m:val="p"/>
                    </m:rPr>
                    <w:rPr>
                      <w:rFonts w:ascii="Cambria Math" w:hAnsi="Cambria Math"/>
                    </w:rPr>
                    <m:t>IW</m:t>
                  </m:r>
                </m:sub>
              </m:sSub>
              <m:r>
                <w:rPr>
                  <w:rFonts w:ascii="Cambria Math" w:hAnsi="Cambria Math"/>
                </w:rPr>
                <m:t>&gt;</m:t>
              </m:r>
              <m:r>
                <w:rPr>
                  <w:rFonts w:ascii="Cambria Math" w:hAnsi="Cambria Math"/>
                </w:rPr>
                <m:t>0</m:t>
              </m:r>
            </m:oMath>
          </w:p>
        </w:tc>
      </w:tr>
      <w:tr>
        <w:tc>
          <w:tcPr>
            <w:tcW w:w="0" w:type="auto"/>
          </w:tcPr>
          <w:p>
            <w:pPr>
              <w:spacing w:after="0" w:line="240" w:lineRule="auto"/>
            </w:pPr>
            <w:r>
              <w:t xml:space="preserve">Strahlungsanteil der Heizung</w:t>
            </w:r>
          </w:p>
        </w:tc>
        <w:tc>
          <w:tcPr>
            <w:tcW w:w="0" w:type="auto"/>
          </w:tcPr>
          <w:p>
            <w:pPr>
              <w:spacing w:after="0" w:line="240" w:lineRule="auto"/>
            </w:pPr>
            <m:oMath xmlns:m="http://schemas.openxmlformats.org/officeDocument/2006/math">
              <m:sSub>
                <m:e>
                  <m:r>
                    <w:rPr>
                      <w:rFonts w:ascii="Cambria Math" w:hAnsi="Cambria Math"/>
                    </w:rPr>
                    <m:t>a</m:t>
                  </m:r>
                </m:e>
                <m:sub>
                  <m:r>
                    <m:rPr>
                      <m:sty m:val="p"/>
                    </m:rPr>
                    <w:rPr>
                      <w:rFonts w:ascii="Cambria Math" w:hAnsi="Cambria Math"/>
                    </w:rPr>
                    <m:t>str,H</m:t>
                  </m:r>
                </m:sub>
              </m:sSub>
            </m:oMath>
          </w:p>
        </w:tc>
        <w:tc>
          <w:tcPr>
            <w:tcW w:w="0" w:type="auto"/>
          </w:tcPr>
          <w:p>
            <w:pPr>
              <w:spacing w:after="0" w:line="240" w:lineRule="auto"/>
            </w:pPr>
            <w:r>
              <w:t xml:space="preserve">—</w:t>
            </w:r>
          </w:p>
        </w:tc>
        <w:tc>
          <w:tcPr>
            <w:tcW w:w="0" w:type="auto"/>
          </w:tcPr>
          <w:p>
            <w:pPr>
              <w:spacing w:after="0" w:line="240" w:lineRule="auto"/>
            </w:pPr>
            <w:r>
              <w:t xml:space="preserve">0,3</w:t>
            </w:r>
          </w:p>
        </w:tc>
        <w:tc>
          <w:tcPr>
            <w:tcW w:w="0" w:type="auto"/>
          </w:tcPr>
          <w:p>
            <w:pPr>
              <w:spacing w:after="0" w:line="240" w:lineRule="auto"/>
            </w:pPr>
            <w:r>
              <w:t xml:space="preserve">0 … 1</w:t>
            </w:r>
          </w:p>
        </w:tc>
      </w:tr>
      <w:tr>
        <w:tc>
          <w:tcPr>
            <w:tcW w:w="0" w:type="auto"/>
          </w:tcPr>
          <w:p>
            <w:pPr>
              <w:spacing w:after="0" w:line="240" w:lineRule="auto"/>
            </w:pPr>
            <w:r>
              <w:t xml:space="preserve">Heizleistungsgrenze</w:t>
            </w:r>
          </w:p>
        </w:tc>
        <w:tc>
          <w:tcPr>
            <w:tcW w:w="0" w:type="auto"/>
          </w:tcPr>
          <w:p>
            <w:pPr>
              <w:spacing w:after="0" w:line="240" w:lineRule="auto"/>
            </w:pPr>
            <m:oMath xmlns:m="http://schemas.openxmlformats.org/officeDocument/2006/math">
              <m:sSub>
                <m:e>
                  <m:r>
                    <w:rPr>
                      <w:rFonts w:ascii="Cambria Math" w:hAnsi="Cambria Math"/>
                    </w:rPr>
                    <m:t>Φ</m:t>
                  </m:r>
                </m:e>
                <m:sub>
                  <m:r>
                    <m:rPr>
                      <m:sty m:val="p"/>
                    </m:rPr>
                    <w:rPr>
                      <w:rFonts w:ascii="Cambria Math" w:hAnsi="Cambria Math"/>
                    </w:rPr>
                    <m:t>h,max</m:t>
                  </m:r>
                </m:sub>
              </m:sSub>
            </m:oMath>
          </w:p>
        </w:tc>
        <w:tc>
          <w:tcPr>
            <w:tcW w:w="0" w:type="auto"/>
          </w:tcPr>
          <w:p>
            <w:pPr>
              <w:spacing w:after="0" w:line="240" w:lineRule="auto"/>
            </w:pPr>
            <w:r>
              <w:rPr>
                <w:b/>
              </w:rPr>
              <w:t xml:space="preserve">kW</w:t>
            </w:r>
          </w:p>
        </w:tc>
        <w:tc>
          <w:tcPr>
            <w:tcW w:w="0" w:type="auto"/>
          </w:tcPr>
          <w:p>
            <w:pPr>
              <w:spacing w:after="0" w:line="240" w:lineRule="auto"/>
            </w:pPr>
            <w:r>
              <w:t xml:space="preserve">unbegrenzt</w:t>
            </w:r>
          </w:p>
        </w:tc>
        <w:tc>
          <w:tcPr>
            <w:tcW w:w="0" w:type="auto"/>
          </w:tcPr>
          <w:p>
            <w:pPr>
              <w:spacing w:after="0" w:line="240" w:lineRule="auto"/>
            </w:pPr>
            <w:r>
              <w:t xml:space="preserve">der Eingangsbauer bildet daraus </w:t>
            </w:r>
            <w:r>
              <w:rPr>
                <w:b/>
              </w:rPr>
              <w:t xml:space="preserve">einmal</w:t>
            </w:r>
            <w:r>
              <w:t xml:space="preserve"> den Wattwert</w:t>
            </w:r>
          </w:p>
        </w:tc>
      </w:tr>
      <w:tr>
        <w:tc>
          <w:tcPr>
            <w:tcW w:w="0" w:type="auto"/>
          </w:tcPr>
          <w:p>
            <w:pPr>
              <w:spacing w:after="0" w:line="240" w:lineRule="auto"/>
            </w:pPr>
            <w:r>
              <w:t xml:space="preserve">Randbedingung Grundfläche, Kellertemperatur</w:t>
            </w:r>
          </w:p>
        </w:tc>
        <w:tc>
          <w:tcPr>
            <w:tcW w:w="0" w:type="auto"/>
          </w:tcPr>
          <w:p>
            <w:pPr>
              <w:spacing w:after="0" w:line="240" w:lineRule="auto"/>
            </w:pPr>
            <w:r>
              <w:t xml:space="preserve">— , </w:t>
            </w:r>
            <m:oMath xmlns:m="http://schemas.openxmlformats.org/officeDocument/2006/math">
              <m:sSub>
                <m:e>
                  <m:r>
                    <w:rPr>
                      <w:rFonts w:ascii="Cambria Math" w:hAnsi="Cambria Math"/>
                    </w:rPr>
                    <m:t>θ</m:t>
                  </m:r>
                </m:e>
                <m:sub>
                  <m:r>
                    <m:rPr>
                      <m:sty m:val="p"/>
                    </m:rPr>
                    <w:rPr>
                      <w:rFonts w:ascii="Cambria Math" w:hAnsi="Cambria Math"/>
                    </w:rPr>
                    <m:t>NR</m:t>
                  </m:r>
                </m:sub>
              </m:sSub>
            </m:oMath>
          </w:p>
        </w:tc>
        <w:tc>
          <w:tcPr>
            <w:tcW w:w="0" w:type="auto"/>
          </w:tcPr>
          <w:p>
            <w:pPr>
              <w:spacing w:after="0" w:line="240" w:lineRule="auto"/>
            </w:pPr>
            <w:r>
              <w:t xml:space="preserve">— , °C</w:t>
            </w:r>
          </w:p>
        </w:tc>
        <w:tc>
          <w:tcPr>
            <w:tcW w:w="0" w:type="auto"/>
          </w:tcPr>
          <w:p>
            <w:pPr>
              <w:spacing w:after="0" w:line="240" w:lineRule="auto"/>
            </w:pPr>
            <w:r>
              <w:t xml:space="preserve">ERDREICH bzw. 10</w:t>
            </w:r>
          </w:p>
        </w:tc>
        <w:tc>
          <w:tcPr>
            <w:tcW w:w="0" w:type="auto"/>
          </w:tcPr>
          <w:p>
            <w:pPr>
              <w:spacing w:after="0" w:line="240" w:lineRule="auto"/>
            </w:pPr>
            <w:r>
              <w:t xml:space="preserve">ERDREICH / KELLER / AUSSENLUFT</w:t>
            </w:r>
          </w:p>
        </w:tc>
      </w:tr>
      <w:tr>
        <w:tc>
          <w:tcPr>
            <w:tcW w:w="0" w:type="auto"/>
          </w:tcPr>
          <w:p>
            <w:pPr>
              <w:spacing w:after="0" w:line="240" w:lineRule="auto"/>
            </w:pPr>
            <w:r>
              <w:t xml:space="preserve">Strahlung auf Außenbauteile</w:t>
            </w:r>
          </w:p>
        </w:tc>
        <w:tc>
          <w:tcPr>
            <w:tcW w:w="0" w:type="auto"/>
          </w:tcPr>
          <w:p>
            <w:pPr>
              <w:spacing w:after="0" w:line="240" w:lineRule="auto"/>
            </w:pPr>
            <w:r>
              <w:t xml:space="preserve">—</w:t>
            </w:r>
          </w:p>
        </w:tc>
        <w:tc>
          <w:tcPr>
            <w:tcW w:w="0" w:type="auto"/>
          </w:tcPr>
          <w:p>
            <w:pPr>
              <w:spacing w:after="0" w:line="240" w:lineRule="auto"/>
            </w:pPr>
            <w:r>
              <w:t xml:space="preserve">0/1</w:t>
            </w:r>
          </w:p>
        </w:tc>
        <w:tc>
          <w:tcPr>
            <w:tcW w:w="0" w:type="auto"/>
          </w:tcPr>
          <w:p>
            <w:pPr>
              <w:spacing w:after="0" w:line="240" w:lineRule="auto"/>
            </w:pPr>
            <w:r>
              <w:t xml:space="preserve">0 (Schalter)</w:t>
            </w:r>
          </w:p>
        </w:tc>
        <w:tc>
          <w:tcPr>
            <w:tcW w:w="0" w:type="auto"/>
          </w:tcPr>
          <w:p>
            <w:pPr>
              <w:spacing w:after="0" w:line="240" w:lineRule="auto"/>
            </w:pPr>
            <w:r>
              <w:t xml:space="preserve">—</w:t>
            </w:r>
          </w:p>
        </w:tc>
      </w:tr>
      <w:tr>
        <w:tc>
          <w:tcPr>
            <w:tcW w:w="0" w:type="auto"/>
          </w:tcPr>
          <w:p>
            <w:pPr>
              <w:spacing w:after="0" w:line="240" w:lineRule="auto"/>
            </w:pPr>
            <w:r>
              <w:t xml:space="preserve">Projektfläche, Katalogfläche, Jahresnutzungsgrad, Fläche je Person</w:t>
            </w:r>
          </w:p>
        </w:tc>
        <w:tc>
          <w:tcPr>
            <w:tcW w:w="0" w:type="auto"/>
          </w:tcPr>
          <w:p>
            <w:pPr>
              <w:spacing w:after="0" w:line="240" w:lineRule="auto"/>
            </w:pPr>
            <m:oMath xmlns:m="http://schemas.openxmlformats.org/officeDocument/2006/math">
              <m:sSub>
                <m:e>
                  <m:r>
                    <w:rPr>
                      <w:rFonts w:ascii="Cambria Math" w:hAnsi="Cambria Math"/>
                    </w:rPr>
                    <m:t>A</m:t>
                  </m:r>
                </m:e>
                <m:sub>
                  <m:r>
                    <m:rPr>
                      <m:sty m:val="p"/>
                    </m:rPr>
                    <w:rPr>
                      <w:rFonts w:ascii="Cambria Math" w:hAnsi="Cambria Math"/>
                    </w:rPr>
                    <m:t>proj</m:t>
                  </m:r>
                </m:sub>
              </m:sSub>
            </m:oMath>
            <w:r>
              <w:t xml:space="preserve">, </w:t>
            </w:r>
            <m:oMath xmlns:m="http://schemas.openxmlformats.org/officeDocument/2006/math">
              <m:sSub>
                <m:e>
                  <m:r>
                    <w:rPr>
                      <w:rFonts w:ascii="Cambria Math" w:hAnsi="Cambria Math"/>
                    </w:rPr>
                    <m:t>A</m:t>
                  </m:r>
                </m:e>
                <m:sub>
                  <m:r>
                    <m:rPr>
                      <m:sty m:val="p"/>
                    </m:rPr>
                    <w:rPr>
                      <w:rFonts w:ascii="Cambria Math" w:hAnsi="Cambria Math"/>
                    </w:rPr>
                    <m:t>alt</m:t>
                  </m:r>
                </m:sub>
              </m:sSub>
            </m:oMath>
            <w:r>
              <w:t xml:space="preserve">, </w:t>
            </w:r>
            <m:oMath xmlns:m="http://schemas.openxmlformats.org/officeDocument/2006/math">
              <m:r>
                <w:rPr>
                  <w:rFonts w:ascii="Cambria Math" w:hAnsi="Cambria Math"/>
                </w:rPr>
                <m:t>η</m:t>
              </m:r>
            </m:oMath>
            <w:r>
              <w:t xml:space="preserve">, —</w:t>
            </w:r>
          </w:p>
        </w:tc>
        <w:tc>
          <w:tcPr>
            <w:tcW w:w="0" w:type="auto"/>
          </w:tcPr>
          <w:p>
            <w:pPr>
              <w:spacing w:after="0" w:line="240" w:lineRule="auto"/>
            </w:pPr>
            <w:r>
              <w:t xml:space="preserve">m², m², —, m²/Person</w:t>
            </w:r>
          </w:p>
        </w:tc>
        <w:tc>
          <w:tcPr>
            <w:tcW w:w="0" w:type="auto"/>
          </w:tcPr>
          <w:p>
            <w:pPr>
              <w:spacing w:after="0" w:line="240" w:lineRule="auto"/>
            </w:pPr>
            <w:r>
              <w:t xml:space="preserve">—</w:t>
            </w:r>
          </w:p>
        </w:tc>
        <w:tc>
          <w:tcPr>
            <w:tcW w:w="0" w:type="auto"/>
          </w:tcPr>
          <w:p>
            <w:pPr>
              <w:spacing w:after="0" w:line="240" w:lineRule="auto"/>
            </w:pPr>
            <m:oMath xmlns:m="http://schemas.openxmlformats.org/officeDocument/2006/math">
              <m:r>
                <w:rPr>
                  <w:rFonts w:ascii="Cambria Math" w:hAnsi="Cambria Math"/>
                </w:rPr>
                <m:t>&gt;</m:t>
              </m:r>
              <m:r>
                <w:rPr>
                  <w:rFonts w:ascii="Cambria Math" w:hAnsi="Cambria Math"/>
                </w:rPr>
                <m:t>0</m:t>
              </m:r>
            </m:oMath>
          </w:p>
        </w:tc>
      </w:tr>
    </w:tbl>
    <w:p>
      <w:pPr>
        <w:spacing w:after="120"/>
      </w:pPr>
    </w:p>
    <w:p>
      <w:r>
        <w:rPr>
          <w:b/>
        </w:rPr>
        <w:t xml:space="preserve">Klimadaten:</w:t>
      </w:r>
      <w:r>
        <w:t xml:space="preserve"> Außenlufttemperatur, Global-, Direkt- (normal zur Sonne) und Diffusstrahlung sowie Sonnenhöhe aus </w:t>
      </w:r>
      <w:r>
        <w:rPr>
          <w:rFonts w:ascii="Consolas" w:hAnsi="Consolas" w:cs="Consolas"/>
          <w:noProof/>
          <w:sz w:val="20"/>
          <w:szCs w:val="20"/>
          <w:shd w:val="clear" w:color="auto" w:fill="EFEFEF"/>
        </w:rPr>
        <w:t xml:space="preserve">Tab_Solar</w:t>
      </w:r>
      <w:r>
        <w:t xml:space="preserve">, gelesen über den Ortszeitweg; atmosphärische Gegenstrahlung, Windgeschwindigkeit und Luftfeuchte kommen mit einem eigenen Schemaschritt hinzu; die Wochenendmaske über 365 Tage aus </w:t>
      </w:r>
      <w:r>
        <w:rPr>
          <w:rFonts w:ascii="Consolas" w:hAnsi="Consolas" w:cs="Consolas"/>
          <w:noProof/>
          <w:sz w:val="20"/>
          <w:szCs w:val="20"/>
          <w:shd w:val="clear" w:color="auto" w:fill="EFEFEF"/>
        </w:rPr>
        <w:t xml:space="preserve">Tab_Klimadaten</w:t>
      </w:r>
      <w:r>
        <w:t xml:space="preserve">; Längen- und Breitengrad aus der Klimaregion des Projekts. Die isotropen Tagesmittel gehören dem Tagesbilanz-Weg; die gleichnamigen Stundenspalten werden beim Import geschrieben, aber </w:t>
      </w:r>
      <w:r>
        <w:rPr>
          <w:b/>
        </w:rPr>
        <w:t xml:space="preserve">von keinem Rechenweg des Kerns gelesen</w:t>
      </w:r>
      <w:r>
        <w:t xml:space="preserve"> — das Stundenmodell rechnet die Fassadenstrahlung selbst.</w:t>
      </w:r>
    </w:p>
    <w:p>
      <w:r>
        <w:rPr>
          <w:b/>
        </w:rPr>
        <w:t xml:space="preserve">Festwerte des Modells</w:t>
      </w:r>
      <w:r>
        <w:t xml:space="preserve"> (im Quelltext, nicht in der Datenbank): innerer Strahlungsübergang </w:t>
      </w:r>
      <m:oMath xmlns:m="http://schemas.openxmlformats.org/officeDocument/2006/math">
        <m:sSub>
          <m:e>
            <m:r>
              <w:rPr>
                <w:rFonts w:ascii="Cambria Math" w:hAnsi="Cambria Math"/>
              </w:rPr>
              <m:t>α</m:t>
            </m:r>
          </m:e>
          <m:sub>
            <m:r>
              <m:rPr>
                <m:sty m:val="p"/>
              </m:rPr>
              <w:rPr>
                <w:rFonts w:ascii="Cambria Math" w:hAnsi="Cambria Math"/>
              </w:rPr>
              <m:t>str,i</m:t>
            </m:r>
          </m:sub>
        </m:sSub>
        <m:r>
          <w:rPr>
            <w:rFonts w:ascii="Cambria Math" w:hAnsi="Cambria Math"/>
          </w:rPr>
          <m:t>=</m:t>
        </m:r>
        <m:r>
          <w:rPr>
            <w:rFonts w:ascii="Cambria Math" w:hAnsi="Cambria Math"/>
          </w:rPr>
          <m:t>5</m:t>
        </m:r>
        <m:r>
          <w:rPr>
            <w:rFonts w:ascii="Cambria Math" w:hAnsi="Cambria Math"/>
          </w:rPr>
          <m:t>,</m:t>
        </m:r>
        <m:r>
          <w:rPr>
            <w:rFonts w:ascii="Cambria Math" w:hAnsi="Cambria Math"/>
          </w:rPr>
          <m:t>0</m:t>
        </m:r>
      </m:oMath>
      <w:r>
        <w:t xml:space="preserve"> W/(m²K); innerer konvektiver Übergang </w:t>
      </w:r>
      <m:oMath xmlns:m="http://schemas.openxmlformats.org/officeDocument/2006/math">
        <m:sSub>
          <m:e>
            <m:r>
              <w:rPr>
                <w:rFonts w:ascii="Cambria Math" w:hAnsi="Cambria Math"/>
              </w:rPr>
              <m:t>α</m:t>
            </m:r>
          </m:e>
          <m:sub>
            <m:r>
              <m:rPr>
                <m:sty m:val="p"/>
              </m:rPr>
              <w:rPr>
                <w:rFonts w:ascii="Cambria Math" w:hAnsi="Cambria Math"/>
              </w:rPr>
              <m:t>kon,i</m:t>
            </m:r>
          </m:sub>
        </m:sSub>
        <m:r>
          <w:rPr>
            <w:rFonts w:ascii="Cambria Math" w:hAnsi="Cambria Math"/>
          </w:rPr>
          <m:t>=</m:t>
        </m:r>
        <m:r>
          <w:rPr>
            <w:rFonts w:ascii="Cambria Math" w:hAnsi="Cambria Math"/>
          </w:rPr>
          <m:t>2</m:t>
        </m:r>
        <m:r>
          <w:rPr>
            <w:rFonts w:ascii="Cambria Math" w:hAnsi="Cambria Math"/>
          </w:rPr>
          <m:t>,</m:t>
        </m:r>
        <m:r>
          <w:rPr>
            <w:rFonts w:ascii="Cambria Math" w:hAnsi="Cambria Math"/>
          </w:rPr>
          <m:t>7</m:t>
        </m:r>
      </m:oMath>
      <w:r>
        <w:t xml:space="preserve"> W/(m²K); äußerer Übergang </w:t>
      </w:r>
      <m:oMath xmlns:m="http://schemas.openxmlformats.org/officeDocument/2006/math">
        <m:sSub>
          <m:e>
            <m:r>
              <w:rPr>
                <w:rFonts w:ascii="Cambria Math" w:hAnsi="Cambria Math"/>
              </w:rPr>
              <m:t>α</m:t>
            </m:r>
          </m:e>
          <m:sub>
            <m:r>
              <m:rPr>
                <m:sty m:val="p"/>
              </m:rPr>
              <w:rPr>
                <w:rFonts w:ascii="Cambria Math" w:hAnsi="Cambria Math"/>
              </w:rPr>
              <m:t>A</m:t>
            </m:r>
          </m:sub>
        </m:sSub>
        <m:r>
          <w:rPr>
            <w:rFonts w:ascii="Cambria Math" w:hAnsi="Cambria Math"/>
          </w:rPr>
          <m:t>=</m:t>
        </m:r>
        <m:r>
          <w:rPr>
            <w:rFonts w:ascii="Cambria Math" w:hAnsi="Cambria Math"/>
          </w:rPr>
          <m:t>2</m:t>
        </m:r>
        <m:r>
          <w:rPr>
            <w:rFonts w:ascii="Cambria Math" w:hAnsi="Cambria Math"/>
          </w:rPr>
          <m:t>5</m:t>
        </m:r>
      </m:oMath>
      <w:r>
        <w:t xml:space="preserve"> W/(m²K) als Summe 20,0 + 5,0 aus den Testräumen — </w:t>
      </w:r>
      <w:r>
        <w:rPr>
          <w:b/>
        </w:rPr>
        <w:t xml:space="preserve">kein gesetzter Normwert</w:t>
      </w:r>
      <w:r>
        <w:t xml:space="preserve">; Massen-Oberflächen-Koeffizient </w:t>
      </w:r>
      <m:oMath xmlns:m="http://schemas.openxmlformats.org/officeDocument/2006/math">
        <m:sSub>
          <m:e>
            <m:r>
              <w:rPr>
                <w:rFonts w:ascii="Cambria Math" w:hAnsi="Cambria Math"/>
              </w:rPr>
              <m:t>h</m:t>
            </m:r>
          </m:e>
          <m:sub>
            <m:r>
              <m:rPr>
                <m:sty m:val="p"/>
              </m:rPr>
              <w:rPr>
                <w:rFonts w:ascii="Cambria Math" w:hAnsi="Cambria Math"/>
              </w:rPr>
              <m:t>ms</m:t>
            </m:r>
          </m:sub>
        </m:sSub>
        <m:r>
          <w:rPr>
            <w:rFonts w:ascii="Cambria Math" w:hAnsi="Cambria Math"/>
          </w:rPr>
          <m:t>=</m:t>
        </m:r>
        <m:r>
          <w:rPr>
            <w:rFonts w:ascii="Cambria Math" w:hAnsi="Cambria Math"/>
          </w:rPr>
          <m:t>9</m:t>
        </m:r>
        <m:r>
          <w:rPr>
            <w:rFonts w:ascii="Cambria Math" w:hAnsi="Cambria Math"/>
          </w:rPr>
          <m:t>,</m:t>
        </m:r>
        <m:r>
          <w:rPr>
            <w:rFonts w:ascii="Cambria Math" w:hAnsi="Cambria Math"/>
          </w:rPr>
          <m:t>1</m:t>
        </m:r>
      </m:oMath>
      <w:r>
        <w:t xml:space="preserve"> W/(m²K); innerer Wärmeübergangswiderstand </w:t>
      </w:r>
      <m:oMath xmlns:m="http://schemas.openxmlformats.org/officeDocument/2006/math">
        <m:sSub>
          <m:e>
            <m:r>
              <w:rPr>
                <w:rFonts w:ascii="Cambria Math" w:hAnsi="Cambria Math"/>
              </w:rPr>
              <m:t>R</m:t>
            </m:r>
          </m:e>
          <m:sub>
            <m:r>
              <m:rPr>
                <m:sty m:val="p"/>
              </m:rPr>
              <w:rPr>
                <w:rFonts w:ascii="Cambria Math" w:hAnsi="Cambria Math"/>
              </w:rPr>
              <m:t>si</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3</m:t>
        </m:r>
      </m:oMath>
      <w:r>
        <w:t xml:space="preserve"> m²K/W; Winkelkorrektur Fenster </w:t>
      </w:r>
      <m:oMath xmlns:m="http://schemas.openxmlformats.org/officeDocument/2006/math">
        <m:sSub>
          <m:e>
            <m:r>
              <w:rPr>
                <w:rFonts w:ascii="Cambria Math" w:hAnsi="Cambria Math"/>
              </w:rPr>
              <m:t>F</m:t>
            </m:r>
          </m:e>
          <m:sub>
            <m:r>
              <m:rPr>
                <m:sty m:val="p"/>
              </m:rPr>
              <w:rPr>
                <w:rFonts w:ascii="Cambria Math" w:hAnsi="Cambria Math"/>
              </w:rPr>
              <m:t>W</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9</m:t>
        </m:r>
      </m:oMath>
      <w:r>
        <w:t xml:space="preserve">; konvektiver Anteil des Fenstersolars </w:t>
      </w:r>
      <m:oMath xmlns:m="http://schemas.openxmlformats.org/officeDocument/2006/math">
        <m:sSub>
          <m:e>
            <m:r>
              <w:rPr>
                <w:rFonts w:ascii="Cambria Math" w:hAnsi="Cambria Math"/>
              </w:rPr>
              <m:t>a</m:t>
            </m:r>
          </m:e>
          <m:sub>
            <m:r>
              <m:rPr>
                <m:sty m:val="p"/>
              </m:rPr>
              <w:rPr>
                <w:rFonts w:ascii="Cambria Math" w:hAnsi="Cambria Math"/>
              </w:rPr>
              <m:t>kon</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0</m:t>
        </m:r>
        <m:r>
          <w:rPr>
            <w:rFonts w:ascii="Cambria Math" w:hAnsi="Cambria Math"/>
          </w:rPr>
          <m:t>9</m:t>
        </m:r>
      </m:oMath>
      <w:r>
        <w:t xml:space="preserve">; Absorptionsgrad opaker Außenflächen </w:t>
      </w:r>
      <m:oMath xmlns:m="http://schemas.openxmlformats.org/officeDocument/2006/math">
        <m:sSub>
          <m:e>
            <m:r>
              <w:rPr>
                <w:rFonts w:ascii="Cambria Math" w:hAnsi="Cambria Math"/>
              </w:rPr>
              <m:t>a</m:t>
            </m:r>
          </m:e>
          <m:sub>
            <m:r>
              <m:rPr>
                <m:sty m:val="p"/>
              </m:rPr>
              <w:rPr>
                <w:rFonts w:ascii="Cambria Math" w:hAnsi="Cambria Math"/>
              </w:rPr>
              <m:t>F</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6</m:t>
        </m:r>
      </m:oMath>
      <w:r>
        <w:t xml:space="preserve">; Wärmekapazität der Luft 0,34 Wh/(m³K); Erdreich in </w:t>
      </w:r>
      <m:oMath xmlns:m="http://schemas.openxmlformats.org/officeDocument/2006/math">
        <m:r>
          <w:rPr>
            <w:rFonts w:ascii="Cambria Math" w:hAnsi="Cambria Math"/>
          </w:rPr>
          <m:t>z</m:t>
        </m:r>
        <m:r>
          <w:rPr>
            <w:rFonts w:ascii="Cambria Math" w:hAnsi="Cambria Math"/>
          </w:rPr>
          <m:t>=</m:t>
        </m:r>
        <m:r>
          <w:rPr>
            <w:rFonts w:ascii="Cambria Math" w:hAnsi="Cambria Math"/>
          </w:rPr>
          <m:t>1</m:t>
        </m:r>
        <m:r>
          <w:rPr>
            <w:rFonts w:ascii="Cambria Math" w:hAnsi="Cambria Math"/>
          </w:rPr>
          <m:t>,</m:t>
        </m:r>
        <m:r>
          <w:rPr>
            <w:rFonts w:ascii="Cambria Math" w:hAnsi="Cambria Math"/>
          </w:rPr>
          <m:t>0</m:t>
        </m:r>
      </m:oMath>
      <w:r>
        <w:t xml:space="preserve"> m mit </w:t>
      </w:r>
      <m:oMath xmlns:m="http://schemas.openxmlformats.org/officeDocument/2006/math">
        <m:sSub>
          <m:e>
            <m:r>
              <w:rPr>
                <w:rFonts w:ascii="Cambria Math" w:hAnsi="Cambria Math"/>
              </w:rPr>
              <m:t>α</m:t>
            </m:r>
          </m:e>
          <m:sub>
            <m:r>
              <m:rPr>
                <m:sty m:val="p"/>
              </m:rPr>
              <w:rPr>
                <w:rFonts w:ascii="Cambria Math" w:hAnsi="Cambria Math"/>
              </w:rPr>
              <m:t>Erd</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0</m:t>
        </m:r>
        <m:r>
          <w:rPr>
            <w:rFonts w:ascii="Cambria Math" w:hAnsi="Cambria Math"/>
          </w:rPr>
          <m:t>6</m:t>
        </m:r>
      </m:oMath>
      <w:r>
        <w:t xml:space="preserve"> m²/d, daraus Dämpfung 0,68 und Phasenverzug 22 d; Albedo 0,2; Zeitschritt 3 600 s; Vorlauf 30 d; Abschneidegrenze des Exponentialterms bei </w:t>
      </w:r>
      <m:oMath xmlns:m="http://schemas.openxmlformats.org/officeDocument/2006/math">
        <m:r>
          <w:rPr>
            <w:rFonts w:ascii="Cambria Math" w:hAnsi="Cambria Math"/>
          </w:rPr>
          <m:t>Z</m:t>
        </m:r>
        <m:r>
          <w:rPr>
            <w:rFonts w:ascii="Cambria Math" w:hAnsi="Cambria Math"/>
          </w:rPr>
          <m:t>&gt;</m:t>
        </m:r>
        <m:r>
          <w:rPr>
            <w:rFonts w:ascii="Cambria Math" w:hAnsi="Cambria Math"/>
          </w:rPr>
          <m:t>1</m:t>
        </m:r>
        <m:r>
          <w:rPr>
            <w:rFonts w:ascii="Cambria Math" w:hAnsi="Cambria Math"/>
          </w:rPr>
          <m:t>7</m:t>
        </m:r>
        <m:r>
          <w:rPr>
            <w:rFonts w:ascii="Cambria Math" w:hAnsi="Cambria Math"/>
          </w:rPr>
          <m:t>0</m:t>
        </m:r>
      </m:oMath>
      <w:r>
        <w:t xml:space="preserve">.</w:t>
      </w:r>
    </w:p>
    <w:p>
      <w:pPr>
        <w:pStyle w:val="Heading2"/>
      </w:pPr>
      <w:r>
        <w:t xml:space="preserve">10.3 Schritt A — Klassenweg: vom Katalogbau zu den Ersatzparametern</w:t>
      </w:r>
    </w:p>
    <w:p>
      <w:r>
        <w:rPr>
          <w:b/>
        </w:rPr>
        <w:t xml:space="preserve">Zweck.</w:t>
      </w:r>
      <w:r>
        <w:t xml:space="preserve"> Die RC-Größen ohne neue Eingaben aus dem bauen, was </w:t>
      </w:r>
      <w:r>
        <w:rPr>
          <w:rFonts w:ascii="Consolas" w:hAnsi="Consolas" w:cs="Consolas"/>
          <w:noProof/>
          <w:sz w:val="20"/>
          <w:szCs w:val="20"/>
          <w:shd w:val="clear" w:color="auto" w:fill="EFEFEF"/>
        </w:rPr>
        <w:t xml:space="preserve">Tab_Gebaeude</w:t>
      </w:r>
      <w:r>
        <w:t xml:space="preserve"> heute führt. Läuft </w:t>
      </w:r>
      <w:r>
        <w:rPr>
          <w:b/>
        </w:rPr>
        <w:t xml:space="preserve">einmal je Gebäude und Lauf</w:t>
      </w:r>
      <w:r>
        <w:t xml:space="preserve">.</w:t>
      </w:r>
    </w:p>
    <w:p>
      <w:r>
        <w:rPr>
          <w:b/>
        </w:rPr>
        <w:t xml:space="preserve">A1 — Speichermasse und ihre Aufteilung</w:t>
      </w:r>
      <w:r>
        <w:t xml:space="preserve"> (EPOS-Klassenweg)</w:t>
      </w:r>
    </w:p>
    <w:p>
      <w:pPr>
        <w:pStyle w:val="Formelblock"/>
      </w:pPr>
      <m:oMathPara xmlns:m="http://schemas.openxmlformats.org/officeDocument/2006/math">
        <m:oMathParaPr>
          <m:jc m:val="center"/>
        </m:oMathParaPr>
        <m:oMath>
          <m:sSub>
            <m:e>
              <m:r>
                <w:rPr>
                  <w:rFonts w:ascii="Cambria Math" w:hAnsi="Cambria Math"/>
                </w:rPr>
                <m:t>C</m:t>
              </m:r>
            </m:e>
            <m:sub>
              <m:r>
                <m:rPr>
                  <m:sty m:val="p"/>
                </m:rPr>
                <w:rPr>
                  <w:rFonts w:ascii="Cambria Math" w:hAnsi="Cambria Math"/>
                </w:rPr>
                <m:t>ges</m:t>
              </m:r>
            </m:sub>
          </m:sSub>
          <m:r>
            <w:rPr>
              <w:rFonts w:ascii="Cambria Math" w:hAnsi="Cambria Math"/>
            </w:rPr>
            <m:t>=</m:t>
          </m:r>
          <m:r>
            <m:rPr>
              <m:nor m:val="1"/>
            </m:rPr>
            <w:rPr>
              <w:rFonts w:ascii="Cambria Math" w:hAnsi="Cambria Math"/>
            </w:rPr>
            <m:t>Bauweise</m:t>
          </m:r>
          <m:r>
            <w:rPr>
              <w:rFonts w:ascii="Cambria Math" w:hAnsi="Cambria Math"/>
            </w:rPr>
            <m:t>⋅</m:t>
          </m:r>
          <m:r>
            <w:rPr>
              <w:rFonts w:ascii="Cambria Math" w:hAnsi="Cambria Math"/>
            </w:rPr>
            <m:t>3</m:t>
          </m:r>
          <m:r>
            <w:rPr>
              <w:rFonts w:ascii="Cambria Math" w:hAnsi="Cambria Math"/>
            </w:rPr>
            <m:t xml:space="preserve"> </m:t>
          </m:r>
          <m:r>
            <w:rPr>
              <w:rFonts w:ascii="Cambria Math" w:hAnsi="Cambria Math"/>
            </w:rPr>
            <m:t>6</m:t>
          </m:r>
          <m:r>
            <w:rPr>
              <w:rFonts w:ascii="Cambria Math" w:hAnsi="Cambria Math"/>
            </w:rPr>
            <m:t>0</m:t>
          </m:r>
          <m:r>
            <w:rPr>
              <w:rFonts w:ascii="Cambria Math" w:hAnsi="Cambria Math"/>
            </w:rPr>
            <m:t>0</m:t>
          </m:r>
          <m:r>
            <w:rPr>
              <w:rFonts w:ascii="Cambria Math" w:hAnsi="Cambria Math"/>
            </w:rPr>
            <m:t xml:space="preserve"> </m:t>
          </m:r>
          <m:r>
            <w:rPr>
              <w:rFonts w:ascii="Cambria Math" w:hAnsi="Cambria Math"/>
            </w:rPr>
            <m:t>[</m:t>
          </m:r>
          <m:r>
            <m:rPr>
              <m:sty m:val="p"/>
            </m:rPr>
            <w:rPr>
              <w:rFonts w:ascii="Cambria Math" w:hAnsi="Cambria Math"/>
            </w:rPr>
            <m:t>J/K</m:t>
          </m:r>
          <m:r>
            <w:rPr>
              <w:rFonts w:ascii="Cambria Math" w:hAnsi="Cambria Math"/>
            </w:rPr>
            <m:t>]</m:t>
          </m:r>
          <m:r>
            <w:rPr>
              <w:rFonts w:ascii="Cambria Math" w:hAnsi="Cambria Math"/>
            </w:rPr>
            <m:t xml:space="preserve"> </m:t>
          </m:r>
          <m:r>
            <w:rPr>
              <w:rFonts w:ascii="Cambria Math" w:hAnsi="Cambria Math"/>
            </w:rPr>
            <m:t>(</m:t>
          </m:r>
          <m:r>
            <m:rPr>
              <m:nor m:val="1"/>
            </m:rPr>
            <w:rPr>
              <w:rFonts w:ascii="Cambria Math" w:hAnsi="Cambria Math"/>
            </w:rPr>
            <m:t xml:space="preserve">Bauweise in Wh/K</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C</m:t>
              </m:r>
            </m:e>
            <m:sub>
              <m:r>
                <m:rPr>
                  <m:sty m:val="p"/>
                </m:rPr>
                <w:rPr>
                  <w:rFonts w:ascii="Cambria Math" w:hAnsi="Cambria Math"/>
                </w:rPr>
                <m:t>AW</m:t>
              </m:r>
            </m:sub>
          </m:sSub>
          <m:r>
            <w:rPr>
              <w:rFonts w:ascii="Cambria Math" w:hAnsi="Cambria Math"/>
            </w:rPr>
            <m:t>=</m:t>
          </m:r>
          <m:sSub>
            <m:e>
              <m:r>
                <w:rPr>
                  <w:rFonts w:ascii="Cambria Math" w:hAnsi="Cambria Math"/>
                </w:rPr>
                <m:t>a</m:t>
              </m:r>
            </m:e>
            <m:sub>
              <m:r>
                <m:rPr>
                  <m:sty m:val="p"/>
                </m:rPr>
                <w:rPr>
                  <w:rFonts w:ascii="Cambria Math" w:hAnsi="Cambria Math"/>
                </w:rPr>
                <m:t>AW</m:t>
              </m:r>
            </m:sub>
          </m:sSub>
          <m:r>
            <w:rPr>
              <w:rFonts w:ascii="Cambria Math" w:hAnsi="Cambria Math"/>
            </w:rPr>
            <m:t>⋅</m:t>
          </m:r>
          <m:sSub>
            <m:e>
              <m:r>
                <w:rPr>
                  <w:rFonts w:ascii="Cambria Math" w:hAnsi="Cambria Math"/>
                </w:rPr>
                <m:t>C</m:t>
              </m:r>
            </m:e>
            <m:sub>
              <m:r>
                <m:rPr>
                  <m:sty m:val="p"/>
                </m:rPr>
                <w:rPr>
                  <w:rFonts w:ascii="Cambria Math" w:hAnsi="Cambria Math"/>
                </w:rPr>
                <m:t>ges</m:t>
              </m:r>
            </m:sub>
          </m:sSub>
          <m:r>
            <w:rPr>
              <w:rFonts w:ascii="Cambria Math" w:hAnsi="Cambria Math"/>
            </w:rPr>
            <m:t xml:space="preserve"> </m:t>
          </m:r>
          <m:r>
            <w:rPr>
              <w:rFonts w:ascii="Cambria Math" w:hAnsi="Cambria Math"/>
            </w:rPr>
            <m:t>[</m:t>
          </m:r>
          <m:r>
            <m:rPr>
              <m:sty m:val="p"/>
            </m:rPr>
            <w:rPr>
              <w:rFonts w:ascii="Cambria Math" w:hAnsi="Cambria Math"/>
            </w:rPr>
            <m:t>J/K</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C</m:t>
              </m:r>
            </m:e>
            <m:sub>
              <m:r>
                <m:rPr>
                  <m:sty m:val="p"/>
                </m:rPr>
                <w:rPr>
                  <w:rFonts w:ascii="Cambria Math" w:hAnsi="Cambria Math"/>
                </w:rPr>
                <m:t>IW</m:t>
              </m:r>
            </m:sub>
          </m:sSub>
          <m:r>
            <w:rPr>
              <w:rFonts w:ascii="Cambria Math" w:hAnsi="Cambria Math"/>
            </w:rPr>
            <m:t>=</m:t>
          </m:r>
          <m:r>
            <w:rPr>
              <w:rFonts w:ascii="Cambria Math" w:hAnsi="Cambria Math"/>
            </w:rPr>
            <m:t>(</m:t>
          </m:r>
          <m:r>
            <w:rPr>
              <w:rFonts w:ascii="Cambria Math" w:hAnsi="Cambria Math"/>
            </w:rPr>
            <m:t>1</m:t>
          </m:r>
          <m:r>
            <w:rPr>
              <w:rFonts w:ascii="Cambria Math" w:hAnsi="Cambria Math"/>
            </w:rPr>
            <m:t>-</m:t>
          </m:r>
          <m:sSub>
            <m:e>
              <m:r>
                <w:rPr>
                  <w:rFonts w:ascii="Cambria Math" w:hAnsi="Cambria Math"/>
                </w:rPr>
                <m:t>a</m:t>
              </m:r>
            </m:e>
            <m:sub>
              <m:r>
                <m:rPr>
                  <m:sty m:val="p"/>
                </m:rPr>
                <w:rPr>
                  <w:rFonts w:ascii="Cambria Math" w:hAnsi="Cambria Math"/>
                </w:rPr>
                <m:t>AW</m:t>
              </m:r>
            </m:sub>
          </m:sSub>
          <m:r>
            <w:rPr>
              <w:rFonts w:ascii="Cambria Math" w:hAnsi="Cambria Math"/>
            </w:rPr>
            <m:t>)</m:t>
          </m:r>
          <m:r>
            <w:rPr>
              <w:rFonts w:ascii="Cambria Math" w:hAnsi="Cambria Math"/>
            </w:rPr>
            <m:t>⋅</m:t>
          </m:r>
          <m:sSub>
            <m:e>
              <m:r>
                <w:rPr>
                  <w:rFonts w:ascii="Cambria Math" w:hAnsi="Cambria Math"/>
                </w:rPr>
                <m:t>C</m:t>
              </m:r>
            </m:e>
            <m:sub>
              <m:r>
                <m:rPr>
                  <m:sty m:val="p"/>
                </m:rPr>
                <w:rPr>
                  <w:rFonts w:ascii="Cambria Math" w:hAnsi="Cambria Math"/>
                </w:rPr>
                <m:t>ges</m:t>
              </m:r>
            </m:sub>
          </m:sSub>
          <m:r>
            <w:rPr>
              <w:rFonts w:ascii="Cambria Math" w:hAnsi="Cambria Math"/>
            </w:rPr>
            <m:t xml:space="preserve"> </m:t>
          </m:r>
          <m:r>
            <w:rPr>
              <w:rFonts w:ascii="Cambria Math" w:hAnsi="Cambria Math"/>
            </w:rPr>
            <m:t>[</m:t>
          </m:r>
          <m:r>
            <m:rPr>
              <m:sty m:val="p"/>
            </m:rPr>
            <w:rPr>
              <w:rFonts w:ascii="Cambria Math" w:hAnsi="Cambria Math"/>
            </w:rPr>
            <m:t>J/K</m:t>
          </m:r>
          <m:r>
            <w:rPr>
              <w:rFonts w:ascii="Cambria Math" w:hAnsi="Cambria Math"/>
            </w:rPr>
            <m:t>]</m:t>
          </m:r>
        </m:oMath>
      </m:oMathPara>
    </w:p>
    <w:p>
      <w:r>
        <w:t xml:space="preserve">Die drei EPOS-Bauarten entsprechen 20 / 50 / 100 Wh/(m²K) je m² </w:t>
      </w:r>
      <w:r>
        <w:rPr>
          <w:b/>
        </w:rPr>
        <w:t xml:space="preserve">Nutzfläche</w:t>
      </w:r>
      <w:r>
        <w:t xml:space="preserve"> (Bezugsfläche nach E13). Prüfung </w:t>
      </w:r>
      <m:oMath xmlns:m="http://schemas.openxmlformats.org/officeDocument/2006/math">
        <m:r>
          <w:rPr>
            <w:rFonts w:ascii="Cambria Math" w:hAnsi="Cambria Math"/>
          </w:rPr>
          <m:t>5</m:t>
        </m:r>
        <m:r>
          <w:rPr>
            <w:rFonts w:ascii="Cambria Math" w:hAnsi="Cambria Math"/>
          </w:rPr>
          <m:t>≤</m:t>
        </m:r>
        <m:r>
          <m:rPr>
            <m:nor m:val="1"/>
          </m:rPr>
          <w:rPr>
            <w:rFonts w:ascii="Cambria Math" w:hAnsi="Cambria Math"/>
          </w:rPr>
          <m:t>Bauweise</m:t>
        </m:r>
        <m:r>
          <w:rPr>
            <w:rFonts w:ascii="Cambria Math" w:hAnsi="Cambria Math"/>
          </w:rPr>
          <m:t>/</m:t>
        </m:r>
        <m:sSub>
          <m:e>
            <m:r>
              <w:rPr>
                <w:rFonts w:ascii="Cambria Math" w:hAnsi="Cambria Math"/>
              </w:rPr>
              <m:t>A</m:t>
            </m:r>
          </m:e>
          <m:sub>
            <m:r>
              <m:rPr>
                <m:sty m:val="p"/>
              </m:rPr>
              <w:rPr>
                <w:rFonts w:ascii="Cambria Math" w:hAnsi="Cambria Math"/>
              </w:rPr>
              <m:t>f</m:t>
            </m:r>
          </m:sub>
        </m:sSub>
        <m:r>
          <w:rPr>
            <w:rFonts w:ascii="Cambria Math" w:hAnsi="Cambria Math"/>
          </w:rPr>
          <m:t>≤</m:t>
        </m:r>
        <m:r>
          <w:rPr>
            <w:rFonts w:ascii="Cambria Math" w:hAnsi="Cambria Math"/>
          </w:rPr>
          <m:t>2</m:t>
        </m:r>
        <m:r>
          <w:rPr>
            <w:rFonts w:ascii="Cambria Math" w:hAnsi="Cambria Math"/>
          </w:rPr>
          <m:t>0</m:t>
        </m:r>
        <m:r>
          <w:rPr>
            <w:rFonts w:ascii="Cambria Math" w:hAnsi="Cambria Math"/>
          </w:rPr>
          <m:t>0</m:t>
        </m:r>
      </m:oMath>
      <w:r>
        <w:t xml:space="preserve"> Wh/(m²K), sonst benannter Abbruch.</w:t>
      </w:r>
    </w:p>
    <w:p>
      <w:r>
        <w:rPr>
          <w:b/>
        </w:rPr>
        <w:t xml:space="preserve">A2 — Bezugsflächen</w:t>
      </w:r>
      <w:r>
        <w:t xml:space="preserve"> (EPOS-Klassenweg)</w:t>
      </w:r>
    </w:p>
    <w:p>
      <w:pPr>
        <w:pStyle w:val="Formelblock"/>
      </w:pPr>
      <m:oMathPara xmlns:m="http://schemas.openxmlformats.org/officeDocument/2006/math">
        <m:oMathParaPr>
          <m:jc m:val="center"/>
        </m:oMathParaPr>
        <m:oMath>
          <m:sSub>
            <m:e>
              <m:r>
                <w:rPr>
                  <w:rFonts w:ascii="Cambria Math" w:hAnsi="Cambria Math"/>
                </w:rPr>
                <m:t>A</m:t>
              </m:r>
            </m:e>
            <m:sub>
              <m:r>
                <m:rPr>
                  <m:sty m:val="p"/>
                </m:rPr>
                <w:rPr>
                  <w:rFonts w:ascii="Cambria Math" w:hAnsi="Cambria Math"/>
                </w:rPr>
                <m:t>AW,opak</m:t>
              </m:r>
            </m:sub>
          </m:sSub>
          <m:r>
            <w:rPr>
              <w:rFonts w:ascii="Cambria Math" w:hAnsi="Cambria Math"/>
            </w:rPr>
            <m:t>=</m:t>
          </m:r>
          <m:sSub>
            <m:e>
              <m:r>
                <w:rPr>
                  <w:rFonts w:ascii="Cambria Math" w:hAnsi="Cambria Math"/>
                </w:rPr>
                <m:t>A</m:t>
              </m:r>
            </m:e>
            <m:sub>
              <m:r>
                <m:rPr>
                  <m:sty m:val="p"/>
                </m:rPr>
                <w:rPr>
                  <w:rFonts w:ascii="Cambria Math" w:hAnsi="Cambria Math"/>
                </w:rPr>
                <m:t>AW</m:t>
              </m:r>
            </m:sub>
          </m:sSub>
          <m:r>
            <w:rPr>
              <w:rFonts w:ascii="Cambria Math" w:hAnsi="Cambria Math"/>
            </w:rPr>
            <m:t>+</m:t>
          </m:r>
          <m:sSub>
            <m:e>
              <m:r>
                <w:rPr>
                  <w:rFonts w:ascii="Cambria Math" w:hAnsi="Cambria Math"/>
                </w:rPr>
                <m:t>A</m:t>
              </m:r>
            </m:e>
            <m:sub>
              <m:r>
                <m:rPr>
                  <m:sty m:val="p"/>
                </m:rPr>
                <w:rPr>
                  <w:rFonts w:ascii="Cambria Math" w:hAnsi="Cambria Math"/>
                </w:rPr>
                <m:t>D</m:t>
              </m:r>
            </m:sub>
          </m:sSub>
          <m:r>
            <w:rPr>
              <w:rFonts w:ascii="Cambria Math" w:hAnsi="Cambria Math"/>
            </w:rPr>
            <m:t>+</m:t>
          </m:r>
          <m:sSub>
            <m:e>
              <m:r>
                <w:rPr>
                  <w:rFonts w:ascii="Cambria Math" w:hAnsi="Cambria Math"/>
                </w:rPr>
                <m:t>A</m:t>
              </m:r>
            </m:e>
            <m:sub>
              <m:r>
                <m:rPr>
                  <m:sty m:val="p"/>
                </m:rPr>
                <w:rPr>
                  <w:rFonts w:ascii="Cambria Math" w:hAnsi="Cambria Math"/>
                </w:rPr>
                <m:t>G</m:t>
              </m:r>
            </m:sub>
          </m:sSub>
          <m:r>
            <w:rPr>
              <w:rFonts w:ascii="Cambria Math" w:hAnsi="Cambria Math"/>
            </w:rPr>
            <m:t>+</m:t>
          </m:r>
          <m:sSub>
            <m:e>
              <m:r>
                <w:rPr>
                  <w:rFonts w:ascii="Cambria Math" w:hAnsi="Cambria Math"/>
                </w:rPr>
                <m:t>A</m:t>
              </m:r>
            </m:e>
            <m:sub>
              <m:r>
                <m:rPr>
                  <m:sty m:val="p"/>
                </m:rPr>
                <w:rPr>
                  <w:rFonts w:ascii="Cambria Math" w:hAnsi="Cambria Math"/>
                </w:rPr>
                <m:t>So</m:t>
              </m:r>
            </m:sub>
          </m:sSub>
          <m:r>
            <w:rPr>
              <w:rFonts w:ascii="Cambria Math" w:hAnsi="Cambria Math"/>
            </w:rPr>
            <m:t xml:space="preserve"> </m:t>
          </m:r>
          <m:r>
            <w:rPr>
              <w:rFonts w:ascii="Cambria Math" w:hAnsi="Cambria Math"/>
            </w:rPr>
            <m:t>[</m:t>
          </m:r>
          <m:sSup>
            <m:e>
              <m:r>
                <m:rPr>
                  <m:sty m:val="p"/>
                </m:rPr>
                <w:rPr>
                  <w:rFonts w:ascii="Cambria Math" w:hAnsi="Cambria Math"/>
                </w:rPr>
                <m:t>m</m:t>
              </m:r>
            </m:e>
            <m:sup>
              <m:r>
                <w:rPr>
                  <w:rFonts w:ascii="Cambria Math" w:hAnsi="Cambria Math"/>
                </w:rPr>
                <m:t>2</m:t>
              </m:r>
            </m:sup>
          </m:sSup>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A</m:t>
              </m:r>
            </m:e>
            <m:sub>
              <m:r>
                <m:rPr>
                  <m:sty m:val="p"/>
                </m:rPr>
                <w:rPr>
                  <w:rFonts w:ascii="Cambria Math" w:hAnsi="Cambria Math"/>
                </w:rPr>
                <m:t>IW</m:t>
              </m:r>
            </m:sub>
          </m:sSub>
          <m:r>
            <w:rPr>
              <w:rFonts w:ascii="Cambria Math" w:hAnsi="Cambria Math"/>
            </w:rPr>
            <m:t>=</m:t>
          </m:r>
          <m:sSub>
            <m:e>
              <m:r>
                <w:rPr>
                  <w:rFonts w:ascii="Cambria Math" w:hAnsi="Cambria Math"/>
                </w:rPr>
                <m:t>f</m:t>
              </m:r>
            </m:e>
            <m:sub>
              <m:r>
                <m:rPr>
                  <m:sty m:val="p"/>
                </m:rPr>
                <w:rPr>
                  <w:rFonts w:ascii="Cambria Math" w:hAnsi="Cambria Math"/>
                </w:rPr>
                <m:t>IW</m:t>
              </m:r>
            </m:sub>
          </m:sSub>
          <m:r>
            <w:rPr>
              <w:rFonts w:ascii="Cambria Math" w:hAnsi="Cambria Math"/>
            </w:rPr>
            <m:t>⋅</m:t>
          </m:r>
          <m:sSub>
            <m:e>
              <m:r>
                <w:rPr>
                  <w:rFonts w:ascii="Cambria Math" w:hAnsi="Cambria Math"/>
                </w:rPr>
                <m:t>A</m:t>
              </m:r>
            </m:e>
            <m:sub>
              <m:r>
                <m:rPr>
                  <m:sty m:val="p"/>
                </m:rPr>
                <w:rPr>
                  <w:rFonts w:ascii="Cambria Math" w:hAnsi="Cambria Math"/>
                </w:rPr>
                <m:t>f</m:t>
              </m:r>
            </m:sub>
          </m:sSub>
          <m:r>
            <w:rPr>
              <w:rFonts w:ascii="Cambria Math" w:hAnsi="Cambria Math"/>
            </w:rPr>
            <m:t xml:space="preserve"> </m:t>
          </m:r>
          <m:r>
            <w:rPr>
              <w:rFonts w:ascii="Cambria Math" w:hAnsi="Cambria Math"/>
            </w:rPr>
            <m:t>[</m:t>
          </m:r>
          <m:sSup>
            <m:e>
              <m:r>
                <m:rPr>
                  <m:sty m:val="p"/>
                </m:rPr>
                <w:rPr>
                  <w:rFonts w:ascii="Cambria Math" w:hAnsi="Cambria Math"/>
                </w:rPr>
                <m:t>m</m:t>
              </m:r>
            </m:e>
            <m:sup>
              <m:r>
                <w:rPr>
                  <w:rFonts w:ascii="Cambria Math" w:hAnsi="Cambria Math"/>
                </w:rPr>
                <m:t>2</m:t>
              </m:r>
            </m:sup>
          </m:sSup>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A</m:t>
              </m:r>
            </m:e>
            <m:sub>
              <m:r>
                <m:rPr>
                  <m:sty m:val="p"/>
                </m:rPr>
                <w:rPr>
                  <w:rFonts w:ascii="Cambria Math" w:hAnsi="Cambria Math"/>
                </w:rPr>
                <m:t>rad</m:t>
              </m:r>
            </m:sub>
          </m:sSub>
          <m:r>
            <w:rPr>
              <w:rFonts w:ascii="Cambria Math" w:hAnsi="Cambria Math"/>
            </w:rPr>
            <m:t>=</m:t>
          </m:r>
          <m:func>
            <m:fName>
              <m:r>
                <m:rPr>
                  <m:sty m:val="p"/>
                </m:rPr>
                <w:rPr>
                  <w:rFonts w:ascii="Cambria Math" w:hAnsi="Cambria Math"/>
                </w:rPr>
                <m:t>min</m:t>
              </m:r>
            </m:fName>
            <m:e>
              <m:r>
                <w:rPr>
                  <w:rFonts w:ascii="Cambria Math" w:hAnsi="Cambria Math"/>
                </w:rPr>
                <m:t>(</m:t>
              </m:r>
            </m:e>
          </m:func>
          <m:sSub>
            <m:e>
              <m:r>
                <w:rPr>
                  <w:rFonts w:ascii="Cambria Math" w:hAnsi="Cambria Math"/>
                </w:rPr>
                <m:t>A</m:t>
              </m:r>
            </m:e>
            <m:sub>
              <m:r>
                <m:rPr>
                  <m:sty m:val="p"/>
                </m:rPr>
                <w:rPr>
                  <w:rFonts w:ascii="Cambria Math" w:hAnsi="Cambria Math"/>
                </w:rPr>
                <m:t>AW,opak</m:t>
              </m:r>
            </m:sub>
          </m:sSub>
          <m:r>
            <w:rPr>
              <w:rFonts w:ascii="Cambria Math" w:hAnsi="Cambria Math"/>
            </w:rPr>
            <m:t>,</m:t>
          </m:r>
          <m:r>
            <w:rPr>
              <w:rFonts w:ascii="Cambria Math" w:hAnsi="Cambria Math"/>
            </w:rPr>
            <m:t xml:space="preserve"> </m:t>
          </m:r>
          <m:sSub>
            <m:e>
              <m:r>
                <w:rPr>
                  <w:rFonts w:ascii="Cambria Math" w:hAnsi="Cambria Math"/>
                </w:rPr>
                <m:t>A</m:t>
              </m:r>
            </m:e>
            <m:sub>
              <m:r>
                <m:rPr>
                  <m:sty m:val="p"/>
                </m:rPr>
                <w:rPr>
                  <w:rFonts w:ascii="Cambria Math" w:hAnsi="Cambria Math"/>
                </w:rPr>
                <m:t>IW</m:t>
              </m:r>
            </m:sub>
          </m:sSub>
          <m:r>
            <w:rPr>
              <w:rFonts w:ascii="Cambria Math" w:hAnsi="Cambria Math"/>
            </w:rPr>
            <m:t>)</m:t>
          </m:r>
          <m:r>
            <w:rPr>
              <w:rFonts w:ascii="Cambria Math" w:hAnsi="Cambria Math"/>
            </w:rPr>
            <m:t xml:space="preserve"> </m:t>
          </m:r>
          <m:r>
            <w:rPr>
              <w:rFonts w:ascii="Cambria Math" w:hAnsi="Cambria Math"/>
            </w:rPr>
            <m:t>[</m:t>
          </m:r>
          <m:sSup>
            <m:e>
              <m:r>
                <m:rPr>
                  <m:sty m:val="p"/>
                </m:rPr>
                <w:rPr>
                  <w:rFonts w:ascii="Cambria Math" w:hAnsi="Cambria Math"/>
                </w:rPr>
                <m:t>m</m:t>
              </m:r>
            </m:e>
            <m:sup>
              <m:r>
                <w:rPr>
                  <w:rFonts w:ascii="Cambria Math" w:hAnsi="Cambria Math"/>
                </w:rPr>
                <m:t>2</m:t>
              </m:r>
            </m:sup>
          </m:sSup>
          <m:r>
            <w:rPr>
              <w:rFonts w:ascii="Cambria Math" w:hAnsi="Cambria Math"/>
            </w:rPr>
            <m:t>]</m:t>
          </m:r>
        </m:oMath>
      </m:oMathPara>
    </w:p>
    <w:p>
      <w:r>
        <w:rPr>
          <w:b/>
        </w:rPr>
        <w:t xml:space="preserve">A3 — Transmissionsleitwerte je Gruppe</w:t>
      </w:r>
      <w:r>
        <w:t xml:space="preserve"> (ungewichtet nach E2)</w:t>
      </w:r>
    </w:p>
    <w:p>
      <w:pPr>
        <w:pStyle w:val="Formelblock"/>
      </w:pPr>
      <m:oMathPara xmlns:m="http://schemas.openxmlformats.org/officeDocument/2006/math">
        <m:oMathParaPr>
          <m:jc m:val="center"/>
        </m:oMathParaPr>
        <m:oMath>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AW</m:t>
              </m:r>
            </m:sub>
          </m:sSub>
          <m:r>
            <w:rPr>
              <w:rFonts w:ascii="Cambria Math" w:hAnsi="Cambria Math"/>
            </w:rPr>
            <m:t>=</m:t>
          </m:r>
          <m:sSub>
            <m:e>
              <m:r>
                <w:rPr>
                  <w:rFonts w:ascii="Cambria Math" w:hAnsi="Cambria Math"/>
                </w:rPr>
                <m:t>U</m:t>
              </m:r>
            </m:e>
            <m:sub>
              <m:r>
                <m:rPr>
                  <m:sty m:val="p"/>
                </m:rPr>
                <w:rPr>
                  <w:rFonts w:ascii="Cambria Math" w:hAnsi="Cambria Math"/>
                </w:rPr>
                <m:t>AW</m:t>
              </m:r>
            </m:sub>
          </m:sSub>
          <m:r>
            <w:rPr>
              <w:rFonts w:ascii="Cambria Math" w:hAnsi="Cambria Math"/>
            </w:rPr>
            <m:t>⋅</m:t>
          </m:r>
          <m:sSub>
            <m:e>
              <m:r>
                <w:rPr>
                  <w:rFonts w:ascii="Cambria Math" w:hAnsi="Cambria Math"/>
                </w:rPr>
                <m:t>A</m:t>
              </m:r>
            </m:e>
            <m:sub>
              <m:r>
                <m:rPr>
                  <m:sty m:val="p"/>
                </m:rPr>
                <w:rPr>
                  <w:rFonts w:ascii="Cambria Math" w:hAnsi="Cambria Math"/>
                </w:rPr>
                <m:t>AW</m:t>
              </m:r>
            </m:sub>
          </m:sSub>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D</m:t>
              </m:r>
            </m:sub>
          </m:sSub>
          <m:r>
            <w:rPr>
              <w:rFonts w:ascii="Cambria Math" w:hAnsi="Cambria Math"/>
            </w:rPr>
            <m:t>=</m:t>
          </m:r>
          <m:sSub>
            <m:e>
              <m:r>
                <w:rPr>
                  <w:rFonts w:ascii="Cambria Math" w:hAnsi="Cambria Math"/>
                </w:rPr>
                <m:t>U</m:t>
              </m:r>
            </m:e>
            <m:sub>
              <m:r>
                <m:rPr>
                  <m:sty m:val="p"/>
                </m:rPr>
                <w:rPr>
                  <w:rFonts w:ascii="Cambria Math" w:hAnsi="Cambria Math"/>
                </w:rPr>
                <m:t>D</m:t>
              </m:r>
            </m:sub>
          </m:sSub>
          <m:r>
            <w:rPr>
              <w:rFonts w:ascii="Cambria Math" w:hAnsi="Cambria Math"/>
            </w:rPr>
            <m:t>⋅</m:t>
          </m:r>
          <m:sSub>
            <m:e>
              <m:r>
                <w:rPr>
                  <w:rFonts w:ascii="Cambria Math" w:hAnsi="Cambria Math"/>
                </w:rPr>
                <m:t>A</m:t>
              </m:r>
            </m:e>
            <m:sub>
              <m:r>
                <m:rPr>
                  <m:sty m:val="p"/>
                </m:rPr>
                <w:rPr>
                  <w:rFonts w:ascii="Cambria Math" w:hAnsi="Cambria Math"/>
                </w:rPr>
                <m:t>D</m:t>
              </m:r>
            </m:sub>
          </m:sSub>
        </m:oMath>
      </m:oMathPara>
    </w:p>
    <w:p>
      <w:pPr>
        <w:pStyle w:val="Formelblock"/>
      </w:pPr>
      <m:oMathPara xmlns:m="http://schemas.openxmlformats.org/officeDocument/2006/math">
        <m:oMathParaPr>
          <m:jc m:val="center"/>
        </m:oMathParaPr>
        <m:oMath>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G</m:t>
              </m:r>
            </m:sub>
          </m:sSub>
          <m:r>
            <w:rPr>
              <w:rFonts w:ascii="Cambria Math" w:hAnsi="Cambria Math"/>
            </w:rPr>
            <m:t>=</m:t>
          </m:r>
          <m:sSub>
            <m:e>
              <m:r>
                <w:rPr>
                  <w:rFonts w:ascii="Cambria Math" w:hAnsi="Cambria Math"/>
                </w:rPr>
                <m:t>U</m:t>
              </m:r>
            </m:e>
            <m:sub>
              <m:r>
                <m:rPr>
                  <m:sty m:val="p"/>
                </m:rPr>
                <w:rPr>
                  <w:rFonts w:ascii="Cambria Math" w:hAnsi="Cambria Math"/>
                </w:rPr>
                <m:t>G</m:t>
              </m:r>
            </m:sub>
          </m:sSub>
          <m:r>
            <w:rPr>
              <w:rFonts w:ascii="Cambria Math" w:hAnsi="Cambria Math"/>
            </w:rPr>
            <m:t>⋅</m:t>
          </m:r>
          <m:sSub>
            <m:e>
              <m:r>
                <w:rPr>
                  <w:rFonts w:ascii="Cambria Math" w:hAnsi="Cambria Math"/>
                </w:rPr>
                <m:t>A</m:t>
              </m:r>
            </m:e>
            <m:sub>
              <m:r>
                <m:rPr>
                  <m:sty m:val="p"/>
                </m:rPr>
                <w:rPr>
                  <w:rFonts w:ascii="Cambria Math" w:hAnsi="Cambria Math"/>
                </w:rPr>
                <m:t>G</m:t>
              </m:r>
            </m:sub>
          </m:sSub>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So</m:t>
              </m:r>
            </m:sub>
          </m:sSub>
          <m:r>
            <w:rPr>
              <w:rFonts w:ascii="Cambria Math" w:hAnsi="Cambria Math"/>
            </w:rPr>
            <m:t>=</m:t>
          </m:r>
          <m:sSub>
            <m:e>
              <m:r>
                <w:rPr>
                  <w:rFonts w:ascii="Cambria Math" w:hAnsi="Cambria Math"/>
                </w:rPr>
                <m:t>U</m:t>
              </m:r>
            </m:e>
            <m:sub>
              <m:r>
                <m:rPr>
                  <m:sty m:val="p"/>
                </m:rPr>
                <w:rPr>
                  <w:rFonts w:ascii="Cambria Math" w:hAnsi="Cambria Math"/>
                </w:rPr>
                <m:t>So</m:t>
              </m:r>
            </m:sub>
          </m:sSub>
          <m:r>
            <w:rPr>
              <w:rFonts w:ascii="Cambria Math" w:hAnsi="Cambria Math"/>
            </w:rPr>
            <m:t>⋅</m:t>
          </m:r>
          <m:sSub>
            <m:e>
              <m:r>
                <w:rPr>
                  <w:rFonts w:ascii="Cambria Math" w:hAnsi="Cambria Math"/>
                </w:rPr>
                <m:t>A</m:t>
              </m:r>
            </m:e>
            <m:sub>
              <m:r>
                <m:rPr>
                  <m:sty m:val="p"/>
                </m:rPr>
                <w:rPr>
                  <w:rFonts w:ascii="Cambria Math" w:hAnsi="Cambria Math"/>
                </w:rPr>
                <m:t>So</m:t>
              </m:r>
            </m:sub>
          </m:sSub>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Σ</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opak</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AW</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D</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G</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So</m:t>
              </m:r>
            </m:sub>
          </m:sSub>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w</m:t>
              </m:r>
            </m:sub>
          </m:sSub>
          <m:r>
            <w:rPr>
              <w:rFonts w:ascii="Cambria Math" w:hAnsi="Cambria Math"/>
            </w:rPr>
            <m:t>=</m:t>
          </m:r>
          <m:sSub>
            <m:e>
              <m:r>
                <w:rPr>
                  <w:rFonts w:ascii="Cambria Math" w:hAnsi="Cambria Math"/>
                </w:rPr>
                <m:t>U</m:t>
              </m:r>
            </m:e>
            <m:sub>
              <m:r>
                <m:rPr>
                  <m:sty m:val="p"/>
                </m:rPr>
                <w:rPr>
                  <w:rFonts w:ascii="Cambria Math" w:hAnsi="Cambria Math"/>
                </w:rPr>
                <m:t>w</m:t>
              </m:r>
            </m:sub>
          </m:sSub>
          <m:r>
            <w:rPr>
              <w:rFonts w:ascii="Cambria Math" w:hAnsi="Cambria Math"/>
            </w:rPr>
            <m:t>⋅</m:t>
          </m:r>
          <m:sSub>
            <m:e>
              <m:r>
                <w:rPr>
                  <w:rFonts w:ascii="Cambria Math" w:hAnsi="Cambria Math"/>
                </w:rPr>
                <m:t>A</m:t>
              </m:r>
            </m:e>
            <m:sub>
              <m:r>
                <m:rPr>
                  <m:sty m:val="p"/>
                </m:rPr>
                <w:rPr>
                  <w:rFonts w:ascii="Cambria Math" w:hAnsi="Cambria Math"/>
                </w:rPr>
                <m:t>w</m:t>
              </m:r>
            </m:sub>
          </m:sSub>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oMath>
      </m:oMathPara>
    </w:p>
    <w:p>
      <w:pPr>
        <w:pStyle w:val="Formelblock"/>
      </w:pPr>
      <m:oMathPara xmlns:m="http://schemas.openxmlformats.org/officeDocument/2006/math">
        <m:oMathParaPr>
          <m:jc m:val="center"/>
        </m:oMathParaPr>
        <m:oMath>
          <m:nary>
            <m:naryPr>
              <m:chr m:val="∑"/>
              <m:limLoc m:val="undOvr"/>
              <m:grow m:val="1"/>
              <m:subHide m:val="0"/>
              <m:supHide m:val="1"/>
            </m:naryPr>
            <m:sub>
              <m:r>
                <w:rPr>
                  <w:rFonts w:ascii="Cambria Math" w:hAnsi="Cambria Math"/>
                </w:rPr>
                <m:t>i</m:t>
              </m:r>
            </m:sub>
            <m:sup>
              <m:r>
                <w:rPr>
                  <w:rFonts w:ascii="Cambria Math" w:hAnsi="Cambria Math"/>
                </w:rPr>
                <m:t/>
              </m:r>
            </m:sup>
            <m:e>
              <m:sSub>
                <m:e>
                  <m:r>
                    <w:rPr>
                      <w:rFonts w:ascii="Cambria Math" w:hAnsi="Cambria Math"/>
                    </w:rPr>
                    <m:t>ψ</m:t>
                  </m:r>
                </m:e>
                <m:sub>
                  <m:r>
                    <w:rPr>
                      <w:rFonts w:ascii="Cambria Math" w:hAnsi="Cambria Math"/>
                    </w:rPr>
                    <m:t>i</m:t>
                  </m:r>
                </m:sub>
              </m:sSub>
              <m:sSub>
                <m:e>
                  <m:r>
                    <w:rPr>
                      <w:rFonts w:ascii="Cambria Math" w:hAnsi="Cambria Math"/>
                    </w:rPr>
                    <m:t>L</m:t>
                  </m:r>
                </m:e>
                <m:sub>
                  <m:r>
                    <w:rPr>
                      <w:rFonts w:ascii="Cambria Math" w:hAnsi="Cambria Math"/>
                    </w:rPr>
                    <m:t>i</m:t>
                  </m:r>
                </m:sub>
              </m:sSub>
              <m:r>
                <w:rPr>
                  <w:rFonts w:ascii="Cambria Math" w:hAnsi="Cambria Math"/>
                </w:rPr>
                <m:t>=</m:t>
              </m:r>
              <m:sSub>
                <m:e>
                  <m:r>
                    <w:rPr>
                      <w:rFonts w:ascii="Cambria Math" w:hAnsi="Cambria Math"/>
                    </w:rPr>
                    <m:t>ψ</m:t>
                  </m:r>
                </m:e>
                <m:sub>
                  <m:r>
                    <w:rPr>
                      <w:rFonts w:ascii="Cambria Math" w:hAnsi="Cambria Math"/>
                    </w:rPr>
                    <m:t>1</m:t>
                  </m:r>
                </m:sub>
              </m:sSub>
              <m:sSub>
                <m:e>
                  <m:r>
                    <w:rPr>
                      <w:rFonts w:ascii="Cambria Math" w:hAnsi="Cambria Math"/>
                    </w:rPr>
                    <m:t>L</m:t>
                  </m:r>
                </m:e>
                <m:sub>
                  <m:r>
                    <w:rPr>
                      <w:rFonts w:ascii="Cambria Math" w:hAnsi="Cambria Math"/>
                    </w:rPr>
                    <m:t>1</m:t>
                  </m:r>
                </m:sub>
              </m:sSub>
              <m:r>
                <w:rPr>
                  <w:rFonts w:ascii="Cambria Math" w:hAnsi="Cambria Math"/>
                </w:rPr>
                <m:t>+</m:t>
              </m:r>
              <m:sSub>
                <m:e>
                  <m:r>
                    <w:rPr>
                      <w:rFonts w:ascii="Cambria Math" w:hAnsi="Cambria Math"/>
                    </w:rPr>
                    <m:t>ψ</m:t>
                  </m:r>
                </m:e>
                <m:sub>
                  <m:r>
                    <w:rPr>
                      <w:rFonts w:ascii="Cambria Math" w:hAnsi="Cambria Math"/>
                    </w:rPr>
                    <m:t>2</m:t>
                  </m:r>
                </m:sub>
              </m:sSub>
              <m:sSub>
                <m:e>
                  <m:r>
                    <w:rPr>
                      <w:rFonts w:ascii="Cambria Math" w:hAnsi="Cambria Math"/>
                    </w:rPr>
                    <m:t>L</m:t>
                  </m:r>
                </m:e>
                <m:sub>
                  <m:r>
                    <w:rPr>
                      <w:rFonts w:ascii="Cambria Math" w:hAnsi="Cambria Math"/>
                    </w:rPr>
                    <m:t>2</m:t>
                  </m:r>
                </m:sub>
              </m:sSub>
              <m:r>
                <w:rPr>
                  <w:rFonts w:ascii="Cambria Math" w:hAnsi="Cambria Math"/>
                </w:rPr>
                <m:t>+</m:t>
              </m:r>
              <m:sSub>
                <m:e>
                  <m:r>
                    <w:rPr>
                      <w:rFonts w:ascii="Cambria Math" w:hAnsi="Cambria Math"/>
                    </w:rPr>
                    <m:t>ψ</m:t>
                  </m:r>
                </m:e>
                <m:sub>
                  <m:r>
                    <w:rPr>
                      <w:rFonts w:ascii="Cambria Math" w:hAnsi="Cambria Math"/>
                    </w:rPr>
                    <m:t>3</m:t>
                  </m:r>
                </m:sub>
              </m:sSub>
              <m:sSub>
                <m:e>
                  <m:r>
                    <w:rPr>
                      <w:rFonts w:ascii="Cambria Math" w:hAnsi="Cambria Math"/>
                    </w:rPr>
                    <m:t>L</m:t>
                  </m:r>
                </m:e>
                <m:sub>
                  <m:r>
                    <w:rPr>
                      <w:rFonts w:ascii="Cambria Math" w:hAnsi="Cambria Math"/>
                    </w:rPr>
                    <m:t>3</m:t>
                  </m:r>
                </m:sub>
              </m:sSub>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e>
          </m:nary>
        </m:oMath>
      </m:oMathPara>
    </w:p>
    <w:p>
      <w:r>
        <w:rPr>
          <w:b/>
        </w:rPr>
        <w:t xml:space="preserve">A4 — Widerstände des Außenwandpfads</w:t>
      </w:r>
      <w:r>
        <w:t xml:space="preserve"> (EPOS-Klassenweg; normkonformes Gegenstück (25)–(28))</w:t>
      </w:r>
    </w:p>
    <w:p>
      <w:pPr>
        <w:pStyle w:val="Formelblock"/>
      </w:pPr>
      <m:oMathPara xmlns:m="http://schemas.openxmlformats.org/officeDocument/2006/math">
        <m:oMathParaPr>
          <m:jc m:val="center"/>
        </m:oMathParaPr>
        <m:o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AW</m:t>
              </m:r>
            </m:sub>
          </m:sSub>
          <m:r>
            <w:rPr>
              <w:rFonts w:ascii="Cambria Math" w:hAnsi="Cambria Math"/>
            </w:rPr>
            <m:t>=</m:t>
          </m:r>
          <m:f>
            <m:num>
              <m:r>
                <w:rPr>
                  <w:rFonts w:ascii="Cambria Math" w:hAnsi="Cambria Math"/>
                </w:rPr>
                <m:t>1</m:t>
              </m:r>
            </m:num>
            <m:den>
              <m:sSub>
                <m:e>
                  <m:r>
                    <w:rPr>
                      <w:rFonts w:ascii="Cambria Math" w:hAnsi="Cambria Math"/>
                    </w:rPr>
                    <m:t>h</m:t>
                  </m:r>
                </m:e>
                <m:sub>
                  <m:r>
                    <m:rPr>
                      <m:sty m:val="p"/>
                    </m:rPr>
                    <w:rPr>
                      <w:rFonts w:ascii="Cambria Math" w:hAnsi="Cambria Math"/>
                    </w:rPr>
                    <m:t>ms</m:t>
                  </m:r>
                </m:sub>
              </m:sSub>
              <m:r>
                <w:rPr>
                  <w:rFonts w:ascii="Cambria Math" w:hAnsi="Cambria Math"/>
                </w:rPr>
                <m:t>⋅</m:t>
              </m:r>
              <m:sSub>
                <m:e>
                  <m:r>
                    <w:rPr>
                      <w:rFonts w:ascii="Cambria Math" w:hAnsi="Cambria Math"/>
                    </w:rPr>
                    <m:t>A</m:t>
                  </m:r>
                </m:e>
                <m:sub>
                  <m:r>
                    <m:rPr>
                      <m:sty m:val="p"/>
                    </m:rPr>
                    <w:rPr>
                      <w:rFonts w:ascii="Cambria Math" w:hAnsi="Cambria Math"/>
                    </w:rPr>
                    <m:t>AW,opak</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ges</m:t>
              </m:r>
            </m:sub>
          </m:sSub>
          <m:r>
            <w:rPr>
              <w:rFonts w:ascii="Cambria Math" w:hAnsi="Cambria Math"/>
            </w:rPr>
            <m:t>=</m:t>
          </m:r>
          <m:f>
            <m:num>
              <m:r>
                <w:rPr>
                  <w:rFonts w:ascii="Cambria Math" w:hAnsi="Cambria Math"/>
                </w:rPr>
                <m:t>1</m:t>
              </m:r>
            </m:num>
            <m:den>
              <m:r>
                <w:rPr>
                  <w:rFonts w:ascii="Cambria Math" w:hAnsi="Cambria Math"/>
                </w:rPr>
                <m:t>Σ</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opak</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Rest,AW</m:t>
              </m:r>
            </m:sub>
          </m:sSub>
          <m:r>
            <w:rPr>
              <w:rFonts w:ascii="Cambria Math" w:hAnsi="Cambria Math"/>
            </w:rPr>
            <m:t>=</m:t>
          </m:r>
          <m:sSub>
            <m:e>
              <m:r>
                <w:rPr>
                  <w:rFonts w:ascii="Cambria Math" w:hAnsi="Cambria Math"/>
                </w:rPr>
                <m:t>R</m:t>
              </m:r>
            </m:e>
            <m:sub>
              <m:r>
                <m:rPr>
                  <m:sty m:val="p"/>
                </m:rPr>
                <w:rPr>
                  <w:rFonts w:ascii="Cambria Math" w:hAnsi="Cambria Math"/>
                </w:rPr>
                <m:t>ges</m:t>
              </m:r>
            </m:sub>
          </m:sSub>
          <m:r>
            <w:rPr>
              <w:rFonts w:ascii="Cambria Math" w:hAnsi="Cambria Math"/>
            </w:rPr>
            <m:t>-</m:t>
          </m:r>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AW</m:t>
              </m:r>
            </m:sub>
          </m:sSub>
          <m:r>
            <w:rPr>
              <w:rFonts w:ascii="Cambria Math" w:hAnsi="Cambria Math"/>
            </w:rPr>
            <m:t>-</m:t>
          </m:r>
          <m:f>
            <m:num>
              <m:sSub>
                <m:e>
                  <m:r>
                    <w:rPr>
                      <w:rFonts w:ascii="Cambria Math" w:hAnsi="Cambria Math"/>
                    </w:rPr>
                    <m:t>R</m:t>
                  </m:r>
                </m:e>
                <m:sub>
                  <m:r>
                    <m:rPr>
                      <m:sty m:val="p"/>
                    </m:rPr>
                    <w:rPr>
                      <w:rFonts w:ascii="Cambria Math" w:hAnsi="Cambria Math"/>
                    </w:rPr>
                    <m:t>si</m:t>
                  </m:r>
                </m:sub>
              </m:sSub>
            </m:num>
            <m:den>
              <m:sSub>
                <m:e>
                  <m:r>
                    <w:rPr>
                      <w:rFonts w:ascii="Cambria Math" w:hAnsi="Cambria Math"/>
                    </w:rPr>
                    <m:t>A</m:t>
                  </m:r>
                </m:e>
                <m:sub>
                  <m:r>
                    <m:rPr>
                      <m:sty m:val="p"/>
                    </m:rPr>
                    <w:rPr>
                      <w:rFonts w:ascii="Cambria Math" w:hAnsi="Cambria Math"/>
                    </w:rPr>
                    <m:t>AW,opak</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r>
        <w:t xml:space="preserve">Der Abzug </w:t>
      </w:r>
      <m:oMath xmlns:m="http://schemas.openxmlformats.org/officeDocument/2006/math">
        <m:sSub>
          <m:e>
            <m:r>
              <w:rPr>
                <w:rFonts w:ascii="Cambria Math" w:hAnsi="Cambria Math"/>
              </w:rPr>
              <m:t>R</m:t>
            </m:r>
          </m:e>
          <m:sub>
            <m:r>
              <m:rPr>
                <m:sty m:val="p"/>
              </m:rPr>
              <w:rPr>
                <w:rFonts w:ascii="Cambria Math" w:hAnsi="Cambria Math"/>
              </w:rPr>
              <m:t>si</m:t>
            </m:r>
          </m:sub>
        </m:sSub>
        <m:r>
          <w:rPr>
            <w:rFonts w:ascii="Cambria Math" w:hAnsi="Cambria Math"/>
          </w:rPr>
          <m:t>/</m:t>
        </m:r>
        <m:r>
          <w:rPr>
            <w:rFonts w:ascii="Cambria Math" w:hAnsi="Cambria Math"/>
          </w:rPr>
          <m:t>A</m:t>
        </m:r>
      </m:oMath>
      <w:r>
        <w:t xml:space="preserve"> ist die Stelle, an der U-Wert und Netz zusammengeführt werden: der innere Übergang steckt bereits im U-Wert, im Netz liegt an seiner Stelle das innere Oberflächennetz; ohne den Abzug zählt er doppelt. </w:t>
      </w:r>
      <w:r>
        <w:rPr>
          <w:b/>
        </w:rPr>
        <w:t xml:space="preserve">Kein Klemmwert:</w:t>
      </w:r>
      <w:r>
        <w:t xml:space="preserve"> wird </w:t>
      </w:r>
      <m:oMath xmlns:m="http://schemas.openxmlformats.org/officeDocument/2006/math">
        <m:sSub>
          <m:e>
            <m:r>
              <w:rPr>
                <w:rFonts w:ascii="Cambria Math" w:hAnsi="Cambria Math"/>
              </w:rPr>
              <m:t>R</m:t>
            </m:r>
          </m:e>
          <m:sub>
            <m:r>
              <m:rPr>
                <m:sty m:val="p"/>
              </m:rPr>
              <w:rPr>
                <w:rFonts w:ascii="Cambria Math" w:hAnsi="Cambria Math"/>
              </w:rPr>
              <m:t>Rest,AW</m:t>
            </m:r>
          </m:sub>
        </m:sSub>
        <m:r>
          <w:rPr>
            <w:rFonts w:ascii="Cambria Math" w:hAnsi="Cambria Math"/>
          </w:rPr>
          <m:t>≤</m:t>
        </m:r>
        <m:r>
          <w:rPr>
            <w:rFonts w:ascii="Cambria Math" w:hAnsi="Cambria Math"/>
          </w:rPr>
          <m:t>0</m:t>
        </m:r>
      </m:oMath>
      <w:r>
        <w:t xml:space="preserve"> — rechnerisch ab einem mittleren U über 4,17 W/(m²K) —, bricht die Rechnung mit benanntem Fehler ab.</w:t>
      </w:r>
    </w:p>
    <w:p>
      <w:r>
        <w:t xml:space="preserve">Damit gibt der Klassenweg die Katalog-U-Werte bewusst </w:t>
      </w:r>
      <w:r>
        <w:rPr>
          <w:b/>
        </w:rPr>
        <w:t xml:space="preserve">nicht</w:t>
      </w:r>
      <w:r>
        <w:t xml:space="preserve"> wieder. Der Weg von der Luft zur Außenwandoberfläche ist </w:t>
      </w:r>
      <m:oMath xmlns:m="http://schemas.openxmlformats.org/officeDocument/2006/math">
        <m:sSub>
          <m:e>
            <m:r>
              <w:rPr>
                <w:rFonts w:ascii="Cambria Math" w:hAnsi="Cambria Math"/>
              </w:rPr>
              <m:t>R</m:t>
            </m:r>
          </m:e>
          <m:sub>
            <m:r>
              <m:rPr>
                <m:sty m:val="p"/>
              </m:rPr>
              <w:rPr>
                <w:rFonts w:ascii="Cambria Math" w:hAnsi="Cambria Math"/>
              </w:rPr>
              <m:t>conv,AW</m:t>
            </m:r>
          </m:sub>
        </m:sSub>
      </m:oMath>
      <w:r>
        <w:t xml:space="preserve"> </w:t>
      </w:r>
      <w:r>
        <w:rPr>
          <w:b/>
        </w:rPr>
        <w:t xml:space="preserve">parallel zu</w:t>
      </w:r>
      <w:r>
        <w:t xml:space="preserve"> </w:t>
      </w:r>
      <m:oMath xmlns:m="http://schemas.openxmlformats.org/officeDocument/2006/math">
        <m:r>
          <w:rPr>
            <w:rFonts w:ascii="Cambria Math" w:hAnsi="Cambria Math"/>
          </w:rPr>
          <m:t>(</m:t>
        </m:r>
        <m:sSub>
          <m:e>
            <m:r>
              <w:rPr>
                <w:rFonts w:ascii="Cambria Math" w:hAnsi="Cambria Math"/>
              </w:rPr>
              <m:t>R</m:t>
            </m:r>
          </m:e>
          <m:sub>
            <m:r>
              <m:rPr>
                <m:sty m:val="p"/>
              </m:rPr>
              <w:rPr>
                <w:rFonts w:ascii="Cambria Math" w:hAnsi="Cambria Math"/>
              </w:rPr>
              <m:t>conv,IW</m:t>
            </m:r>
          </m:sub>
        </m:sSub>
        <m:r>
          <w:rPr>
            <w:rFonts w:ascii="Cambria Math" w:hAnsi="Cambria Math"/>
          </w:rPr>
          <m:t>+</m:t>
        </m:r>
        <m:sSub>
          <m:e>
            <m:r>
              <w:rPr>
                <w:rFonts w:ascii="Cambria Math" w:hAnsi="Cambria Math"/>
              </w:rPr>
              <m:t>R</m:t>
            </m:r>
          </m:e>
          <m:sub>
            <m:r>
              <m:rPr>
                <m:sty m:val="p"/>
              </m:rPr>
              <w:rPr>
                <w:rFonts w:ascii="Cambria Math" w:hAnsi="Cambria Math"/>
              </w:rPr>
              <m:t>rad</m:t>
            </m:r>
          </m:sub>
        </m:sSub>
        <m:r>
          <w:rPr>
            <w:rFonts w:ascii="Cambria Math" w:hAnsi="Cambria Math"/>
          </w:rPr>
          <m:t>)</m:t>
        </m:r>
      </m:oMath>
      <w:r>
        <w:t xml:space="preserve">:</w:t>
      </w:r>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innen,eff</m:t>
              </m:r>
            </m:sub>
          </m:sSub>
          <m:r>
            <w:rPr>
              <w:rFonts w:ascii="Cambria Math" w:hAnsi="Cambria Math"/>
            </w:rPr>
            <m:t>=</m:t>
          </m:r>
          <m:f>
            <m:num>
              <m:sSub>
                <m:e>
                  <m:r>
                    <w:rPr>
                      <w:rFonts w:ascii="Cambria Math" w:hAnsi="Cambria Math"/>
                    </w:rPr>
                    <m:t>R</m:t>
                  </m:r>
                </m:e>
                <m:sub>
                  <m:r>
                    <m:rPr>
                      <m:sty m:val="p"/>
                    </m:rPr>
                    <w:rPr>
                      <w:rFonts w:ascii="Cambria Math" w:hAnsi="Cambria Math"/>
                    </w:rPr>
                    <m:t>conv,AW</m:t>
                  </m:r>
                </m:sub>
              </m:sSub>
              <m:r>
                <w:rPr>
                  <w:rFonts w:ascii="Cambria Math" w:hAnsi="Cambria Math"/>
                </w:rPr>
                <m:t>⋅</m:t>
              </m:r>
              <m:r>
                <w:rPr>
                  <w:rFonts w:ascii="Cambria Math" w:hAnsi="Cambria Math"/>
                </w:rPr>
                <m:t>(</m:t>
              </m:r>
              <m:sSub>
                <m:e>
                  <m:r>
                    <w:rPr>
                      <w:rFonts w:ascii="Cambria Math" w:hAnsi="Cambria Math"/>
                    </w:rPr>
                    <m:t>R</m:t>
                  </m:r>
                </m:e>
                <m:sub>
                  <m:r>
                    <m:rPr>
                      <m:sty m:val="p"/>
                    </m:rPr>
                    <w:rPr>
                      <w:rFonts w:ascii="Cambria Math" w:hAnsi="Cambria Math"/>
                    </w:rPr>
                    <m:t>conv,IW</m:t>
                  </m:r>
                </m:sub>
              </m:sSub>
              <m:r>
                <w:rPr>
                  <w:rFonts w:ascii="Cambria Math" w:hAnsi="Cambria Math"/>
                </w:rPr>
                <m:t>+</m:t>
              </m:r>
              <m:sSub>
                <m:e>
                  <m:r>
                    <w:rPr>
                      <w:rFonts w:ascii="Cambria Math" w:hAnsi="Cambria Math"/>
                    </w:rPr>
                    <m:t>R</m:t>
                  </m:r>
                </m:e>
                <m:sub>
                  <m:r>
                    <m:rPr>
                      <m:sty m:val="p"/>
                    </m:rPr>
                    <w:rPr>
                      <w:rFonts w:ascii="Cambria Math" w:hAnsi="Cambria Math"/>
                    </w:rPr>
                    <m:t>rad</m:t>
                  </m:r>
                </m:sub>
              </m:sSub>
              <m:r>
                <w:rPr>
                  <w:rFonts w:ascii="Cambria Math" w:hAnsi="Cambria Math"/>
                </w:rPr>
                <m:t>)</m:t>
              </m:r>
            </m:num>
            <m:den>
              <m:sSub>
                <m:e>
                  <m:r>
                    <w:rPr>
                      <w:rFonts w:ascii="Cambria Math" w:hAnsi="Cambria Math"/>
                    </w:rPr>
                    <m:t>R</m:t>
                  </m:r>
                </m:e>
                <m:sub>
                  <m:r>
                    <m:rPr>
                      <m:sty m:val="p"/>
                    </m:rPr>
                    <w:rPr>
                      <w:rFonts w:ascii="Cambria Math" w:hAnsi="Cambria Math"/>
                    </w:rPr>
                    <m:t>conv,AW</m:t>
                  </m:r>
                </m:sub>
              </m:sSub>
              <m:r>
                <w:rPr>
                  <w:rFonts w:ascii="Cambria Math" w:hAnsi="Cambria Math"/>
                </w:rPr>
                <m:t>+</m:t>
              </m:r>
              <m:sSub>
                <m:e>
                  <m:r>
                    <w:rPr>
                      <w:rFonts w:ascii="Cambria Math" w:hAnsi="Cambria Math"/>
                    </w:rPr>
                    <m:t>R</m:t>
                  </m:r>
                </m:e>
                <m:sub>
                  <m:r>
                    <m:rPr>
                      <m:sty m:val="p"/>
                    </m:rPr>
                    <w:rPr>
                      <w:rFonts w:ascii="Cambria Math" w:hAnsi="Cambria Math"/>
                    </w:rPr>
                    <m:t>conv,IW</m:t>
                  </m:r>
                </m:sub>
              </m:sSub>
              <m:r>
                <w:rPr>
                  <w:rFonts w:ascii="Cambria Math" w:hAnsi="Cambria Math"/>
                </w:rPr>
                <m:t>+</m:t>
              </m:r>
              <m:sSub>
                <m:e>
                  <m:r>
                    <w:rPr>
                      <w:rFonts w:ascii="Cambria Math" w:hAnsi="Cambria Math"/>
                    </w:rPr>
                    <m:t>R</m:t>
                  </m:r>
                </m:e>
                <m:sub>
                  <m:r>
                    <m:rPr>
                      <m:sty m:val="p"/>
                    </m:rPr>
                    <w:rPr>
                      <w:rFonts w:ascii="Cambria Math" w:hAnsi="Cambria Math"/>
                    </w:rPr>
                    <m:t>rad</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opak,wirksam</m:t>
              </m:r>
            </m:sub>
          </m:sSub>
          <m:r>
            <w:rPr>
              <w:rFonts w:ascii="Cambria Math" w:hAnsi="Cambria Math"/>
            </w:rPr>
            <m:t>=</m:t>
          </m:r>
          <m:f>
            <m:num>
              <m:r>
                <w:rPr>
                  <w:rFonts w:ascii="Cambria Math" w:hAnsi="Cambria Math"/>
                </w:rPr>
                <m:t>1</m:t>
              </m:r>
            </m:num>
            <m:den>
              <m:sSub>
                <m:e>
                  <m:r>
                    <w:rPr>
                      <w:rFonts w:ascii="Cambria Math" w:hAnsi="Cambria Math"/>
                    </w:rPr>
                    <m:t>R</m:t>
                  </m:r>
                </m:e>
                <m:sub>
                  <m:r>
                    <m:rPr>
                      <m:sty m:val="p"/>
                    </m:rPr>
                    <w:rPr>
                      <w:rFonts w:ascii="Cambria Math" w:hAnsi="Cambria Math"/>
                    </w:rPr>
                    <m:t>Rest,AW</m:t>
                  </m:r>
                </m:sub>
              </m:sSub>
              <m:r>
                <w:rPr>
                  <w:rFonts w:ascii="Cambria Math" w:hAnsi="Cambria Math"/>
                </w:rPr>
                <m:t>+</m:t>
              </m:r>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AW</m:t>
                  </m:r>
                </m:sub>
              </m:sSub>
              <m:r>
                <w:rPr>
                  <w:rFonts w:ascii="Cambria Math" w:hAnsi="Cambria Math"/>
                </w:rPr>
                <m:t>+</m:t>
              </m:r>
              <m:sSub>
                <m:e>
                  <m:r>
                    <w:rPr>
                      <w:rFonts w:ascii="Cambria Math" w:hAnsi="Cambria Math"/>
                    </w:rPr>
                    <m:t>R</m:t>
                  </m:r>
                </m:e>
                <m:sub>
                  <m:r>
                    <m:rPr>
                      <m:sty m:val="p"/>
                    </m:rPr>
                    <w:rPr>
                      <w:rFonts w:ascii="Cambria Math" w:hAnsi="Cambria Math"/>
                    </w:rPr>
                    <m:t>innen,eff</m:t>
                  </m:r>
                </m:sub>
              </m:sSub>
            </m:den>
          </m:f>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oMath>
      </m:oMathPara>
    </w:p>
    <w:p>
      <w:r>
        <w:rPr>
          <w:b/>
        </w:rPr>
        <w:t xml:space="preserve">A5 bis A7 — Innenpfad, Übergänge im Raum und masseloser Zweig</w:t>
      </w:r>
      <w:r>
        <w:t xml:space="preserve"> (der masselose Zweig trägt nach </w:t>
      </w:r>
      <w:r>
        <w:rPr>
          <w:b/>
        </w:rPr>
        <w:t xml:space="preserve">E14</w:t>
      </w:r>
      <w:r>
        <w:t xml:space="preserve"> allein Lüftung und Wärmebrücken — die Fenster liegen im Außenwandzweig, siehe A7a)</w:t>
      </w:r>
    </w:p>
    <w:p>
      <w:pPr>
        <w:pStyle w:val="Formelblock"/>
      </w:pPr>
      <m:oMathPara xmlns:m="http://schemas.openxmlformats.org/officeDocument/2006/math">
        <m:oMathParaPr>
          <m:jc m:val="center"/>
        </m:oMathParaPr>
        <m:o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IW</m:t>
              </m:r>
            </m:sub>
          </m:sSub>
          <m:r>
            <w:rPr>
              <w:rFonts w:ascii="Cambria Math" w:hAnsi="Cambria Math"/>
            </w:rPr>
            <m:t>=</m:t>
          </m:r>
          <m:f>
            <m:num>
              <m:r>
                <w:rPr>
                  <w:rFonts w:ascii="Cambria Math" w:hAnsi="Cambria Math"/>
                </w:rPr>
                <m:t>1</m:t>
              </m:r>
            </m:num>
            <m:den>
              <m:sSub>
                <m:e>
                  <m:r>
                    <w:rPr>
                      <w:rFonts w:ascii="Cambria Math" w:hAnsi="Cambria Math"/>
                    </w:rPr>
                    <m:t>h</m:t>
                  </m:r>
                </m:e>
                <m:sub>
                  <m:r>
                    <m:rPr>
                      <m:sty m:val="p"/>
                    </m:rPr>
                    <w:rPr>
                      <w:rFonts w:ascii="Cambria Math" w:hAnsi="Cambria Math"/>
                    </w:rPr>
                    <m:t>ms</m:t>
                  </m:r>
                </m:sub>
              </m:sSub>
              <m:r>
                <w:rPr>
                  <w:rFonts w:ascii="Cambria Math" w:hAnsi="Cambria Math"/>
                </w:rPr>
                <m:t>⋅</m:t>
              </m:r>
              <m:sSub>
                <m:e>
                  <m:r>
                    <w:rPr>
                      <w:rFonts w:ascii="Cambria Math" w:hAnsi="Cambria Math"/>
                    </w:rPr>
                    <m:t>A</m:t>
                  </m:r>
                </m:e>
                <m:sub>
                  <m:r>
                    <m:rPr>
                      <m:sty m:val="p"/>
                    </m:rPr>
                    <w:rPr>
                      <w:rFonts w:ascii="Cambria Math" w:hAnsi="Cambria Math"/>
                    </w:rPr>
                    <m:t>IW</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conv,AW</m:t>
              </m:r>
            </m:sub>
          </m:sSub>
          <m:r>
            <w:rPr>
              <w:rFonts w:ascii="Cambria Math" w:hAnsi="Cambria Math"/>
            </w:rPr>
            <m:t>=</m:t>
          </m:r>
          <m:f>
            <m:num>
              <m:r>
                <w:rPr>
                  <w:rFonts w:ascii="Cambria Math" w:hAnsi="Cambria Math"/>
                </w:rPr>
                <m:t>1</m:t>
              </m:r>
            </m:num>
            <m:den>
              <m:sSub>
                <m:e>
                  <m:r>
                    <w:rPr>
                      <w:rFonts w:ascii="Cambria Math" w:hAnsi="Cambria Math"/>
                    </w:rPr>
                    <m:t>α</m:t>
                  </m:r>
                </m:e>
                <m:sub>
                  <m:r>
                    <m:rPr>
                      <m:sty m:val="p"/>
                    </m:rPr>
                    <w:rPr>
                      <w:rFonts w:ascii="Cambria Math" w:hAnsi="Cambria Math"/>
                    </w:rPr>
                    <m:t>kon,i</m:t>
                  </m:r>
                </m:sub>
              </m:sSub>
              <m:r>
                <w:rPr>
                  <w:rFonts w:ascii="Cambria Math" w:hAnsi="Cambria Math"/>
                </w:rPr>
                <m:t>⋅</m:t>
              </m:r>
              <m:sSub>
                <m:e>
                  <m:r>
                    <w:rPr>
                      <w:rFonts w:ascii="Cambria Math" w:hAnsi="Cambria Math"/>
                    </w:rPr>
                    <m:t>A</m:t>
                  </m:r>
                </m:e>
                <m:sub>
                  <m:r>
                    <m:rPr>
                      <m:sty m:val="p"/>
                    </m:rPr>
                    <w:rPr>
                      <w:rFonts w:ascii="Cambria Math" w:hAnsi="Cambria Math"/>
                    </w:rPr>
                    <m:t>AW,opak</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conv,IW</m:t>
              </m:r>
            </m:sub>
          </m:sSub>
          <m:r>
            <w:rPr>
              <w:rFonts w:ascii="Cambria Math" w:hAnsi="Cambria Math"/>
            </w:rPr>
            <m:t>=</m:t>
          </m:r>
          <m:f>
            <m:num>
              <m:r>
                <w:rPr>
                  <w:rFonts w:ascii="Cambria Math" w:hAnsi="Cambria Math"/>
                </w:rPr>
                <m:t>1</m:t>
              </m:r>
            </m:num>
            <m:den>
              <m:sSub>
                <m:e>
                  <m:r>
                    <w:rPr>
                      <w:rFonts w:ascii="Cambria Math" w:hAnsi="Cambria Math"/>
                    </w:rPr>
                    <m:t>α</m:t>
                  </m:r>
                </m:e>
                <m:sub>
                  <m:r>
                    <m:rPr>
                      <m:sty m:val="p"/>
                    </m:rPr>
                    <w:rPr>
                      <w:rFonts w:ascii="Cambria Math" w:hAnsi="Cambria Math"/>
                    </w:rPr>
                    <m:t>kon,i</m:t>
                  </m:r>
                </m:sub>
              </m:sSub>
              <m:r>
                <w:rPr>
                  <w:rFonts w:ascii="Cambria Math" w:hAnsi="Cambria Math"/>
                </w:rPr>
                <m:t>⋅</m:t>
              </m:r>
              <m:sSub>
                <m:e>
                  <m:r>
                    <w:rPr>
                      <w:rFonts w:ascii="Cambria Math" w:hAnsi="Cambria Math"/>
                    </w:rPr>
                    <m:t>A</m:t>
                  </m:r>
                </m:e>
                <m:sub>
                  <m:r>
                    <m:rPr>
                      <m:sty m:val="p"/>
                    </m:rPr>
                    <w:rPr>
                      <w:rFonts w:ascii="Cambria Math" w:hAnsi="Cambria Math"/>
                    </w:rPr>
                    <m:t>IW</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rad</m:t>
              </m:r>
            </m:sub>
          </m:sSub>
          <m:r>
            <w:rPr>
              <w:rFonts w:ascii="Cambria Math" w:hAnsi="Cambria Math"/>
            </w:rPr>
            <m:t>=</m:t>
          </m:r>
          <m:f>
            <m:num>
              <m:r>
                <w:rPr>
                  <w:rFonts w:ascii="Cambria Math" w:hAnsi="Cambria Math"/>
                </w:rPr>
                <m:t>1</m:t>
              </m:r>
            </m:num>
            <m:den>
              <m:sSub>
                <m:e>
                  <m:r>
                    <w:rPr>
                      <w:rFonts w:ascii="Cambria Math" w:hAnsi="Cambria Math"/>
                    </w:rPr>
                    <m:t>α</m:t>
                  </m:r>
                </m:e>
                <m:sub>
                  <m:r>
                    <m:rPr>
                      <m:sty m:val="p"/>
                    </m:rPr>
                    <w:rPr>
                      <w:rFonts w:ascii="Cambria Math" w:hAnsi="Cambria Math"/>
                    </w:rPr>
                    <m:t>str,i</m:t>
                  </m:r>
                </m:sub>
              </m:sSub>
              <m:r>
                <w:rPr>
                  <w:rFonts w:ascii="Cambria Math" w:hAnsi="Cambria Math"/>
                </w:rPr>
                <m:t>⋅</m:t>
              </m:r>
              <m:sSub>
                <m:e>
                  <m:r>
                    <w:rPr>
                      <w:rFonts w:ascii="Cambria Math" w:hAnsi="Cambria Math"/>
                    </w:rPr>
                    <m:t>A</m:t>
                  </m:r>
                </m:e>
                <m:sub>
                  <m:r>
                    <m:rPr>
                      <m:sty m:val="p"/>
                    </m:rPr>
                    <w:rPr>
                      <w:rFonts w:ascii="Cambria Math" w:hAnsi="Cambria Math"/>
                    </w:rPr>
                    <m:t>rad</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H</m:t>
              </m:r>
            </m:e>
            <m:sub>
              <m:r>
                <m:rPr>
                  <m:sty m:val="p"/>
                </m:rPr>
                <w:rPr>
                  <w:rFonts w:ascii="Cambria Math" w:hAnsi="Cambria Math"/>
                </w:rPr>
                <m:t>ve</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V</m:t>
          </m:r>
          <m:r>
            <w:rPr>
              <w:rFonts w:ascii="Cambria Math" w:hAnsi="Cambria Math"/>
            </w:rPr>
            <m:t>⋅</m:t>
          </m:r>
          <m:r>
            <w:rPr>
              <w:rFonts w:ascii="Cambria Math" w:hAnsi="Cambria Math"/>
            </w:rPr>
            <m:t>c</m:t>
          </m:r>
          <m:r>
            <w:rPr>
              <w:rFonts w:ascii="Cambria Math" w:hAnsi="Cambria Math"/>
            </w:rPr>
            <m:t xml:space="preserve"> </m:t>
          </m:r>
          <m:r>
            <w:rPr>
              <w:rFonts w:ascii="Cambria Math" w:hAnsi="Cambria Math"/>
            </w:rPr>
            <m:t>ρ</m:t>
          </m:r>
          <m:r>
            <w:rPr>
              <w:rFonts w:ascii="Cambria Math" w:hAnsi="Cambria Math"/>
            </w:rPr>
            <m:t xml:space="preserve"> </m:t>
          </m:r>
          <m:r>
            <m:rPr>
              <m:nor m:val="1"/>
            </m:rPr>
            <w:rPr>
              <w:rFonts w:ascii="Cambria Math" w:hAnsi="Cambria Math"/>
            </w:rPr>
            <m:t xml:space="preserve">mit </m:t>
          </m:r>
          <m:r>
            <w:rPr>
              <w:rFonts w:ascii="Cambria Math" w:hAnsi="Cambria Math"/>
            </w:rPr>
            <m:t>V</m:t>
          </m:r>
          <m:r>
            <w:rPr>
              <w:rFonts w:ascii="Cambria Math" w:hAnsi="Cambria Math"/>
            </w:rPr>
            <m:t>=</m:t>
          </m:r>
          <m:sSub>
            <m:e>
              <m:r>
                <w:rPr>
                  <w:rFonts w:ascii="Cambria Math" w:hAnsi="Cambria Math"/>
                </w:rPr>
                <m:t>A</m:t>
              </m:r>
            </m:e>
            <m:sub>
              <m:r>
                <m:rPr>
                  <m:sty m:val="p"/>
                </m:rPr>
                <w:rPr>
                  <w:rFonts w:ascii="Cambria Math" w:hAnsi="Cambria Math"/>
                </w:rPr>
                <m:t>f</m:t>
              </m:r>
            </m:sub>
          </m:sSub>
          <m:r>
            <w:rPr>
              <w:rFonts w:ascii="Cambria Math" w:hAnsi="Cambria Math"/>
            </w:rPr>
            <m:t>⋅</m:t>
          </m:r>
          <m:r>
            <w:rPr>
              <w:rFonts w:ascii="Cambria Math" w:hAnsi="Cambria Math"/>
            </w:rPr>
            <m:t>H</m:t>
          </m:r>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r>
            <w:rPr>
              <w:rFonts w:ascii="Cambria Math" w:hAnsi="Cambria Math"/>
            </w:rPr>
            <m:t xml:space="preserve"> </m:t>
          </m:r>
          <m:r>
            <w:rPr>
              <w:rFonts w:ascii="Cambria Math" w:hAnsi="Cambria Math"/>
            </w:rPr>
            <m:t>(</m:t>
          </m:r>
          <m:r>
            <w:rPr>
              <w:rFonts w:ascii="Cambria Math" w:hAnsi="Cambria Math"/>
            </w:rPr>
            <m:t>7</m:t>
          </m:r>
          <m:r>
            <w:rPr>
              <w:rFonts w:ascii="Cambria Math" w:hAnsi="Cambria Math"/>
            </w:rPr>
            <m:t>5</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H</m:t>
              </m:r>
            </m:e>
            <m:sub>
              <m:r>
                <m:rPr>
                  <m:sty m:val="p"/>
                </m:rPr>
                <w:rPr>
                  <w:rFonts w:ascii="Cambria Math" w:hAnsi="Cambria Math"/>
                </w:rPr>
                <m:t>ext</m:t>
              </m:r>
            </m:sub>
          </m:sSub>
          <m:r>
            <w:rPr>
              <w:rFonts w:ascii="Cambria Math" w:hAnsi="Cambria Math"/>
            </w:rPr>
            <m:t>=</m:t>
          </m:r>
          <m:sSub>
            <m:e>
              <m:r>
                <w:rPr>
                  <w:rFonts w:ascii="Cambria Math" w:hAnsi="Cambria Math"/>
                </w:rPr>
                <m:t>H</m:t>
              </m:r>
            </m:e>
            <m:sub>
              <m:r>
                <m:rPr>
                  <m:sty m:val="p"/>
                </m:rPr>
                <w:rPr>
                  <w:rFonts w:ascii="Cambria Math" w:hAnsi="Cambria Math"/>
                </w:rPr>
                <m:t>ve</m:t>
              </m:r>
            </m:sub>
          </m:sSub>
          <m:r>
            <w:rPr>
              <w:rFonts w:ascii="Cambria Math" w:hAnsi="Cambria Math"/>
            </w:rPr>
            <m:t>+</m:t>
          </m:r>
          <m:nary>
            <m:naryPr>
              <m:chr m:val="∑"/>
              <m:limLoc m:val="undOvr"/>
              <m:grow m:val="1"/>
              <m:subHide m:val="0"/>
              <m:supHide m:val="1"/>
            </m:naryPr>
            <m:sub>
              <m:r>
                <w:rPr>
                  <w:rFonts w:ascii="Cambria Math" w:hAnsi="Cambria Math"/>
                </w:rPr>
                <m:t>i</m:t>
              </m:r>
            </m:sub>
            <m:sup>
              <m:r>
                <w:rPr>
                  <w:rFonts w:ascii="Cambria Math" w:hAnsi="Cambria Math"/>
                </w:rPr>
                <m:t/>
              </m:r>
            </m:sup>
            <m:e>
              <m:sSub>
                <m:e>
                  <m:r>
                    <w:rPr>
                      <w:rFonts w:ascii="Cambria Math" w:hAnsi="Cambria Math"/>
                    </w:rPr>
                    <m:t>ψ</m:t>
                  </m:r>
                </m:e>
                <m:sub>
                  <m:r>
                    <w:rPr>
                      <w:rFonts w:ascii="Cambria Math" w:hAnsi="Cambria Math"/>
                    </w:rPr>
                    <m:t>i</m:t>
                  </m:r>
                </m:sub>
              </m:sSub>
              <m:sSub>
                <m:e>
                  <m:r>
                    <w:rPr>
                      <w:rFonts w:ascii="Cambria Math" w:hAnsi="Cambria Math"/>
                    </w:rPr>
                    <m:t>L</m:t>
                  </m:r>
                </m:e>
                <m:sub>
                  <m:r>
                    <w:rPr>
                      <w:rFonts w:ascii="Cambria Math" w:hAnsi="Cambria Math"/>
                    </w:rPr>
                    <m:t>i</m:t>
                  </m:r>
                </m:sub>
              </m:sSub>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e>
          </m:nary>
        </m:oMath>
      </m:oMathPara>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ext</m:t>
              </m:r>
            </m:sub>
          </m:sSub>
          <m:r>
            <w:rPr>
              <w:rFonts w:ascii="Cambria Math" w:hAnsi="Cambria Math"/>
            </w:rPr>
            <m:t>=</m:t>
          </m:r>
          <m:f>
            <m:num>
              <m:r>
                <w:rPr>
                  <w:rFonts w:ascii="Cambria Math" w:hAnsi="Cambria Math"/>
                </w:rPr>
                <m:t>1</m:t>
              </m:r>
            </m:num>
            <m:den>
              <m:sSub>
                <m:e>
                  <m:r>
                    <w:rPr>
                      <w:rFonts w:ascii="Cambria Math" w:hAnsi="Cambria Math"/>
                    </w:rPr>
                    <m:t>H</m:t>
                  </m:r>
                </m:e>
                <m:sub>
                  <m:r>
                    <m:rPr>
                      <m:sty m:val="p"/>
                    </m:rPr>
                    <w:rPr>
                      <w:rFonts w:ascii="Cambria Math" w:hAnsi="Cambria Math"/>
                    </w:rPr>
                    <m:t>ext</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r>
        <w:t xml:space="preserve">In Stufe G2 tritt an die Stelle von </w:t>
      </w:r>
      <m:oMath xmlns:m="http://schemas.openxmlformats.org/officeDocument/2006/math">
        <m:r>
          <w:rPr>
            <w:rFonts w:ascii="Cambria Math" w:hAnsi="Cambria Math"/>
          </w:rPr>
          <m:t>n</m:t>
        </m:r>
      </m:oMath>
      <w:r>
        <w:t xml:space="preserve"> die Summe </w:t>
      </w:r>
      <m:oMath xmlns:m="http://schemas.openxmlformats.org/officeDocument/2006/math">
        <m:sSub>
          <m:e>
            <m:r>
              <w:rPr>
                <w:rFonts w:ascii="Cambria Math" w:hAnsi="Cambria Math"/>
              </w:rPr>
              <m:t>n</m:t>
            </m:r>
          </m:e>
          <m:sub>
            <m:r>
              <m:rPr>
                <m:sty m:val="p"/>
              </m:rPr>
              <w:rPr>
                <w:rFonts w:ascii="Cambria Math" w:hAnsi="Cambria Math"/>
              </w:rPr>
              <m:t>inf</m:t>
            </m:r>
          </m:sub>
        </m:sSub>
        <m:r>
          <w:rPr>
            <w:rFonts w:ascii="Cambria Math" w:hAnsi="Cambria Math"/>
          </w:rPr>
          <m:t>+</m:t>
        </m:r>
        <m:sSub>
          <m:e>
            <m:r>
              <w:rPr>
                <w:rFonts w:ascii="Cambria Math" w:hAnsi="Cambria Math"/>
              </w:rPr>
              <m:t>n</m:t>
            </m:r>
          </m:e>
          <m:sub>
            <m:r>
              <m:rPr>
                <m:sty m:val="p"/>
              </m:rPr>
              <w:rPr>
                <w:rFonts w:ascii="Cambria Math" w:hAnsi="Cambria Math"/>
              </w:rPr>
              <m:t>nutz</m:t>
            </m:r>
          </m:sub>
        </m:sSub>
      </m:oMath>
      <w:r>
        <w:t xml:space="preserve">, in der Sommerlüftungsregel </w:t>
      </w:r>
      <m:oMath xmlns:m="http://schemas.openxmlformats.org/officeDocument/2006/math">
        <m:r>
          <w:rPr>
            <w:rFonts w:ascii="Cambria Math" w:hAnsi="Cambria Math"/>
          </w:rPr>
          <m:t>n</m:t>
        </m:r>
        <m:r>
          <w:rPr>
            <w:rFonts w:ascii="Cambria Math" w:hAnsi="Cambria Math"/>
          </w:rPr>
          <m:t>=</m:t>
        </m:r>
        <m:r>
          <w:rPr>
            <w:rFonts w:ascii="Cambria Math" w:hAnsi="Cambria Math"/>
          </w:rPr>
          <m:t>2</m:t>
        </m:r>
        <m:r>
          <w:rPr>
            <w:rFonts w:ascii="Cambria Math" w:hAnsi="Cambria Math"/>
          </w:rPr>
          <m:t>,</m:t>
        </m:r>
        <m:r>
          <w:rPr>
            <w:rFonts w:ascii="Cambria Math" w:hAnsi="Cambria Math"/>
          </w:rPr>
          <m:t>0</m:t>
        </m:r>
      </m:oMath>
      <w:r>
        <w:t xml:space="preserve"> 1/h, solange </w:t>
      </w:r>
      <m:oMath xmlns:m="http://schemas.openxmlformats.org/officeDocument/2006/math">
        <m:sSub>
          <m:e>
            <m:r>
              <w:rPr>
                <w:rFonts w:ascii="Cambria Math" w:hAnsi="Cambria Math"/>
              </w:rPr>
              <m:t>θ</m:t>
            </m:r>
          </m:e>
          <m:sub>
            <m:r>
              <m:rPr>
                <m:sty m:val="p"/>
              </m:rPr>
              <w:rPr>
                <w:rFonts w:ascii="Cambria Math" w:hAnsi="Cambria Math"/>
              </w:rPr>
              <m:t>air</m:t>
            </m:r>
          </m:sub>
        </m:sSub>
        <m:r>
          <w:rPr>
            <w:rFonts w:ascii="Cambria Math" w:hAnsi="Cambria Math"/>
          </w:rPr>
          <m:t>&gt;</m:t>
        </m:r>
        <m:r>
          <w:rPr>
            <w:rFonts w:ascii="Cambria Math" w:hAnsi="Cambria Math"/>
          </w:rPr>
          <m:t>2</m:t>
        </m:r>
        <m:r>
          <w:rPr>
            <w:rFonts w:ascii="Cambria Math" w:hAnsi="Cambria Math"/>
          </w:rPr>
          <m:t>3</m:t>
        </m:r>
      </m:oMath>
      <w:r>
        <w:t xml:space="preserve"> °C </w:t>
      </w:r>
      <w:r>
        <w:rPr>
          <w:b/>
        </w:rPr>
        <w:t xml:space="preserve">und</w:t>
      </w:r>
      <w:r>
        <w:t xml:space="preserve"> </w:t>
      </w:r>
      <m:oMath xmlns:m="http://schemas.openxmlformats.org/officeDocument/2006/math">
        <m:sSub>
          <m:e>
            <m:r>
              <w:rPr>
                <w:rFonts w:ascii="Cambria Math" w:hAnsi="Cambria Math"/>
              </w:rPr>
              <m:t>θ</m:t>
            </m:r>
          </m:e>
          <m:sub>
            <m:r>
              <m:rPr>
                <m:sty m:val="p"/>
              </m:rPr>
              <w:rPr>
                <w:rFonts w:ascii="Cambria Math" w:hAnsi="Cambria Math"/>
              </w:rPr>
              <m:t>out</m:t>
            </m:r>
          </m:sub>
        </m:sSub>
        <m:r>
          <w:rPr>
            <w:rFonts w:ascii="Cambria Math" w:hAnsi="Cambria Math"/>
          </w:rPr>
          <m:t>&lt;</m:t>
        </m:r>
        <m:sSub>
          <m:e>
            <m:r>
              <w:rPr>
                <w:rFonts w:ascii="Cambria Math" w:hAnsi="Cambria Math"/>
              </w:rPr>
              <m:t>θ</m:t>
            </m:r>
          </m:e>
          <m:sub>
            <m:r>
              <m:rPr>
                <m:sty m:val="p"/>
              </m:rPr>
              <w:rPr>
                <w:rFonts w:ascii="Cambria Math" w:hAnsi="Cambria Math"/>
              </w:rPr>
              <m:t>air</m:t>
            </m:r>
          </m:sub>
        </m:sSub>
        <m:r>
          <w:rPr>
            <w:rFonts w:ascii="Cambria Math" w:hAnsi="Cambria Math"/>
          </w:rPr>
          <m:t>-</m:t>
        </m:r>
        <m:r>
          <w:rPr>
            <w:rFonts w:ascii="Cambria Math" w:hAnsi="Cambria Math"/>
          </w:rPr>
          <m:t>2</m:t>
        </m:r>
      </m:oMath>
      <w:r>
        <w:t xml:space="preserve"> K.</w:t>
      </w:r>
    </w:p>
    <w:p>
      <w:r>
        <w:rPr>
          <w:b/>
        </w:rPr>
        <w:t xml:space="preserve">A7a — Fensterpfad im Außenwandzweig</w:t>
      </w:r>
      <w:r>
        <w:t xml:space="preserve"> (Entscheid </w:t>
      </w:r>
      <w:r>
        <w:rPr>
          <w:b/>
        </w:rPr>
        <w:t xml:space="preserve">E14</w:t>
      </w:r>
      <w:r>
        <w:t xml:space="preserve">, Normweg (25)–(28), Muster B6)</w:t>
      </w:r>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AF</m:t>
              </m:r>
            </m:sub>
          </m:sSub>
          <m:r>
            <w:rPr>
              <w:rFonts w:ascii="Cambria Math" w:hAnsi="Cambria Math"/>
            </w:rPr>
            <m:t>=</m:t>
          </m:r>
          <m:f>
            <m:num>
              <m:r>
                <w:rPr>
                  <w:rFonts w:ascii="Cambria Math" w:hAnsi="Cambria Math"/>
                </w:rPr>
                <m:t>1</m:t>
              </m:r>
            </m:num>
            <m:den>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w</m:t>
                  </m:r>
                </m:sub>
              </m:sSub>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AF</m:t>
              </m:r>
            </m:sub>
          </m:sSub>
          <m:r>
            <w:rPr>
              <w:rFonts w:ascii="Cambria Math" w:hAnsi="Cambria Math"/>
            </w:rPr>
            <m:t>=</m:t>
          </m:r>
          <m:f>
            <m:num>
              <m:sSub>
                <m:e>
                  <m:r>
                    <w:rPr>
                      <w:rFonts w:ascii="Cambria Math" w:hAnsi="Cambria Math"/>
                    </w:rPr>
                    <m:t>R</m:t>
                  </m:r>
                </m:e>
                <m:sub>
                  <m:r>
                    <m:rPr>
                      <m:sty m:val="p"/>
                    </m:rPr>
                    <w:rPr>
                      <w:rFonts w:ascii="Cambria Math" w:hAnsi="Cambria Math"/>
                    </w:rPr>
                    <m:t>AF</m:t>
                  </m:r>
                </m:sub>
              </m:sSub>
            </m:num>
            <m:den>
              <m:r>
                <w:rPr>
                  <w:rFonts w:ascii="Cambria Math" w:hAnsi="Cambria Math"/>
                </w:rPr>
                <m:t>6</m:t>
              </m:r>
            </m:den>
          </m:f>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R</m:t>
              </m:r>
            </m:e>
            <m:sub>
              <m:r>
                <m:rPr>
                  <m:sty m:val="p"/>
                </m:rPr>
                <w:rPr>
                  <w:rFonts w:ascii="Cambria Math" w:hAnsi="Cambria Math"/>
                </w:rPr>
                <m:t>Rest,AF</m:t>
              </m:r>
            </m:sub>
          </m:sSub>
          <m:r>
            <w:rPr>
              <w:rFonts w:ascii="Cambria Math" w:hAnsi="Cambria Math"/>
            </w:rPr>
            <m:t>=</m:t>
          </m:r>
          <m:f>
            <m:num>
              <m:r>
                <w:rPr>
                  <w:rFonts w:ascii="Cambria Math" w:hAnsi="Cambria Math"/>
                </w:rPr>
                <m:t>5</m:t>
              </m:r>
            </m:num>
            <m:den>
              <m:r>
                <w:rPr>
                  <w:rFonts w:ascii="Cambria Math" w:hAnsi="Cambria Math"/>
                </w:rPr>
                <m:t>6</m:t>
              </m:r>
            </m:den>
          </m:f>
          <m:r>
            <w:rPr>
              <w:rFonts w:ascii="Cambria Math" w:hAnsi="Cambria Math"/>
            </w:rPr>
            <m:t>⋅</m:t>
          </m:r>
          <m:sSub>
            <m:e>
              <m:r>
                <w:rPr>
                  <w:rFonts w:ascii="Cambria Math" w:hAnsi="Cambria Math"/>
                </w:rPr>
                <m:t>R</m:t>
              </m:r>
            </m:e>
            <m:sub>
              <m:r>
                <m:rPr>
                  <m:sty m:val="p"/>
                </m:rPr>
                <w:rPr>
                  <w:rFonts w:ascii="Cambria Math" w:hAnsi="Cambria Math"/>
                </w:rPr>
                <m:t>AF</m:t>
              </m:r>
            </m:sub>
          </m:sSub>
          <m:r>
            <w:rPr>
              <w:rFonts w:ascii="Cambria Math" w:hAnsi="Cambria Math"/>
            </w:rPr>
            <m:t xml:space="preserve"> </m:t>
          </m:r>
          <m:r>
            <w:rPr>
              <w:rFonts w:ascii="Cambria Math" w:hAnsi="Cambria Math"/>
            </w:rPr>
            <m:t>[</m:t>
          </m:r>
          <m:r>
            <m:rPr>
              <m:sty m:val="p"/>
            </m:rPr>
            <w:rPr>
              <w:rFonts w:ascii="Cambria Math" w:hAnsi="Cambria Math"/>
            </w:rPr>
            <m:t>K/W</m:t>
          </m:r>
          <m:r>
            <w:rPr>
              <w:rFonts w:ascii="Cambria Math" w:hAnsi="Cambria Math"/>
            </w:rPr>
            <m:t>]</m:t>
          </m:r>
        </m:oMath>
      </m:oMathPara>
    </w:p>
    <w:p>
      <w:r>
        <w:t xml:space="preserve">Die Fensterzweige werden </w:t>
      </w:r>
      <w:r>
        <w:rPr>
          <w:b/>
        </w:rPr>
        <w:t xml:space="preserve">nach</w:t>
      </w:r>
      <w:r>
        <w:t xml:space="preserve"> den Wänden parallel an den gemeinsamen Oberflächenknoten </w:t>
      </w:r>
      <m:oMath xmlns:m="http://schemas.openxmlformats.org/officeDocument/2006/math">
        <m:sSub>
          <m:e>
            <m:r>
              <w:rPr>
                <w:rFonts w:ascii="Cambria Math" w:hAnsi="Cambria Math"/>
              </w:rPr>
              <m:t>θ</m:t>
            </m:r>
          </m:e>
          <m:sub>
            <m:r>
              <m:rPr>
                <m:sty m:val="p"/>
              </m:rPr>
              <w:rPr>
                <w:rFonts w:ascii="Cambria Math" w:hAnsi="Cambria Math"/>
              </w:rPr>
              <m:t>s,AW</m:t>
            </m:r>
          </m:sub>
        </m:sSub>
      </m:oMath>
      <w:r>
        <w:t xml:space="preserve"> geschaltet (Klemmfälle (28a)–(28c) wie in B6); die Kapazität der Wände bleibt unverändert. Die Fensterfläche </w:t>
      </w:r>
      <m:oMath xmlns:m="http://schemas.openxmlformats.org/officeDocument/2006/math">
        <m:sSub>
          <m:e>
            <m:r>
              <w:rPr>
                <w:rFonts w:ascii="Cambria Math" w:hAnsi="Cambria Math"/>
              </w:rPr>
              <m:t>A</m:t>
            </m:r>
          </m:e>
          <m:sub>
            <m:r>
              <m:rPr>
                <m:sty m:val="p"/>
              </m:rPr>
              <w:rPr>
                <w:rFonts w:ascii="Cambria Math" w:hAnsi="Cambria Math"/>
              </w:rPr>
              <m:t>w</m:t>
            </m:r>
          </m:sub>
        </m:sSub>
      </m:oMath>
      <w:r>
        <w:t xml:space="preserve"> zählt damit in der Flächenwichtung der Oberflächen, in der Strahlungsverteilung (Schritt E) und in der Gewichtung der äquivalenten Außentemperatur nach (41). Der Weg des Prototyps — Fenster als masseloser Widerstand am Luftknoten in </w:t>
      </w:r>
      <m:oMath xmlns:m="http://schemas.openxmlformats.org/officeDocument/2006/math">
        <m:sSub>
          <m:e>
            <m:r>
              <w:rPr>
                <w:rFonts w:ascii="Cambria Math" w:hAnsi="Cambria Math"/>
              </w:rPr>
              <m:t>R</m:t>
            </m:r>
          </m:e>
          <m:sub>
            <m:r>
              <m:rPr>
                <m:sty m:val="p"/>
              </m:rPr>
              <w:rPr>
                <w:rFonts w:ascii="Cambria Math" w:hAnsi="Cambria Math"/>
              </w:rPr>
              <m:t>ext</m:t>
            </m:r>
          </m:sub>
        </m:sSub>
      </m:oMath>
      <w:r>
        <w:t xml:space="preserve"> — </w:t>
      </w:r>
      <w:r>
        <w:rPr>
          <w:b/>
        </w:rPr>
        <w:t xml:space="preserve">entfällt für das Produkt</w:t>
      </w:r>
      <w:r>
        <w:t xml:space="preserve">; er bleibt die Konvention, in der die Zahlen des Zahlenwegs in 10.10 entstanden sind, und die damit verbundene Umstellung in G3 entfällt.</w:t>
      </w:r>
    </w:p>
    <w:p>
      <w:r>
        <w:rPr>
          <w:b/>
        </w:rPr>
        <w:t xml:space="preserve">Ausgabe.</w:t>
      </w:r>
      <w:r>
        <w:t xml:space="preserve"> Der Datensatz der Ersatzparameter: </w:t>
      </w:r>
      <m:oMath xmlns:m="http://schemas.openxmlformats.org/officeDocument/2006/math">
        <m:sSub>
          <m:e>
            <m:r>
              <w:rPr>
                <w:rFonts w:ascii="Cambria Math" w:hAnsi="Cambria Math"/>
              </w:rPr>
              <m:t>C</m:t>
            </m:r>
          </m:e>
          <m:sub>
            <m:r>
              <m:rPr>
                <m:sty m:val="p"/>
              </m:rPr>
              <w:rPr>
                <w:rFonts w:ascii="Cambria Math" w:hAnsi="Cambria Math"/>
              </w:rPr>
              <m:t>AW</m:t>
            </m:r>
          </m:sub>
        </m:sSub>
      </m:oMath>
      <w:r>
        <w:t xml:space="preserve">, </w:t>
      </w:r>
      <m:oMath xmlns:m="http://schemas.openxmlformats.org/officeDocument/2006/math">
        <m:sSub>
          <m:e>
            <m:r>
              <w:rPr>
                <w:rFonts w:ascii="Cambria Math" w:hAnsi="Cambria Math"/>
              </w:rPr>
              <m:t>C</m:t>
            </m:r>
          </m:e>
          <m:sub>
            <m:r>
              <m:rPr>
                <m:sty m:val="p"/>
              </m:rPr>
              <w:rPr>
                <w:rFonts w:ascii="Cambria Math" w:hAnsi="Cambria Math"/>
              </w:rPr>
              <m:t>IW</m:t>
            </m:r>
          </m:sub>
        </m:sSub>
      </m:oMath>
      <w:r>
        <w:t xml:space="preserve">; </w:t>
      </w:r>
      <m:oMath xmlns:m="http://schemas.openxmlformats.org/officeDocument/2006/math">
        <m:sSub>
          <m:e>
            <m:r>
              <w:rPr>
                <w:rFonts w:ascii="Cambria Math" w:hAnsi="Cambria Math"/>
              </w:rPr>
              <m:t>R</m:t>
            </m:r>
          </m:e>
          <m:sub>
            <m:r>
              <m:rPr>
                <m:sty m:val="p"/>
              </m:rPr>
              <w:rPr>
                <w:rFonts w:ascii="Cambria Math" w:hAnsi="Cambria Math"/>
              </w:rPr>
              <m:t>Rest,AW</m:t>
            </m:r>
          </m:sub>
        </m:sSub>
      </m:oMath>
      <w:r>
        <w:t xml:space="preserve">, </w:t>
      </w:r>
      <m:oMath xmlns:m="http://schemas.openxmlformats.org/officeDocument/2006/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AW</m:t>
            </m:r>
          </m:sub>
        </m:sSub>
      </m:oMath>
      <w:r>
        <w:t xml:space="preserve">, </w:t>
      </w:r>
      <m:oMath xmlns:m="http://schemas.openxmlformats.org/officeDocument/2006/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IW</m:t>
            </m:r>
          </m:sub>
        </m:sSub>
      </m:oMath>
      <w:r>
        <w:t xml:space="preserve">, </w:t>
      </w:r>
      <m:oMath xmlns:m="http://schemas.openxmlformats.org/officeDocument/2006/math">
        <m:sSub>
          <m:e>
            <m:r>
              <w:rPr>
                <w:rFonts w:ascii="Cambria Math" w:hAnsi="Cambria Math"/>
              </w:rPr>
              <m:t>R</m:t>
            </m:r>
          </m:e>
          <m:sub>
            <m:r>
              <m:rPr>
                <m:sty m:val="p"/>
              </m:rPr>
              <w:rPr>
                <w:rFonts w:ascii="Cambria Math" w:hAnsi="Cambria Math"/>
              </w:rPr>
              <m:t>conv,AW</m:t>
            </m:r>
          </m:sub>
        </m:sSub>
      </m:oMath>
      <w:r>
        <w:t xml:space="preserve">, </w:t>
      </w:r>
      <m:oMath xmlns:m="http://schemas.openxmlformats.org/officeDocument/2006/math">
        <m:sSub>
          <m:e>
            <m:r>
              <w:rPr>
                <w:rFonts w:ascii="Cambria Math" w:hAnsi="Cambria Math"/>
              </w:rPr>
              <m:t>R</m:t>
            </m:r>
          </m:e>
          <m:sub>
            <m:r>
              <m:rPr>
                <m:sty m:val="p"/>
              </m:rPr>
              <w:rPr>
                <w:rFonts w:ascii="Cambria Math" w:hAnsi="Cambria Math"/>
              </w:rPr>
              <m:t>conv,IW</m:t>
            </m:r>
          </m:sub>
        </m:sSub>
      </m:oMath>
      <w:r>
        <w:t xml:space="preserve">, </w:t>
      </w:r>
      <m:oMath xmlns:m="http://schemas.openxmlformats.org/officeDocument/2006/math">
        <m:sSub>
          <m:e>
            <m:r>
              <w:rPr>
                <w:rFonts w:ascii="Cambria Math" w:hAnsi="Cambria Math"/>
              </w:rPr>
              <m:t>R</m:t>
            </m:r>
          </m:e>
          <m:sub>
            <m:r>
              <m:rPr>
                <m:sty m:val="p"/>
              </m:rPr>
              <w:rPr>
                <w:rFonts w:ascii="Cambria Math" w:hAnsi="Cambria Math"/>
              </w:rPr>
              <m:t>rad</m:t>
            </m:r>
          </m:sub>
        </m:sSub>
      </m:oMath>
      <w:r>
        <w:t xml:space="preserve">, </w:t>
      </w:r>
      <m:oMath xmlns:m="http://schemas.openxmlformats.org/officeDocument/2006/math">
        <m:sSub>
          <m:e>
            <m:r>
              <w:rPr>
                <w:rFonts w:ascii="Cambria Math" w:hAnsi="Cambria Math"/>
              </w:rPr>
              <m:t>R</m:t>
            </m:r>
          </m:e>
          <m:sub>
            <m:r>
              <m:rPr>
                <m:sty m:val="p"/>
              </m:rPr>
              <w:rPr>
                <w:rFonts w:ascii="Cambria Math" w:hAnsi="Cambria Math"/>
              </w:rPr>
              <m:t>ext</m:t>
            </m:r>
          </m:sub>
        </m:sSub>
      </m:oMath>
      <w:r>
        <w:t xml:space="preserve"> und — nach E14 — </w:t>
      </w:r>
      <m:oMath xmlns:m="http://schemas.openxmlformats.org/officeDocument/2006/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AF</m:t>
            </m:r>
          </m:sub>
        </m:sSub>
      </m:oMath>
      <w:r>
        <w:t xml:space="preserve"> und </w:t>
      </w:r>
      <m:oMath xmlns:m="http://schemas.openxmlformats.org/officeDocument/2006/math">
        <m:sSub>
          <m:e>
            <m:r>
              <w:rPr>
                <w:rFonts w:ascii="Cambria Math" w:hAnsi="Cambria Math"/>
              </w:rPr>
              <m:t>R</m:t>
            </m:r>
          </m:e>
          <m:sub>
            <m:r>
              <m:rPr>
                <m:sty m:val="p"/>
              </m:rPr>
              <w:rPr>
                <w:rFonts w:ascii="Cambria Math" w:hAnsi="Cambria Math"/>
              </w:rPr>
              <m:t>Rest,AF</m:t>
            </m:r>
          </m:sub>
        </m:sSub>
      </m:oMath>
      <w:r>
        <w:t xml:space="preserve">; dazu </w:t>
      </w:r>
      <m:oMath xmlns:m="http://schemas.openxmlformats.org/officeDocument/2006/math">
        <m:sSub>
          <m:e>
            <m:r>
              <w:rPr>
                <w:rFonts w:ascii="Cambria Math" w:hAnsi="Cambria Math"/>
              </w:rPr>
              <m:t>A</m:t>
            </m:r>
          </m:e>
          <m:sub>
            <m:r>
              <m:rPr>
                <m:sty m:val="p"/>
              </m:rPr>
              <w:rPr>
                <w:rFonts w:ascii="Cambria Math" w:hAnsi="Cambria Math"/>
              </w:rPr>
              <m:t>AW,opak</m:t>
            </m:r>
          </m:sub>
        </m:sSub>
      </m:oMath>
      <w:r>
        <w:t xml:space="preserve">, </w:t>
      </w:r>
      <m:oMath xmlns:m="http://schemas.openxmlformats.org/officeDocument/2006/math">
        <m:sSub>
          <m:e>
            <m:r>
              <w:rPr>
                <w:rFonts w:ascii="Cambria Math" w:hAnsi="Cambria Math"/>
              </w:rPr>
              <m:t>A</m:t>
            </m:r>
          </m:e>
          <m:sub>
            <m:r>
              <m:rPr>
                <m:sty m:val="p"/>
              </m:rPr>
              <w:rPr>
                <w:rFonts w:ascii="Cambria Math" w:hAnsi="Cambria Math"/>
              </w:rPr>
              <m:t>IW</m:t>
            </m:r>
          </m:sub>
        </m:sSub>
      </m:oMath>
      <w:r>
        <w:t xml:space="preserve">, </w:t>
      </w:r>
      <m:oMath xmlns:m="http://schemas.openxmlformats.org/officeDocument/2006/math">
        <m:sSub>
          <m:e>
            <m:r>
              <w:rPr>
                <w:rFonts w:ascii="Cambria Math" w:hAnsi="Cambria Math"/>
              </w:rPr>
              <m:t>A</m:t>
            </m:r>
          </m:e>
          <m:sub>
            <m:r>
              <m:rPr>
                <m:sty m:val="p"/>
              </m:rPr>
              <w:rPr>
                <w:rFonts w:ascii="Cambria Math" w:hAnsi="Cambria Math"/>
              </w:rPr>
              <m:t>w</m:t>
            </m:r>
          </m:sub>
        </m:sSub>
      </m:oMath>
      <w:r>
        <w:t xml:space="preserve"> und </w:t>
      </w:r>
      <m:oMath xmlns:m="http://schemas.openxmlformats.org/officeDocument/2006/math">
        <m:r>
          <w:rPr>
            <w:rFonts w:ascii="Cambria Math" w:hAnsi="Cambria Math"/>
          </w:rPr>
          <m:t>Σ</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opak</m:t>
            </m:r>
          </m:sub>
        </m:sSub>
      </m:oMath>
      <w:r>
        <w:t xml:space="preserve"> für Schritt E. Für die Knotenrechnung entstehen daraus die Leitwerte </w:t>
      </w:r>
      <m:oMath xmlns:m="http://schemas.openxmlformats.org/officeDocument/2006/math">
        <m:sSub>
          <m:e>
            <m:r>
              <w:rPr>
                <w:rFonts w:ascii="Cambria Math" w:hAnsi="Cambria Math"/>
              </w:rPr>
              <m:t>G</m:t>
            </m:r>
          </m:e>
          <m:sub>
            <m:r>
              <w:rPr>
                <w:rFonts w:ascii="Cambria Math" w:hAnsi="Cambria Math"/>
              </w:rPr>
              <m:t>1</m:t>
            </m:r>
          </m:sub>
        </m:sSub>
      </m:oMath>
      <w:r>
        <w:t xml:space="preserve">, </w:t>
      </w:r>
      <m:oMath xmlns:m="http://schemas.openxmlformats.org/officeDocument/2006/math">
        <m:sSub>
          <m:e>
            <m:r>
              <w:rPr>
                <w:rFonts w:ascii="Cambria Math" w:hAnsi="Cambria Math"/>
              </w:rPr>
              <m:t>G</m:t>
            </m:r>
          </m:e>
          <m:sub>
            <m:r>
              <w:rPr>
                <w:rFonts w:ascii="Cambria Math" w:hAnsi="Cambria Math"/>
              </w:rPr>
              <m:t>2</m:t>
            </m:r>
          </m:sub>
        </m:sSub>
      </m:oMath>
      <w:r>
        <w:t xml:space="preserve">, </w:t>
      </w:r>
      <m:oMath xmlns:m="http://schemas.openxmlformats.org/officeDocument/2006/math">
        <m:sSub>
          <m:e>
            <m:r>
              <w:rPr>
                <w:rFonts w:ascii="Cambria Math" w:hAnsi="Cambria Math"/>
              </w:rPr>
              <m:t>G</m:t>
            </m:r>
          </m:e>
          <m:sub>
            <m:r>
              <m:rPr>
                <m:sty m:val="p"/>
              </m:rPr>
              <w:rPr>
                <w:rFonts w:ascii="Cambria Math" w:hAnsi="Cambria Math"/>
              </w:rPr>
              <m:t>Rest</m:t>
            </m:r>
          </m:sub>
        </m:sSub>
      </m:oMath>
      <w:r>
        <w:t xml:space="preserve">, </w:t>
      </w:r>
      <m:oMath xmlns:m="http://schemas.openxmlformats.org/officeDocument/2006/math">
        <m:sSub>
          <m:e>
            <m:r>
              <w:rPr>
                <w:rFonts w:ascii="Cambria Math" w:hAnsi="Cambria Math"/>
              </w:rPr>
              <m:t>G</m:t>
            </m:r>
          </m:e>
          <m:sub>
            <m:r>
              <m:rPr>
                <m:sty m:val="p"/>
              </m:rPr>
              <w:rPr>
                <w:rFonts w:ascii="Cambria Math" w:hAnsi="Cambria Math"/>
              </w:rPr>
              <m:t>cAW</m:t>
            </m:r>
          </m:sub>
        </m:sSub>
      </m:oMath>
      <w:r>
        <w:t xml:space="preserve">, </w:t>
      </w:r>
      <m:oMath xmlns:m="http://schemas.openxmlformats.org/officeDocument/2006/math">
        <m:sSub>
          <m:e>
            <m:r>
              <w:rPr>
                <w:rFonts w:ascii="Cambria Math" w:hAnsi="Cambria Math"/>
              </w:rPr>
              <m:t>G</m:t>
            </m:r>
          </m:e>
          <m:sub>
            <m:r>
              <m:rPr>
                <m:sty m:val="p"/>
              </m:rPr>
              <w:rPr>
                <w:rFonts w:ascii="Cambria Math" w:hAnsi="Cambria Math"/>
              </w:rPr>
              <m:t>cIW</m:t>
            </m:r>
          </m:sub>
        </m:sSub>
      </m:oMath>
      <w:r>
        <w:t xml:space="preserve">, </w:t>
      </w:r>
      <m:oMath xmlns:m="http://schemas.openxmlformats.org/officeDocument/2006/math">
        <m:sSub>
          <m:e>
            <m:r>
              <w:rPr>
                <w:rFonts w:ascii="Cambria Math" w:hAnsi="Cambria Math"/>
              </w:rPr>
              <m:t>G</m:t>
            </m:r>
          </m:e>
          <m:sub>
            <m:r>
              <m:rPr>
                <m:sty m:val="p"/>
              </m:rPr>
              <w:rPr>
                <w:rFonts w:ascii="Cambria Math" w:hAnsi="Cambria Math"/>
              </w:rPr>
              <m:t>rad</m:t>
            </m:r>
          </m:sub>
        </m:sSub>
      </m:oMath>
      <w:r>
        <w:t xml:space="preserve"> und </w:t>
      </w:r>
      <m:oMath xmlns:m="http://schemas.openxmlformats.org/officeDocument/2006/math">
        <m:sSub>
          <m:e>
            <m:r>
              <w:rPr>
                <w:rFonts w:ascii="Cambria Math" w:hAnsi="Cambria Math"/>
              </w:rPr>
              <m:t>G</m:t>
            </m:r>
          </m:e>
          <m:sub>
            <m:r>
              <m:rPr>
                <m:sty m:val="p"/>
              </m:rPr>
              <w:rPr>
                <w:rFonts w:ascii="Cambria Math" w:hAnsi="Cambria Math"/>
              </w:rPr>
              <m:t>ext</m:t>
            </m:r>
          </m:sub>
        </m:sSub>
      </m:oMath>
      <w:r>
        <w:t xml:space="preserve">.</w:t>
      </w:r>
    </w:p>
    <w:p>
      <w:pPr>
        <w:pStyle w:val="Heading2"/>
      </w:pPr>
      <w:r>
        <w:t xml:space="preserve">10.4 Schritt B — Bauteilweg (Stufe G3, Vorschau)</w:t>
      </w:r>
    </w:p>
    <w:p>
      <w:r>
        <w:rPr>
          <w:b/>
        </w:rPr>
        <w:t xml:space="preserve">Zweck.</w:t>
      </w:r>
      <w:r>
        <w:t xml:space="preserve"> Liegt ein Bauteilkatalog mit Schichtaufbauten vor, ersetzt der normkonforme Bauteilweg die Schritte A4 bis A6.</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Teilschritt</w:t>
            </w:r>
          </w:p>
        </w:tc>
        <w:tc>
          <w:tcPr>
            <w:tcW w:w="0" w:type="auto"/>
            <w:shd w:val="clear" w:color="auto" w:fill="D9D9D9"/>
          </w:tcPr>
          <w:p>
            <w:pPr>
              <w:spacing w:after="0" w:line="240" w:lineRule="auto"/>
              <w:rPr>
                <w:b/>
              </w:rPr>
            </w:pPr>
            <w:r>
              <w:rPr>
                <w:b/>
              </w:rPr>
              <w:t xml:space="preserve">Was geschieht</w:t>
            </w:r>
          </w:p>
        </w:tc>
        <w:tc>
          <w:tcPr>
            <w:tcW w:w="0" w:type="auto"/>
            <w:shd w:val="clear" w:color="auto" w:fill="D9D9D9"/>
          </w:tcPr>
          <w:p>
            <w:pPr>
              <w:spacing w:after="0" w:line="240" w:lineRule="auto"/>
              <w:rPr>
                <w:b/>
              </w:rPr>
            </w:pPr>
            <w:r>
              <w:rPr>
                <w:b/>
              </w:rPr>
              <w:t xml:space="preserve">Gleichung</w:t>
            </w:r>
          </w:p>
        </w:tc>
        <w:tc>
          <w:tcPr>
            <w:tcW w:w="0" w:type="auto"/>
            <w:shd w:val="clear" w:color="auto" w:fill="D9D9D9"/>
          </w:tcPr>
          <w:p>
            <w:pPr>
              <w:spacing w:after="0" w:line="240" w:lineRule="auto"/>
              <w:rPr>
                <w:b/>
              </w:rPr>
            </w:pPr>
            <w:r>
              <w:rPr>
                <w:b/>
              </w:rPr>
              <w:t xml:space="preserve">Eingabe</w:t>
            </w:r>
          </w:p>
        </w:tc>
        <w:tc>
          <w:tcPr>
            <w:tcW w:w="0" w:type="auto"/>
            <w:shd w:val="clear" w:color="auto" w:fill="D9D9D9"/>
          </w:tcPr>
          <w:p>
            <w:pPr>
              <w:spacing w:after="0" w:line="240" w:lineRule="auto"/>
              <w:rPr>
                <w:b/>
              </w:rPr>
            </w:pPr>
            <w:r>
              <w:rPr>
                <w:b/>
              </w:rPr>
              <w:t xml:space="preserve">Ausgabe</w:t>
            </w:r>
          </w:p>
        </w:tc>
      </w:tr>
      <w:tr>
        <w:tc>
          <w:tcPr>
            <w:tcW w:w="0" w:type="auto"/>
          </w:tcPr>
          <w:p>
            <w:pPr>
              <w:spacing w:after="0" w:line="240" w:lineRule="auto"/>
            </w:pPr>
            <w:r>
              <w:t xml:space="preserve">B1</w:t>
            </w:r>
          </w:p>
        </w:tc>
        <w:tc>
          <w:tcPr>
            <w:tcW w:w="0" w:type="auto"/>
          </w:tcPr>
          <w:p>
            <w:pPr>
              <w:spacing w:after="0" w:line="240" w:lineRule="auto"/>
            </w:pPr>
            <w:r>
              <w:t xml:space="preserve">Bezugsperiode je Bauteil: 7 d, bei raumseitig abgedeckter Speichermasse 2 d</w:t>
            </w:r>
          </w:p>
        </w:tc>
        <w:tc>
          <w:tcPr>
            <w:tcW w:w="0" w:type="auto"/>
          </w:tcPr>
          <w:p>
            <w:pPr>
              <w:spacing w:after="0" w:line="240" w:lineRule="auto"/>
            </w:pPr>
            <w:r>
              <w:t xml:space="preserve">(10a)–(10d)</w:t>
            </w:r>
          </w:p>
        </w:tc>
        <w:tc>
          <w:tcPr>
            <w:tcW w:w="0" w:type="auto"/>
          </w:tcPr>
          <w:p>
            <w:pPr>
              <w:spacing w:after="0" w:line="240" w:lineRule="auto"/>
            </w:pPr>
            <w:r>
              <w:t xml:space="preserve">Schichtfolge</w:t>
            </w:r>
          </w:p>
        </w:tc>
        <w:tc>
          <w:tcPr>
            <w:tcW w:w="0" w:type="auto"/>
          </w:tcPr>
          <w:p>
            <w:pPr>
              <w:spacing w:after="0" w:line="240" w:lineRule="auto"/>
            </w:pPr>
            <m:oMath xmlns:m="http://schemas.openxmlformats.org/officeDocument/2006/math">
              <m:sSub>
                <m:e>
                  <m:r>
                    <w:rPr>
                      <w:rFonts w:ascii="Cambria Math" w:hAnsi="Cambria Math"/>
                    </w:rPr>
                    <m:t>T</m:t>
                  </m:r>
                </m:e>
                <m:sub>
                  <m:r>
                    <m:rPr>
                      <m:sty m:val="p"/>
                    </m:rPr>
                    <w:rPr>
                      <w:rFonts w:ascii="Cambria Math" w:hAnsi="Cambria Math"/>
                    </w:rPr>
                    <m:t>BT</m:t>
                  </m:r>
                </m:sub>
              </m:sSub>
            </m:oMath>
          </w:p>
        </w:tc>
      </w:tr>
      <w:tr>
        <w:tc>
          <w:tcPr>
            <w:tcW w:w="0" w:type="auto"/>
          </w:tcPr>
          <w:p>
            <w:pPr>
              <w:spacing w:after="0" w:line="240" w:lineRule="auto"/>
            </w:pPr>
            <w:r>
              <w:t xml:space="preserve">B2</w:t>
            </w:r>
          </w:p>
        </w:tc>
        <w:tc>
          <w:tcPr>
            <w:tcW w:w="0" w:type="auto"/>
          </w:tcPr>
          <w:p>
            <w:pPr>
              <w:spacing w:after="0" w:line="240" w:lineRule="auto"/>
            </w:pPr>
            <w:r>
              <w:t xml:space="preserve">Kettenmatrix je Schicht aus </w:t>
            </w:r>
            <m:oMath xmlns:m="http://schemas.openxmlformats.org/officeDocument/2006/math">
              <m:r>
                <w:rPr>
                  <w:rFonts w:ascii="Cambria Math" w:hAnsi="Cambria Math"/>
                </w:rPr>
                <m:t>d</m:t>
              </m:r>
            </m:oMath>
            <w:r>
              <w:t xml:space="preserve">, </w:t>
            </w:r>
            <m:oMath xmlns:m="http://schemas.openxmlformats.org/officeDocument/2006/math">
              <m:r>
                <w:rPr>
                  <w:rFonts w:ascii="Cambria Math" w:hAnsi="Cambria Math"/>
                </w:rPr>
                <m:t>λ</m:t>
              </m:r>
            </m:oMath>
            <w:r>
              <w:t xml:space="preserve">, </w:t>
            </w:r>
            <m:oMath xmlns:m="http://schemas.openxmlformats.org/officeDocument/2006/math">
              <m:r>
                <w:rPr>
                  <w:rFonts w:ascii="Cambria Math" w:hAnsi="Cambria Math"/>
                </w:rPr>
                <m:t>ρ</m:t>
              </m:r>
            </m:oMath>
            <w:r>
              <w:t xml:space="preserve">, </w:t>
            </w:r>
            <m:oMath xmlns:m="http://schemas.openxmlformats.org/officeDocument/2006/math">
              <m:r>
                <w:rPr>
                  <w:rFonts w:ascii="Cambria Math" w:hAnsi="Cambria Math"/>
                </w:rPr>
                <m:t>c</m:t>
              </m:r>
            </m:oMath>
            <w:r>
              <w:t xml:space="preserve"> und der Kreisfrequenz der Bezugsperiode</w:t>
            </w:r>
          </w:p>
        </w:tc>
        <w:tc>
          <w:tcPr>
            <w:tcW w:w="0" w:type="auto"/>
          </w:tcPr>
          <w:p>
            <w:pPr>
              <w:spacing w:after="0" w:line="240" w:lineRule="auto"/>
            </w:pPr>
            <w:r>
              <w:t xml:space="preserve">(1)–(9)</w:t>
            </w:r>
          </w:p>
        </w:tc>
        <w:tc>
          <w:tcPr>
            <w:tcW w:w="0" w:type="auto"/>
          </w:tcPr>
          <w:p>
            <w:pPr>
              <w:spacing w:after="0" w:line="240" w:lineRule="auto"/>
            </w:pPr>
            <m:oMath xmlns:m="http://schemas.openxmlformats.org/officeDocument/2006/math">
              <m:r>
                <w:rPr>
                  <w:rFonts w:ascii="Cambria Math" w:hAnsi="Cambria Math"/>
                </w:rPr>
                <m:t>d</m:t>
              </m:r>
            </m:oMath>
            <w:r>
              <w:t xml:space="preserve">, </w:t>
            </w:r>
            <m:oMath xmlns:m="http://schemas.openxmlformats.org/officeDocument/2006/math">
              <m:r>
                <w:rPr>
                  <w:rFonts w:ascii="Cambria Math" w:hAnsi="Cambria Math"/>
                </w:rPr>
                <m:t>λ</m:t>
              </m:r>
            </m:oMath>
            <w:r>
              <w:t xml:space="preserve">, </w:t>
            </w:r>
            <m:oMath xmlns:m="http://schemas.openxmlformats.org/officeDocument/2006/math">
              <m:r>
                <w:rPr>
                  <w:rFonts w:ascii="Cambria Math" w:hAnsi="Cambria Math"/>
                </w:rPr>
                <m:t>ρ</m:t>
              </m:r>
            </m:oMath>
            <w:r>
              <w:t xml:space="preserve">, </w:t>
            </w:r>
            <m:oMath xmlns:m="http://schemas.openxmlformats.org/officeDocument/2006/math">
              <m:r>
                <w:rPr>
                  <w:rFonts w:ascii="Cambria Math" w:hAnsi="Cambria Math"/>
                </w:rPr>
                <m:t>c</m:t>
              </m:r>
            </m:oMath>
          </w:p>
        </w:tc>
        <w:tc>
          <w:tcPr>
            <w:tcW w:w="0" w:type="auto"/>
          </w:tcPr>
          <w:p>
            <w:pPr>
              <w:spacing w:after="0" w:line="240" w:lineRule="auto"/>
            </w:pPr>
            <w:r>
              <w:t xml:space="preserve">komplexe </w:t>
            </w:r>
            <m:oMath xmlns:m="http://schemas.openxmlformats.org/officeDocument/2006/math">
              <m:r>
                <w:rPr>
                  <w:rFonts w:ascii="Cambria Math" w:hAnsi="Cambria Math"/>
                </w:rPr>
                <m:t>2</m:t>
              </m:r>
              <m:r>
                <w:rPr>
                  <w:rFonts w:ascii="Cambria Math" w:hAnsi="Cambria Math"/>
                </w:rPr>
                <m:t>×</m:t>
              </m:r>
              <m:r>
                <w:rPr>
                  <w:rFonts w:ascii="Cambria Math" w:hAnsi="Cambria Math"/>
                </w:rPr>
                <m:t>2</m:t>
              </m:r>
            </m:oMath>
            <w:r>
              <w:t xml:space="preserve">-Matrix</w:t>
            </w:r>
          </w:p>
        </w:tc>
      </w:tr>
      <w:tr>
        <w:tc>
          <w:tcPr>
            <w:tcW w:w="0" w:type="auto"/>
          </w:tcPr>
          <w:p>
            <w:pPr>
              <w:spacing w:after="0" w:line="240" w:lineRule="auto"/>
            </w:pPr>
            <w:r>
              <w:t xml:space="preserve">B3</w:t>
            </w:r>
          </w:p>
        </w:tc>
        <w:tc>
          <w:tcPr>
            <w:tcW w:w="0" w:type="auto"/>
          </w:tcPr>
          <w:p>
            <w:pPr>
              <w:spacing w:after="0" w:line="240" w:lineRule="auto"/>
            </w:pPr>
            <w:r>
              <w:t xml:space="preserve">Kettenmatrizen </w:t>
            </w:r>
            <w:r>
              <w:rPr>
                <w:b/>
              </w:rPr>
              <w:t xml:space="preserve">von innen nach außen</w:t>
            </w:r>
            <w:r>
              <w:t xml:space="preserve"> multiplizieren — die Reihenfolge ist nicht vertauschbar</w:t>
            </w:r>
          </w:p>
        </w:tc>
        <w:tc>
          <w:tcPr>
            <w:tcW w:w="0" w:type="auto"/>
          </w:tcPr>
          <w:p>
            <w:pPr>
              <w:spacing w:after="0" w:line="240" w:lineRule="auto"/>
            </w:pPr>
            <w:r>
              <w:t xml:space="preserve">(11)</w:t>
            </w:r>
          </w:p>
        </w:tc>
        <w:tc>
          <w:tcPr>
            <w:tcW w:w="0" w:type="auto"/>
          </w:tcPr>
          <w:p>
            <w:pPr>
              <w:spacing w:after="0" w:line="240" w:lineRule="auto"/>
            </w:pPr>
            <w:r>
              <w:t xml:space="preserve">B2 je Schicht</w:t>
            </w:r>
          </w:p>
        </w:tc>
        <w:tc>
          <w:tcPr>
            <w:tcW w:w="0" w:type="auto"/>
          </w:tcPr>
          <w:p>
            <w:pPr>
              <w:spacing w:after="0" w:line="240" w:lineRule="auto"/>
            </w:pPr>
            <w:r>
              <w:t xml:space="preserve">Gesamtmatrix des Bauteils</w:t>
            </w:r>
          </w:p>
        </w:tc>
      </w:tr>
      <w:tr>
        <w:tc>
          <w:tcPr>
            <w:tcW w:w="0" w:type="auto"/>
          </w:tcPr>
          <w:p>
            <w:pPr>
              <w:spacing w:after="0" w:line="240" w:lineRule="auto"/>
            </w:pPr>
            <w:r>
              <w:t xml:space="preserve">B4</w:t>
            </w:r>
          </w:p>
        </w:tc>
        <w:tc>
          <w:tcPr>
            <w:tcW w:w="0" w:type="auto"/>
          </w:tcPr>
          <w:p>
            <w:pPr>
              <w:spacing w:after="0" w:line="240" w:lineRule="auto"/>
            </w:pPr>
            <w:r>
              <w:t xml:space="preserve">Identifikation der Ersatzgrößen samt Korrektur</w:t>
            </w:r>
          </w:p>
        </w:tc>
        <w:tc>
          <w:tcPr>
            <w:tcW w:w="0" w:type="auto"/>
          </w:tcPr>
          <w:p>
            <w:pPr>
              <w:spacing w:after="0" w:line="240" w:lineRule="auto"/>
            </w:pPr>
            <w:r>
              <w:t xml:space="preserve">(12)–(17)</w:t>
            </w:r>
          </w:p>
        </w:tc>
        <w:tc>
          <w:tcPr>
            <w:tcW w:w="0" w:type="auto"/>
          </w:tcPr>
          <w:p>
            <w:pPr>
              <w:spacing w:after="0" w:line="240" w:lineRule="auto"/>
            </w:pPr>
            <w:r>
              <w:t xml:space="preserve">Gesamtmatrix</w:t>
            </w:r>
          </w:p>
        </w:tc>
        <w:tc>
          <w:tcPr>
            <w:tcW w:w="0" w:type="auto"/>
          </w:tcPr>
          <w:p>
            <w:pPr>
              <w:spacing w:after="0" w:line="240" w:lineRule="auto"/>
            </w:pPr>
            <m:oMath xmlns:m="http://schemas.openxmlformats.org/officeDocument/2006/math">
              <m:sSub>
                <m:e>
                  <m:r>
                    <w:rPr>
                      <w:rFonts w:ascii="Cambria Math" w:hAnsi="Cambria Math"/>
                    </w:rPr>
                    <m:t>R</m:t>
                  </m:r>
                </m:e>
                <m:sub>
                  <m:r>
                    <w:rPr>
                      <w:rFonts w:ascii="Cambria Math" w:hAnsi="Cambria Math"/>
                    </w:rPr>
                    <m:t>1</m:t>
                  </m:r>
                </m:sub>
              </m:sSub>
            </m:oMath>
            <w:r>
              <w:t xml:space="preserve">, </w:t>
            </w:r>
            <m:oMath xmlns:m="http://schemas.openxmlformats.org/officeDocument/2006/math">
              <m:sSub>
                <m:e>
                  <m:r>
                    <w:rPr>
                      <w:rFonts w:ascii="Cambria Math" w:hAnsi="Cambria Math"/>
                    </w:rPr>
                    <m:t>C</m:t>
                  </m:r>
                </m:e>
                <m:sub>
                  <m:r>
                    <w:rPr>
                      <w:rFonts w:ascii="Cambria Math" w:hAnsi="Cambria Math"/>
                    </w:rPr>
                    <m:t>1</m:t>
                  </m:r>
                </m:sub>
              </m:sSub>
            </m:oMath>
            <w:r>
              <w:t xml:space="preserve"> je Bauteil</w:t>
            </w:r>
          </w:p>
        </w:tc>
      </w:tr>
      <w:tr>
        <w:tc>
          <w:tcPr>
            <w:tcW w:w="0" w:type="auto"/>
          </w:tcPr>
          <w:p>
            <w:pPr>
              <w:spacing w:after="0" w:line="240" w:lineRule="auto"/>
            </w:pPr>
            <w:r>
              <w:t xml:space="preserve">B5</w:t>
            </w:r>
          </w:p>
        </w:tc>
        <w:tc>
          <w:tcPr>
            <w:tcW w:w="0" w:type="auto"/>
          </w:tcPr>
          <w:p>
            <w:pPr>
              <w:spacing w:after="0" w:line="240" w:lineRule="auto"/>
            </w:pPr>
            <w:r>
              <w:t xml:space="preserve">Bauteile einer Gruppe parallel schalten</w:t>
            </w:r>
          </w:p>
        </w:tc>
        <w:tc>
          <w:tcPr>
            <w:tcW w:w="0" w:type="auto"/>
          </w:tcPr>
          <w:p>
            <w:pPr>
              <w:spacing w:after="0" w:line="240" w:lineRule="auto"/>
            </w:pPr>
            <w:r>
              <w:t xml:space="preserve">Abschnitt 6.3</w:t>
            </w:r>
          </w:p>
        </w:tc>
        <w:tc>
          <w:tcPr>
            <w:tcW w:w="0" w:type="auto"/>
          </w:tcPr>
          <w:p>
            <w:pPr>
              <w:spacing w:after="0" w:line="240" w:lineRule="auto"/>
            </w:pPr>
            <w:r>
              <w:t xml:space="preserve">B4 je Bauteil</w:t>
            </w:r>
          </w:p>
        </w:tc>
        <w:tc>
          <w:tcPr>
            <w:tcW w:w="0" w:type="auto"/>
          </w:tcPr>
          <w:p>
            <w:pPr>
              <w:spacing w:after="0" w:line="240" w:lineRule="auto"/>
            </w:pPr>
            <m:oMath xmlns:m="http://schemas.openxmlformats.org/officeDocument/2006/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AW</m:t>
                  </m:r>
                </m:sub>
              </m:sSub>
            </m:oMath>
            <w:r>
              <w:t xml:space="preserve">, </w:t>
            </w:r>
            <m:oMath xmlns:m="http://schemas.openxmlformats.org/officeDocument/2006/math">
              <m:sSub>
                <m:e>
                  <m:r>
                    <w:rPr>
                      <w:rFonts w:ascii="Cambria Math" w:hAnsi="Cambria Math"/>
                    </w:rPr>
                    <m:t>C</m:t>
                  </m:r>
                </m:e>
                <m:sub>
                  <m:r>
                    <m:rPr>
                      <m:sty m:val="p"/>
                    </m:rPr>
                    <w:rPr>
                      <w:rFonts w:ascii="Cambria Math" w:hAnsi="Cambria Math"/>
                    </w:rPr>
                    <m:t>AW</m:t>
                  </m:r>
                </m:sub>
              </m:sSub>
            </m:oMath>
            <w:r>
              <w:t xml:space="preserve"> bzw. </w:t>
            </w:r>
            <m:oMath xmlns:m="http://schemas.openxmlformats.org/officeDocument/2006/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IW</m:t>
                  </m:r>
                </m:sub>
              </m:sSub>
            </m:oMath>
            <w:r>
              <w:t xml:space="preserve">, </w:t>
            </w:r>
            <m:oMath xmlns:m="http://schemas.openxmlformats.org/officeDocument/2006/math">
              <m:sSub>
                <m:e>
                  <m:r>
                    <w:rPr>
                      <w:rFonts w:ascii="Cambria Math" w:hAnsi="Cambria Math"/>
                    </w:rPr>
                    <m:t>C</m:t>
                  </m:r>
                </m:e>
                <m:sub>
                  <m:r>
                    <m:rPr>
                      <m:sty m:val="p"/>
                    </m:rPr>
                    <w:rPr>
                      <w:rFonts w:ascii="Cambria Math" w:hAnsi="Cambria Math"/>
                    </w:rPr>
                    <m:t>IW</m:t>
                  </m:r>
                </m:sub>
              </m:sSub>
            </m:oMath>
          </w:p>
        </w:tc>
      </w:tr>
      <w:tr>
        <w:tc>
          <w:tcPr>
            <w:tcW w:w="0" w:type="auto"/>
          </w:tcPr>
          <w:p>
            <w:pPr>
              <w:spacing w:after="0" w:line="240" w:lineRule="auto"/>
            </w:pPr>
            <w:r>
              <w:t xml:space="preserve">B6</w:t>
            </w:r>
          </w:p>
        </w:tc>
        <w:tc>
          <w:tcPr>
            <w:tcW w:w="0" w:type="auto"/>
          </w:tcPr>
          <w:p>
            <w:pPr>
              <w:spacing w:after="0" w:line="240" w:lineRule="auto"/>
            </w:pPr>
            <w:r>
              <w:t xml:space="preserve">Fenster </w:t>
            </w:r>
            <w:r>
              <w:rPr>
                <w:b/>
              </w:rPr>
              <w:t xml:space="preserve">nach</w:t>
            </w:r>
            <w:r>
              <w:t xml:space="preserve"> den Wänden parallel anschließen; die Kapazität der Wände bleibt unverändert</w:t>
            </w:r>
          </w:p>
        </w:tc>
        <w:tc>
          <w:tcPr>
            <w:tcW w:w="0" w:type="auto"/>
          </w:tcPr>
          <w:p>
            <w:pPr>
              <w:spacing w:after="0" w:line="240" w:lineRule="auto"/>
            </w:pPr>
            <w:r>
              <w:t xml:space="preserve">(25)–(28)</w:t>
            </w:r>
          </w:p>
        </w:tc>
        <w:tc>
          <w:tcPr>
            <w:tcW w:w="0" w:type="auto"/>
          </w:tcPr>
          <w:p>
            <w:pPr>
              <w:spacing w:after="0" w:line="240" w:lineRule="auto"/>
            </w:pPr>
            <m:oMath xmlns:m="http://schemas.openxmlformats.org/officeDocument/2006/math">
              <m:r>
                <w:rPr>
                  <w:rFonts w:ascii="Cambria Math" w:hAnsi="Cambria Math"/>
                </w:rPr>
                <m:t>U</m:t>
              </m:r>
            </m:oMath>
            <w:r>
              <w:t xml:space="preserve"> und </w:t>
            </w:r>
            <m:oMath xmlns:m="http://schemas.openxmlformats.org/officeDocument/2006/math">
              <m:r>
                <w:rPr>
                  <w:rFonts w:ascii="Cambria Math" w:hAnsi="Cambria Math"/>
                </w:rPr>
                <m:t>A</m:t>
              </m:r>
            </m:oMath>
            <w:r>
              <w:t xml:space="preserve"> des Fensters</w:t>
            </w:r>
          </w:p>
        </w:tc>
        <w:tc>
          <w:tcPr>
            <w:tcW w:w="0" w:type="auto"/>
          </w:tcPr>
          <w:p>
            <w:pPr>
              <w:spacing w:after="0" w:line="240" w:lineRule="auto"/>
            </w:pPr>
            <m:oMath xmlns:m="http://schemas.openxmlformats.org/officeDocument/2006/math">
              <m:sSub>
                <m:e>
                  <m:r>
                    <w:rPr>
                      <w:rFonts w:ascii="Cambria Math" w:hAnsi="Cambria Math"/>
                    </w:rPr>
                    <m:t>R</m:t>
                  </m:r>
                </m:e>
                <m:sub>
                  <m:r>
                    <m:rPr>
                      <m:sty m:val="p"/>
                    </m:rPr>
                    <w:rPr>
                      <w:rFonts w:ascii="Cambria Math" w:hAnsi="Cambria Math"/>
                    </w:rPr>
                    <m:t>ges,AW</m:t>
                  </m:r>
                </m:sub>
              </m:sSub>
            </m:oMath>
            <w:r>
              <w:t xml:space="preserve">, </w:t>
            </w:r>
            <m:oMath xmlns:m="http://schemas.openxmlformats.org/officeDocument/2006/math">
              <m:sSub>
                <m:e>
                  <m:r>
                    <w:rPr>
                      <w:rFonts w:ascii="Cambria Math" w:hAnsi="Cambria Math"/>
                    </w:rPr>
                    <m:t>R</m:t>
                  </m:r>
                </m:e>
                <m:sub>
                  <m:r>
                    <m:rPr>
                      <m:sty m:val="p"/>
                    </m:rPr>
                    <w:rPr>
                      <w:rFonts w:ascii="Cambria Math" w:hAnsi="Cambria Math"/>
                    </w:rPr>
                    <m:t>Rest,AW</m:t>
                  </m:r>
                </m:sub>
              </m:sSub>
            </m:oMath>
          </w:p>
        </w:tc>
      </w:tr>
      <w:tr>
        <w:tc>
          <w:tcPr>
            <w:tcW w:w="0" w:type="auto"/>
          </w:tcPr>
          <w:p>
            <w:pPr>
              <w:spacing w:after="0" w:line="240" w:lineRule="auto"/>
            </w:pPr>
            <w:r>
              <w:t xml:space="preserve">B7</w:t>
            </w:r>
          </w:p>
        </w:tc>
        <w:tc>
          <w:tcPr>
            <w:tcW w:w="0" w:type="auto"/>
          </w:tcPr>
          <w:p>
            <w:pPr>
              <w:spacing w:after="0" w:line="240" w:lineRule="auto"/>
            </w:pPr>
            <w:r>
              <w:t xml:space="preserve">Zusammenfassung zum Raum mit der Bezugsperiode 5 d</w:t>
            </w:r>
          </w:p>
        </w:tc>
        <w:tc>
          <w:tcPr>
            <w:tcW w:w="0" w:type="auto"/>
          </w:tcPr>
          <w:p>
            <w:pPr>
              <w:spacing w:after="0" w:line="240" w:lineRule="auto"/>
            </w:pPr>
            <w:r>
              <w:t xml:space="preserve">(10e)</w:t>
            </w:r>
          </w:p>
        </w:tc>
        <w:tc>
          <w:tcPr>
            <w:tcW w:w="0" w:type="auto"/>
          </w:tcPr>
          <w:p>
            <w:pPr>
              <w:spacing w:after="0" w:line="240" w:lineRule="auto"/>
            </w:pPr>
            <w:r>
              <w:t xml:space="preserve">B5, B6</w:t>
            </w:r>
          </w:p>
        </w:tc>
        <w:tc>
          <w:tcPr>
            <w:tcW w:w="0" w:type="auto"/>
          </w:tcPr>
          <w:p>
            <w:pPr>
              <w:spacing w:after="0" w:line="240" w:lineRule="auto"/>
            </w:pPr>
            <w:r>
              <w:t xml:space="preserve">Ersatzparameter des Raums</w:t>
            </w:r>
          </w:p>
        </w:tc>
      </w:tr>
    </w:tbl>
    <w:p>
      <w:pPr>
        <w:spacing w:after="120"/>
      </w:pPr>
    </w:p>
    <w:p>
      <w:r>
        <w:rPr>
          <w:b/>
        </w:rPr>
        <w:t xml:space="preserve">Fallen.</w:t>
      </w:r>
      <w:r>
        <w:t xml:space="preserve"> Innenbauteile gehen über den </w:t>
      </w:r>
      <w:r>
        <w:rPr>
          <w:b/>
        </w:rPr>
        <w:t xml:space="preserve">vollständigen</w:t>
      </w:r>
      <w:r>
        <w:t xml:space="preserve"> Schichtaufbau in die Kettenmatrix und werden erst danach reduziert; wer zusätzlich an der Mittelebene halbiert, halbiert zweimal. Die Richtlinie nennt </w:t>
      </w:r>
      <w:r>
        <w:rPr>
          <w:b/>
        </w:rPr>
        <w:t xml:space="preserve">keine</w:t>
      </w:r>
      <w:r>
        <w:t xml:space="preserve"> Soll-RC-Werte zum Abgleich — der Nachweis lautet: Reduktion aus den Bauteiltabellen der Testräume rechnen, damit simulieren und die Ergebnisreihen im Normband treffen.</w:t>
      </w:r>
    </w:p>
    <w:p>
      <w:pPr>
        <w:pStyle w:val="Heading2"/>
      </w:pPr>
      <w:r>
        <w:t xml:space="preserve">10.5 Schritt C — Systemmatrix</w:t>
      </w:r>
    </w:p>
    <w:p>
      <w:r>
        <w:rPr>
          <w:b/>
        </w:rPr>
        <w:t xml:space="preserve">Zweck.</w:t>
      </w:r>
      <w:r>
        <w:t xml:space="preserve"> Die drei kapazitätslosen Knoten eliminieren und ein Zustandssystem zweiter Ordnung bilden.</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Knoten</w:t>
            </w:r>
          </w:p>
        </w:tc>
        <w:tc>
          <w:tcPr>
            <w:tcW w:w="0" w:type="auto"/>
            <w:shd w:val="clear" w:color="auto" w:fill="D9D9D9"/>
          </w:tcPr>
          <w:p>
            <w:pPr>
              <w:spacing w:after="0" w:line="240" w:lineRule="auto"/>
              <w:rPr>
                <w:b/>
              </w:rPr>
            </w:pPr>
            <w:r>
              <w:rPr>
                <w:b/>
              </w:rPr>
              <w:t xml:space="preserve">Zeichen</w:t>
            </w:r>
          </w:p>
        </w:tc>
        <w:tc>
          <w:tcPr>
            <w:tcW w:w="0" w:type="auto"/>
            <w:shd w:val="clear" w:color="auto" w:fill="D9D9D9"/>
          </w:tcPr>
          <w:p>
            <w:pPr>
              <w:spacing w:after="0" w:line="240" w:lineRule="auto"/>
              <w:rPr>
                <w:b/>
              </w:rPr>
            </w:pPr>
            <w:r>
              <w:rPr>
                <w:b/>
              </w:rPr>
              <w:t xml:space="preserve">Art</w:t>
            </w:r>
          </w:p>
        </w:tc>
        <w:tc>
          <w:tcPr>
            <w:tcW w:w="0" w:type="auto"/>
            <w:shd w:val="clear" w:color="auto" w:fill="D9D9D9"/>
          </w:tcPr>
          <w:p>
            <w:pPr>
              <w:spacing w:after="0" w:line="240" w:lineRule="auto"/>
              <w:rPr>
                <w:b/>
              </w:rPr>
            </w:pPr>
            <w:r>
              <w:rPr>
                <w:b/>
              </w:rPr>
              <w:t xml:space="preserve">Kapazität</w:t>
            </w:r>
          </w:p>
        </w:tc>
      </w:tr>
      <w:tr>
        <w:tc>
          <w:tcPr>
            <w:tcW w:w="0" w:type="auto"/>
          </w:tcPr>
          <w:p>
            <w:pPr>
              <w:spacing w:after="0" w:line="240" w:lineRule="auto"/>
            </w:pPr>
            <w:r>
              <w:t xml:space="preserve">Masse der Außenbauteile</w:t>
            </w:r>
          </w:p>
        </w:tc>
        <w:tc>
          <w:tcPr>
            <w:tcW w:w="0" w:type="auto"/>
          </w:tcPr>
          <w:p>
            <w:pPr>
              <w:spacing w:after="0" w:line="240" w:lineRule="auto"/>
            </w:pPr>
            <m:oMath xmlns:m="http://schemas.openxmlformats.org/officeDocument/2006/math">
              <m:sSub>
                <m:e>
                  <m:r>
                    <w:rPr>
                      <w:rFonts w:ascii="Cambria Math" w:hAnsi="Cambria Math"/>
                    </w:rPr>
                    <m:t>θ</m:t>
                  </m:r>
                </m:e>
                <m:sub>
                  <m:r>
                    <m:rPr>
                      <m:sty m:val="p"/>
                    </m:rPr>
                    <w:rPr>
                      <w:rFonts w:ascii="Cambria Math" w:hAnsi="Cambria Math"/>
                    </w:rPr>
                    <m:t>m,AW</m:t>
                  </m:r>
                </m:sub>
              </m:sSub>
            </m:oMath>
          </w:p>
        </w:tc>
        <w:tc>
          <w:tcPr>
            <w:tcW w:w="0" w:type="auto"/>
          </w:tcPr>
          <w:p>
            <w:pPr>
              <w:spacing w:after="0" w:line="240" w:lineRule="auto"/>
            </w:pPr>
            <w:r>
              <w:t xml:space="preserve">Zustand </w:t>
            </w:r>
            <m:oMath xmlns:m="http://schemas.openxmlformats.org/officeDocument/2006/math">
              <m:sSub>
                <m:e>
                  <m:r>
                    <w:rPr>
                      <w:rFonts w:ascii="Cambria Math" w:hAnsi="Cambria Math"/>
                    </w:rPr>
                    <m:t>x</m:t>
                  </m:r>
                </m:e>
                <m:sub>
                  <m:r>
                    <w:rPr>
                      <w:rFonts w:ascii="Cambria Math" w:hAnsi="Cambria Math"/>
                    </w:rPr>
                    <m:t>1</m:t>
                  </m:r>
                </m:sub>
              </m:sSub>
            </m:oMath>
          </w:p>
        </w:tc>
        <w:tc>
          <w:tcPr>
            <w:tcW w:w="0" w:type="auto"/>
          </w:tcPr>
          <w:p>
            <w:pPr>
              <w:spacing w:after="0" w:line="240" w:lineRule="auto"/>
            </w:pPr>
            <m:oMath xmlns:m="http://schemas.openxmlformats.org/officeDocument/2006/math">
              <m:sSub>
                <m:e>
                  <m:r>
                    <w:rPr>
                      <w:rFonts w:ascii="Cambria Math" w:hAnsi="Cambria Math"/>
                    </w:rPr>
                    <m:t>C</m:t>
                  </m:r>
                </m:e>
                <m:sub>
                  <m:r>
                    <m:rPr>
                      <m:sty m:val="p"/>
                    </m:rPr>
                    <w:rPr>
                      <w:rFonts w:ascii="Cambria Math" w:hAnsi="Cambria Math"/>
                    </w:rPr>
                    <m:t>AW</m:t>
                  </m:r>
                </m:sub>
              </m:sSub>
            </m:oMath>
          </w:p>
        </w:tc>
      </w:tr>
      <w:tr>
        <w:tc>
          <w:tcPr>
            <w:tcW w:w="0" w:type="auto"/>
          </w:tcPr>
          <w:p>
            <w:pPr>
              <w:spacing w:after="0" w:line="240" w:lineRule="auto"/>
            </w:pPr>
            <w:r>
              <w:t xml:space="preserve">Masse der Innenbauteile</w:t>
            </w:r>
          </w:p>
        </w:tc>
        <w:tc>
          <w:tcPr>
            <w:tcW w:w="0" w:type="auto"/>
          </w:tcPr>
          <w:p>
            <w:pPr>
              <w:spacing w:after="0" w:line="240" w:lineRule="auto"/>
            </w:pPr>
            <m:oMath xmlns:m="http://schemas.openxmlformats.org/officeDocument/2006/math">
              <m:sSub>
                <m:e>
                  <m:r>
                    <w:rPr>
                      <w:rFonts w:ascii="Cambria Math" w:hAnsi="Cambria Math"/>
                    </w:rPr>
                    <m:t>θ</m:t>
                  </m:r>
                </m:e>
                <m:sub>
                  <m:r>
                    <m:rPr>
                      <m:sty m:val="p"/>
                    </m:rPr>
                    <w:rPr>
                      <w:rFonts w:ascii="Cambria Math" w:hAnsi="Cambria Math"/>
                    </w:rPr>
                    <m:t>m,IW</m:t>
                  </m:r>
                </m:sub>
              </m:sSub>
            </m:oMath>
          </w:p>
        </w:tc>
        <w:tc>
          <w:tcPr>
            <w:tcW w:w="0" w:type="auto"/>
          </w:tcPr>
          <w:p>
            <w:pPr>
              <w:spacing w:after="0" w:line="240" w:lineRule="auto"/>
            </w:pPr>
            <w:r>
              <w:t xml:space="preserve">Zustand </w:t>
            </w:r>
            <m:oMath xmlns:m="http://schemas.openxmlformats.org/officeDocument/2006/math">
              <m:sSub>
                <m:e>
                  <m:r>
                    <w:rPr>
                      <w:rFonts w:ascii="Cambria Math" w:hAnsi="Cambria Math"/>
                    </w:rPr>
                    <m:t>x</m:t>
                  </m:r>
                </m:e>
                <m:sub>
                  <m:r>
                    <w:rPr>
                      <w:rFonts w:ascii="Cambria Math" w:hAnsi="Cambria Math"/>
                    </w:rPr>
                    <m:t>2</m:t>
                  </m:r>
                </m:sub>
              </m:sSub>
            </m:oMath>
          </w:p>
        </w:tc>
        <w:tc>
          <w:tcPr>
            <w:tcW w:w="0" w:type="auto"/>
          </w:tcPr>
          <w:p>
            <w:pPr>
              <w:spacing w:after="0" w:line="240" w:lineRule="auto"/>
            </w:pPr>
            <m:oMath xmlns:m="http://schemas.openxmlformats.org/officeDocument/2006/math">
              <m:sSub>
                <m:e>
                  <m:r>
                    <w:rPr>
                      <w:rFonts w:ascii="Cambria Math" w:hAnsi="Cambria Math"/>
                    </w:rPr>
                    <m:t>C</m:t>
                  </m:r>
                </m:e>
                <m:sub>
                  <m:r>
                    <m:rPr>
                      <m:sty m:val="p"/>
                    </m:rPr>
                    <w:rPr>
                      <w:rFonts w:ascii="Cambria Math" w:hAnsi="Cambria Math"/>
                    </w:rPr>
                    <m:t>IW</m:t>
                  </m:r>
                </m:sub>
              </m:sSub>
            </m:oMath>
          </w:p>
        </w:tc>
      </w:tr>
      <w:tr>
        <w:tc>
          <w:tcPr>
            <w:tcW w:w="0" w:type="auto"/>
          </w:tcPr>
          <w:p>
            <w:pPr>
              <w:spacing w:after="0" w:line="240" w:lineRule="auto"/>
            </w:pPr>
            <w:r>
              <w:t xml:space="preserve">Innenoberfläche der Außenbauteile</w:t>
            </w:r>
          </w:p>
        </w:tc>
        <w:tc>
          <w:tcPr>
            <w:tcW w:w="0" w:type="auto"/>
          </w:tcPr>
          <w:p>
            <w:pPr>
              <w:spacing w:after="0" w:line="240" w:lineRule="auto"/>
            </w:pPr>
            <m:oMath xmlns:m="http://schemas.openxmlformats.org/officeDocument/2006/math">
              <m:sSub>
                <m:e>
                  <m:r>
                    <w:rPr>
                      <w:rFonts w:ascii="Cambria Math" w:hAnsi="Cambria Math"/>
                    </w:rPr>
                    <m:t>θ</m:t>
                  </m:r>
                </m:e>
                <m:sub>
                  <m:r>
                    <m:rPr>
                      <m:sty m:val="p"/>
                    </m:rPr>
                    <w:rPr>
                      <w:rFonts w:ascii="Cambria Math" w:hAnsi="Cambria Math"/>
                    </w:rPr>
                    <m:t>s,AW</m:t>
                  </m:r>
                </m:sub>
              </m:sSub>
            </m:oMath>
          </w:p>
        </w:tc>
        <w:tc>
          <w:tcPr>
            <w:tcW w:w="0" w:type="auto"/>
          </w:tcPr>
          <w:p>
            <w:pPr>
              <w:spacing w:after="0" w:line="240" w:lineRule="auto"/>
            </w:pPr>
            <w:r>
              <w:t xml:space="preserve">algebraisch</w:t>
            </w:r>
          </w:p>
        </w:tc>
        <w:tc>
          <w:tcPr>
            <w:tcW w:w="0" w:type="auto"/>
          </w:tcPr>
          <w:p>
            <w:pPr>
              <w:spacing w:after="0" w:line="240" w:lineRule="auto"/>
            </w:pPr>
            <w:r>
              <w:t xml:space="preserve">0</w:t>
            </w:r>
          </w:p>
        </w:tc>
      </w:tr>
      <w:tr>
        <w:tc>
          <w:tcPr>
            <w:tcW w:w="0" w:type="auto"/>
          </w:tcPr>
          <w:p>
            <w:pPr>
              <w:spacing w:after="0" w:line="240" w:lineRule="auto"/>
            </w:pPr>
            <w:r>
              <w:t xml:space="preserve">Innenoberfläche der Innenbauteile</w:t>
            </w:r>
          </w:p>
        </w:tc>
        <w:tc>
          <w:tcPr>
            <w:tcW w:w="0" w:type="auto"/>
          </w:tcPr>
          <w:p>
            <w:pPr>
              <w:spacing w:after="0" w:line="240" w:lineRule="auto"/>
            </w:pPr>
            <m:oMath xmlns:m="http://schemas.openxmlformats.org/officeDocument/2006/math">
              <m:sSub>
                <m:e>
                  <m:r>
                    <w:rPr>
                      <w:rFonts w:ascii="Cambria Math" w:hAnsi="Cambria Math"/>
                    </w:rPr>
                    <m:t>θ</m:t>
                  </m:r>
                </m:e>
                <m:sub>
                  <m:r>
                    <m:rPr>
                      <m:sty m:val="p"/>
                    </m:rPr>
                    <w:rPr>
                      <w:rFonts w:ascii="Cambria Math" w:hAnsi="Cambria Math"/>
                    </w:rPr>
                    <m:t>s,IW</m:t>
                  </m:r>
                </m:sub>
              </m:sSub>
            </m:oMath>
          </w:p>
        </w:tc>
        <w:tc>
          <w:tcPr>
            <w:tcW w:w="0" w:type="auto"/>
          </w:tcPr>
          <w:p>
            <w:pPr>
              <w:spacing w:after="0" w:line="240" w:lineRule="auto"/>
            </w:pPr>
            <w:r>
              <w:t xml:space="preserve">algebraisch</w:t>
            </w:r>
          </w:p>
        </w:tc>
        <w:tc>
          <w:tcPr>
            <w:tcW w:w="0" w:type="auto"/>
          </w:tcPr>
          <w:p>
            <w:pPr>
              <w:spacing w:after="0" w:line="240" w:lineRule="auto"/>
            </w:pPr>
            <w:r>
              <w:t xml:space="preserve">0</w:t>
            </w:r>
          </w:p>
        </w:tc>
      </w:tr>
      <w:tr>
        <w:tc>
          <w:tcPr>
            <w:tcW w:w="0" w:type="auto"/>
          </w:tcPr>
          <w:p>
            <w:pPr>
              <w:spacing w:after="0" w:line="240" w:lineRule="auto"/>
            </w:pPr>
            <w:r>
              <w:t xml:space="preserve">Raumluft</w:t>
            </w:r>
          </w:p>
        </w:tc>
        <w:tc>
          <w:tcPr>
            <w:tcW w:w="0" w:type="auto"/>
          </w:tcPr>
          <w:p>
            <w:pPr>
              <w:spacing w:after="0" w:line="240" w:lineRule="auto"/>
            </w:pPr>
            <m:oMath xmlns:m="http://schemas.openxmlformats.org/officeDocument/2006/math">
              <m:sSub>
                <m:e>
                  <m:r>
                    <w:rPr>
                      <w:rFonts w:ascii="Cambria Math" w:hAnsi="Cambria Math"/>
                    </w:rPr>
                    <m:t>θ</m:t>
                  </m:r>
                </m:e>
                <m:sub>
                  <m:r>
                    <m:rPr>
                      <m:sty m:val="p"/>
                    </m:rPr>
                    <w:rPr>
                      <w:rFonts w:ascii="Cambria Math" w:hAnsi="Cambria Math"/>
                    </w:rPr>
                    <m:t>air</m:t>
                  </m:r>
                </m:sub>
              </m:sSub>
            </m:oMath>
          </w:p>
        </w:tc>
        <w:tc>
          <w:tcPr>
            <w:tcW w:w="0" w:type="auto"/>
          </w:tcPr>
          <w:p>
            <w:pPr>
              <w:spacing w:after="0" w:line="240" w:lineRule="auto"/>
            </w:pPr>
            <w:r>
              <w:t xml:space="preserve">algebraisch</w:t>
            </w:r>
          </w:p>
        </w:tc>
        <w:tc>
          <w:tcPr>
            <w:tcW w:w="0" w:type="auto"/>
          </w:tcPr>
          <w:p>
            <w:pPr>
              <w:spacing w:after="0" w:line="240" w:lineRule="auto"/>
            </w:pPr>
            <w:r>
              <w:t xml:space="preserve">0 (Zeitkonstante der Luft ≪ 1 h)</w:t>
            </w:r>
          </w:p>
        </w:tc>
      </w:tr>
    </w:tbl>
    <w:p>
      <w:pPr>
        <w:spacing w:after="120"/>
      </w:pPr>
    </w:p>
    <w:p>
      <w:r>
        <w:t xml:space="preserve">Die Knotenbilanzen:</w:t>
      </w:r>
    </w:p>
    <w:p>
      <w:pPr>
        <w:pStyle w:val="Formelblock"/>
      </w:pPr>
      <m:oMathPara xmlns:m="http://schemas.openxmlformats.org/officeDocument/2006/math">
        <m:oMathParaPr>
          <m:jc m:val="center"/>
        </m:oMathParaPr>
        <m:oMath>
          <m:sSub>
            <m:e>
              <m:r>
                <w:rPr>
                  <w:rFonts w:ascii="Cambria Math" w:hAnsi="Cambria Math"/>
                </w:rPr>
                <m:t>C</m:t>
              </m:r>
            </m:e>
            <m:sub>
              <m:r>
                <m:rPr>
                  <m:sty m:val="p"/>
                </m:rPr>
                <w:rPr>
                  <w:rFonts w:ascii="Cambria Math" w:hAnsi="Cambria Math"/>
                </w:rPr>
                <m:t>AW</m:t>
              </m:r>
            </m:sub>
          </m:sSub>
          <m:r>
            <w:rPr>
              <w:rFonts w:ascii="Cambria Math" w:hAnsi="Cambria Math"/>
            </w:rPr>
            <m:t>⋅</m:t>
          </m:r>
          <m:f>
            <m:num>
              <m:r>
                <m:rPr>
                  <m:sty m:val="p"/>
                </m:rPr>
                <w:rPr>
                  <w:rFonts w:ascii="Cambria Math" w:hAnsi="Cambria Math"/>
                </w:rPr>
                <m:t>d</m:t>
              </m:r>
              <m:sSub>
                <m:e>
                  <m:r>
                    <w:rPr>
                      <w:rFonts w:ascii="Cambria Math" w:hAnsi="Cambria Math"/>
                    </w:rPr>
                    <m:t>θ</m:t>
                  </m:r>
                </m:e>
                <m:sub>
                  <m:r>
                    <m:rPr>
                      <m:sty m:val="p"/>
                    </m:rPr>
                    <w:rPr>
                      <w:rFonts w:ascii="Cambria Math" w:hAnsi="Cambria Math"/>
                    </w:rPr>
                    <m:t>m,AW</m:t>
                  </m:r>
                </m:sub>
              </m:sSub>
            </m:num>
            <m:den>
              <m:r>
                <m:rPr>
                  <m:sty m:val="p"/>
                </m:rPr>
                <w:rPr>
                  <w:rFonts w:ascii="Cambria Math" w:hAnsi="Cambria Math"/>
                </w:rPr>
                <m:t>d</m:t>
              </m:r>
              <m:r>
                <w:rPr>
                  <w:rFonts w:ascii="Cambria Math" w:hAnsi="Cambria Math"/>
                </w:rPr>
                <m:t>t</m:t>
              </m:r>
            </m:den>
          </m:f>
          <m:r>
            <w:rPr>
              <w:rFonts w:ascii="Cambria Math" w:hAnsi="Cambria Math"/>
            </w:rPr>
            <m:t>=</m:t>
          </m:r>
          <m:sSub>
            <m:e>
              <m:r>
                <w:rPr>
                  <w:rFonts w:ascii="Cambria Math" w:hAnsi="Cambria Math"/>
                </w:rPr>
                <m:t>G</m:t>
              </m:r>
            </m:e>
            <m:sub>
              <m:r>
                <m:rPr>
                  <m:sty m:val="p"/>
                </m:rPr>
                <w:rPr>
                  <w:rFonts w:ascii="Cambria Math" w:hAnsi="Cambria Math"/>
                </w:rPr>
                <m:t>Rest</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eq</m:t>
              </m:r>
            </m:sub>
          </m:sSub>
          <m:r>
            <w:rPr>
              <w:rFonts w:ascii="Cambria Math" w:hAnsi="Cambria Math"/>
            </w:rPr>
            <m:t>-</m:t>
          </m:r>
          <m:sSub>
            <m:e>
              <m:r>
                <w:rPr>
                  <w:rFonts w:ascii="Cambria Math" w:hAnsi="Cambria Math"/>
                </w:rPr>
                <m:t>θ</m:t>
              </m:r>
            </m:e>
            <m:sub>
              <m:r>
                <m:rPr>
                  <m:sty m:val="p"/>
                </m:rPr>
                <w:rPr>
                  <w:rFonts w:ascii="Cambria Math" w:hAnsi="Cambria Math"/>
                </w:rPr>
                <m:t>m,AW</m:t>
              </m:r>
            </m:sub>
          </m:sSub>
          <m:r>
            <w:rPr>
              <w:rFonts w:ascii="Cambria Math" w:hAnsi="Cambria Math"/>
            </w:rPr>
            <m:t>)</m:t>
          </m:r>
          <m:r>
            <w:rPr>
              <w:rFonts w:ascii="Cambria Math" w:hAnsi="Cambria Math"/>
            </w:rPr>
            <m:t>+</m:t>
          </m:r>
          <m:sSub>
            <m:e>
              <m:r>
                <w:rPr>
                  <w:rFonts w:ascii="Cambria Math" w:hAnsi="Cambria Math"/>
                </w:rPr>
                <m:t>G</m:t>
              </m:r>
            </m:e>
            <m:sub>
              <m:r>
                <w:rPr>
                  <w:rFonts w:ascii="Cambria Math" w:hAnsi="Cambria Math"/>
                </w:rPr>
                <m:t>1</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s,AW</m:t>
              </m:r>
            </m:sub>
          </m:sSub>
          <m:r>
            <w:rPr>
              <w:rFonts w:ascii="Cambria Math" w:hAnsi="Cambria Math"/>
            </w:rPr>
            <m:t>-</m:t>
          </m:r>
          <m:sSub>
            <m:e>
              <m:r>
                <w:rPr>
                  <w:rFonts w:ascii="Cambria Math" w:hAnsi="Cambria Math"/>
                </w:rPr>
                <m:t>θ</m:t>
              </m:r>
            </m:e>
            <m:sub>
              <m:r>
                <m:rPr>
                  <m:sty m:val="p"/>
                </m:rPr>
                <w:rPr>
                  <w:rFonts w:ascii="Cambria Math" w:hAnsi="Cambria Math"/>
                </w:rPr>
                <m:t>m,AW</m:t>
              </m:r>
            </m:sub>
          </m:sSub>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C</m:t>
              </m:r>
            </m:e>
            <m:sub>
              <m:r>
                <m:rPr>
                  <m:sty m:val="p"/>
                </m:rPr>
                <w:rPr>
                  <w:rFonts w:ascii="Cambria Math" w:hAnsi="Cambria Math"/>
                </w:rPr>
                <m:t>IW</m:t>
              </m:r>
            </m:sub>
          </m:sSub>
          <m:r>
            <w:rPr>
              <w:rFonts w:ascii="Cambria Math" w:hAnsi="Cambria Math"/>
            </w:rPr>
            <m:t>⋅</m:t>
          </m:r>
          <m:f>
            <m:num>
              <m:r>
                <m:rPr>
                  <m:sty m:val="p"/>
                </m:rPr>
                <w:rPr>
                  <w:rFonts w:ascii="Cambria Math" w:hAnsi="Cambria Math"/>
                </w:rPr>
                <m:t>d</m:t>
              </m:r>
              <m:sSub>
                <m:e>
                  <m:r>
                    <w:rPr>
                      <w:rFonts w:ascii="Cambria Math" w:hAnsi="Cambria Math"/>
                    </w:rPr>
                    <m:t>θ</m:t>
                  </m:r>
                </m:e>
                <m:sub>
                  <m:r>
                    <m:rPr>
                      <m:sty m:val="p"/>
                    </m:rPr>
                    <w:rPr>
                      <w:rFonts w:ascii="Cambria Math" w:hAnsi="Cambria Math"/>
                    </w:rPr>
                    <m:t>m,IW</m:t>
                  </m:r>
                </m:sub>
              </m:sSub>
            </m:num>
            <m:den>
              <m:r>
                <m:rPr>
                  <m:sty m:val="p"/>
                </m:rPr>
                <w:rPr>
                  <w:rFonts w:ascii="Cambria Math" w:hAnsi="Cambria Math"/>
                </w:rPr>
                <m:t>d</m:t>
              </m:r>
              <m:r>
                <w:rPr>
                  <w:rFonts w:ascii="Cambria Math" w:hAnsi="Cambria Math"/>
                </w:rPr>
                <m:t>t</m:t>
              </m:r>
            </m:den>
          </m:f>
          <m:r>
            <w:rPr>
              <w:rFonts w:ascii="Cambria Math" w:hAnsi="Cambria Math"/>
            </w:rPr>
            <m:t>=</m:t>
          </m:r>
          <m:sSub>
            <m:e>
              <m:r>
                <w:rPr>
                  <w:rFonts w:ascii="Cambria Math" w:hAnsi="Cambria Math"/>
                </w:rPr>
                <m:t>G</m:t>
              </m:r>
            </m:e>
            <m:sub>
              <m:r>
                <w:rPr>
                  <w:rFonts w:ascii="Cambria Math" w:hAnsi="Cambria Math"/>
                </w:rPr>
                <m:t>2</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s,IW</m:t>
              </m:r>
            </m:sub>
          </m:sSub>
          <m:r>
            <w:rPr>
              <w:rFonts w:ascii="Cambria Math" w:hAnsi="Cambria Math"/>
            </w:rPr>
            <m:t>-</m:t>
          </m:r>
          <m:sSub>
            <m:e>
              <m:r>
                <w:rPr>
                  <w:rFonts w:ascii="Cambria Math" w:hAnsi="Cambria Math"/>
                </w:rPr>
                <m:t>θ</m:t>
              </m:r>
            </m:e>
            <m:sub>
              <m:r>
                <m:rPr>
                  <m:sty m:val="p"/>
                </m:rPr>
                <w:rPr>
                  <w:rFonts w:ascii="Cambria Math" w:hAnsi="Cambria Math"/>
                </w:rPr>
                <m:t>m,IW</m:t>
              </m:r>
            </m:sub>
          </m:sSub>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0</m:t>
          </m:r>
          <m:r>
            <w:rPr>
              <w:rFonts w:ascii="Cambria Math" w:hAnsi="Cambria Math"/>
            </w:rPr>
            <m:t>=</m:t>
          </m:r>
          <m:sSub>
            <m:e>
              <m:r>
                <w:rPr>
                  <w:rFonts w:ascii="Cambria Math" w:hAnsi="Cambria Math"/>
                </w:rPr>
                <m:t>G</m:t>
              </m:r>
            </m:e>
            <m:sub>
              <m:r>
                <w:rPr>
                  <w:rFonts w:ascii="Cambria Math" w:hAnsi="Cambria Math"/>
                </w:rPr>
                <m:t>1</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m,AW</m:t>
              </m:r>
            </m:sub>
          </m:sSub>
          <m:r>
            <w:rPr>
              <w:rFonts w:ascii="Cambria Math" w:hAnsi="Cambria Math"/>
            </w:rPr>
            <m:t>-</m:t>
          </m:r>
          <m:sSub>
            <m:e>
              <m:r>
                <w:rPr>
                  <w:rFonts w:ascii="Cambria Math" w:hAnsi="Cambria Math"/>
                </w:rPr>
                <m:t>θ</m:t>
              </m:r>
            </m:e>
            <m:sub>
              <m:r>
                <m:rPr>
                  <m:sty m:val="p"/>
                </m:rPr>
                <w:rPr>
                  <w:rFonts w:ascii="Cambria Math" w:hAnsi="Cambria Math"/>
                </w:rPr>
                <m:t>s,AW</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air</m:t>
              </m:r>
            </m:sub>
          </m:sSub>
          <m:r>
            <w:rPr>
              <w:rFonts w:ascii="Cambria Math" w:hAnsi="Cambria Math"/>
            </w:rPr>
            <m:t>-</m:t>
          </m:r>
          <m:sSub>
            <m:e>
              <m:r>
                <w:rPr>
                  <w:rFonts w:ascii="Cambria Math" w:hAnsi="Cambria Math"/>
                </w:rPr>
                <m:t>θ</m:t>
              </m:r>
            </m:e>
            <m:sub>
              <m:r>
                <m:rPr>
                  <m:sty m:val="p"/>
                </m:rPr>
                <w:rPr>
                  <w:rFonts w:ascii="Cambria Math" w:hAnsi="Cambria Math"/>
                </w:rPr>
                <m:t>s,AW</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rad</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s,IW</m:t>
              </m:r>
            </m:sub>
          </m:sSub>
          <m:r>
            <w:rPr>
              <w:rFonts w:ascii="Cambria Math" w:hAnsi="Cambria Math"/>
            </w:rPr>
            <m:t>-</m:t>
          </m:r>
          <m:sSub>
            <m:e>
              <m:r>
                <w:rPr>
                  <w:rFonts w:ascii="Cambria Math" w:hAnsi="Cambria Math"/>
                </w:rPr>
                <m:t>θ</m:t>
              </m:r>
            </m:e>
            <m:sub>
              <m:r>
                <m:rPr>
                  <m:sty m:val="p"/>
                </m:rPr>
                <w:rPr>
                  <w:rFonts w:ascii="Cambria Math" w:hAnsi="Cambria Math"/>
                </w:rPr>
                <m:t>s,AW</m:t>
              </m:r>
            </m:sub>
          </m:sSub>
          <m:r>
            <w:rPr>
              <w:rFonts w:ascii="Cambria Math" w:hAnsi="Cambria Math"/>
            </w:rPr>
            <m:t>)</m:t>
          </m:r>
          <m:r>
            <w:rPr>
              <w:rFonts w:ascii="Cambria Math" w:hAnsi="Cambria Math"/>
            </w:rPr>
            <m:t>+</m:t>
          </m:r>
          <m:sSub>
            <m:e>
              <m:r>
                <w:rPr>
                  <w:rFonts w:ascii="Cambria Math" w:hAnsi="Cambria Math"/>
                </w:rPr>
                <m:t>Φ</m:t>
              </m:r>
            </m:e>
            <m:sub>
              <m:r>
                <m:rPr>
                  <m:sty m:val="p"/>
                </m:rPr>
                <w:rPr>
                  <w:rFonts w:ascii="Cambria Math" w:hAnsi="Cambria Math"/>
                </w:rPr>
                <m:t>rad,AW</m:t>
              </m:r>
            </m:sub>
          </m:sSub>
        </m:oMath>
      </m:oMathPara>
    </w:p>
    <w:p>
      <w:pPr>
        <w:pStyle w:val="Formelblock"/>
      </w:pPr>
      <m:oMathPara xmlns:m="http://schemas.openxmlformats.org/officeDocument/2006/math">
        <m:oMathParaPr>
          <m:jc m:val="center"/>
        </m:oMathParaPr>
        <m:oMath>
          <m:r>
            <w:rPr>
              <w:rFonts w:ascii="Cambria Math" w:hAnsi="Cambria Math"/>
            </w:rPr>
            <m:t>0</m:t>
          </m:r>
          <m:r>
            <w:rPr>
              <w:rFonts w:ascii="Cambria Math" w:hAnsi="Cambria Math"/>
            </w:rPr>
            <m:t>=</m:t>
          </m:r>
          <m:sSub>
            <m:e>
              <m:r>
                <w:rPr>
                  <w:rFonts w:ascii="Cambria Math" w:hAnsi="Cambria Math"/>
                </w:rPr>
                <m:t>G</m:t>
              </m:r>
            </m:e>
            <m:sub>
              <m:r>
                <w:rPr>
                  <w:rFonts w:ascii="Cambria Math" w:hAnsi="Cambria Math"/>
                </w:rPr>
                <m:t>2</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m,IW</m:t>
              </m:r>
            </m:sub>
          </m:sSub>
          <m:r>
            <w:rPr>
              <w:rFonts w:ascii="Cambria Math" w:hAnsi="Cambria Math"/>
            </w:rPr>
            <m:t>-</m:t>
          </m:r>
          <m:sSub>
            <m:e>
              <m:r>
                <w:rPr>
                  <w:rFonts w:ascii="Cambria Math" w:hAnsi="Cambria Math"/>
                </w:rPr>
                <m:t>θ</m:t>
              </m:r>
            </m:e>
            <m:sub>
              <m:r>
                <m:rPr>
                  <m:sty m:val="p"/>
                </m:rPr>
                <w:rPr>
                  <w:rFonts w:ascii="Cambria Math" w:hAnsi="Cambria Math"/>
                </w:rPr>
                <m:t>s,IW</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air</m:t>
              </m:r>
            </m:sub>
          </m:sSub>
          <m:r>
            <w:rPr>
              <w:rFonts w:ascii="Cambria Math" w:hAnsi="Cambria Math"/>
            </w:rPr>
            <m:t>-</m:t>
          </m:r>
          <m:sSub>
            <m:e>
              <m:r>
                <w:rPr>
                  <w:rFonts w:ascii="Cambria Math" w:hAnsi="Cambria Math"/>
                </w:rPr>
                <m:t>θ</m:t>
              </m:r>
            </m:e>
            <m:sub>
              <m:r>
                <m:rPr>
                  <m:sty m:val="p"/>
                </m:rPr>
                <w:rPr>
                  <w:rFonts w:ascii="Cambria Math" w:hAnsi="Cambria Math"/>
                </w:rPr>
                <m:t>s,IW</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rad</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s,AW</m:t>
              </m:r>
            </m:sub>
          </m:sSub>
          <m:r>
            <w:rPr>
              <w:rFonts w:ascii="Cambria Math" w:hAnsi="Cambria Math"/>
            </w:rPr>
            <m:t>-</m:t>
          </m:r>
          <m:sSub>
            <m:e>
              <m:r>
                <w:rPr>
                  <w:rFonts w:ascii="Cambria Math" w:hAnsi="Cambria Math"/>
                </w:rPr>
                <m:t>θ</m:t>
              </m:r>
            </m:e>
            <m:sub>
              <m:r>
                <m:rPr>
                  <m:sty m:val="p"/>
                </m:rPr>
                <w:rPr>
                  <w:rFonts w:ascii="Cambria Math" w:hAnsi="Cambria Math"/>
                </w:rPr>
                <m:t>s,IW</m:t>
              </m:r>
            </m:sub>
          </m:sSub>
          <m:r>
            <w:rPr>
              <w:rFonts w:ascii="Cambria Math" w:hAnsi="Cambria Math"/>
            </w:rPr>
            <m:t>)</m:t>
          </m:r>
          <m:r>
            <w:rPr>
              <w:rFonts w:ascii="Cambria Math" w:hAnsi="Cambria Math"/>
            </w:rPr>
            <m:t>+</m:t>
          </m:r>
          <m:sSub>
            <m:e>
              <m:r>
                <w:rPr>
                  <w:rFonts w:ascii="Cambria Math" w:hAnsi="Cambria Math"/>
                </w:rPr>
                <m:t>Φ</m:t>
              </m:r>
            </m:e>
            <m:sub>
              <m:r>
                <m:rPr>
                  <m:sty m:val="p"/>
                </m:rPr>
                <w:rPr>
                  <w:rFonts w:ascii="Cambria Math" w:hAnsi="Cambria Math"/>
                </w:rPr>
                <m:t>rad,IW</m:t>
              </m:r>
            </m:sub>
          </m:sSub>
        </m:oMath>
      </m:oMathPara>
    </w:p>
    <w:p>
      <w:pPr>
        <w:pStyle w:val="Formelblock"/>
      </w:pPr>
      <m:oMathPara xmlns:m="http://schemas.openxmlformats.org/officeDocument/2006/math">
        <m:oMathParaPr>
          <m:jc m:val="center"/>
        </m:oMathParaPr>
        <m:oMath>
          <m:r>
            <w:rPr>
              <w:rFonts w:ascii="Cambria Math" w:hAnsi="Cambria Math"/>
            </w:rPr>
            <m:t>0</m:t>
          </m:r>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s,AW</m:t>
              </m:r>
            </m:sub>
          </m:sSub>
          <m:r>
            <w:rPr>
              <w:rFonts w:ascii="Cambria Math" w:hAnsi="Cambria Math"/>
            </w:rPr>
            <m:t>-</m:t>
          </m:r>
          <m:sSub>
            <m:e>
              <m:r>
                <w:rPr>
                  <w:rFonts w:ascii="Cambria Math" w:hAnsi="Cambria Math"/>
                </w:rPr>
                <m:t>θ</m:t>
              </m:r>
            </m:e>
            <m:sub>
              <m:r>
                <m:rPr>
                  <m:sty m:val="p"/>
                </m:rPr>
                <w:rPr>
                  <w:rFonts w:ascii="Cambria Math" w:hAnsi="Cambria Math"/>
                </w:rPr>
                <m:t>air</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s,IW</m:t>
              </m:r>
            </m:sub>
          </m:sSub>
          <m:r>
            <w:rPr>
              <w:rFonts w:ascii="Cambria Math" w:hAnsi="Cambria Math"/>
            </w:rPr>
            <m:t>-</m:t>
          </m:r>
          <m:sSub>
            <m:e>
              <m:r>
                <w:rPr>
                  <w:rFonts w:ascii="Cambria Math" w:hAnsi="Cambria Math"/>
                </w:rPr>
                <m:t>θ</m:t>
              </m:r>
            </m:e>
            <m:sub>
              <m:r>
                <m:rPr>
                  <m:sty m:val="p"/>
                </m:rPr>
                <w:rPr>
                  <w:rFonts w:ascii="Cambria Math" w:hAnsi="Cambria Math"/>
                </w:rPr>
                <m:t>air</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ext</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out</m:t>
              </m:r>
            </m:sub>
          </m:sSub>
          <m:r>
            <w:rPr>
              <w:rFonts w:ascii="Cambria Math" w:hAnsi="Cambria Math"/>
            </w:rPr>
            <m:t>-</m:t>
          </m:r>
          <m:sSub>
            <m:e>
              <m:r>
                <w:rPr>
                  <w:rFonts w:ascii="Cambria Math" w:hAnsi="Cambria Math"/>
                </w:rPr>
                <m:t>θ</m:t>
              </m:r>
            </m:e>
            <m:sub>
              <m:r>
                <m:rPr>
                  <m:sty m:val="p"/>
                </m:rPr>
                <w:rPr>
                  <w:rFonts w:ascii="Cambria Math" w:hAnsi="Cambria Math"/>
                </w:rPr>
                <m:t>air</m:t>
              </m:r>
            </m:sub>
          </m:sSub>
          <m:r>
            <w:rPr>
              <w:rFonts w:ascii="Cambria Math" w:hAnsi="Cambria Math"/>
            </w:rPr>
            <m:t>)</m:t>
          </m:r>
          <m:r>
            <w:rPr>
              <w:rFonts w:ascii="Cambria Math" w:hAnsi="Cambria Math"/>
            </w:rPr>
            <m:t>+</m:t>
          </m:r>
          <m:sSub>
            <m:e>
              <m:r>
                <w:rPr>
                  <w:rFonts w:ascii="Cambria Math" w:hAnsi="Cambria Math"/>
                </w:rPr>
                <m:t>Φ</m:t>
              </m:r>
            </m:e>
            <m:sub>
              <m:r>
                <m:rPr>
                  <m:sty m:val="p"/>
                </m:rPr>
                <w:rPr>
                  <w:rFonts w:ascii="Cambria Math" w:hAnsi="Cambria Math"/>
                </w:rPr>
                <m:t>conv</m:t>
              </m:r>
            </m:sub>
          </m:sSub>
          <m:r>
            <w:rPr>
              <w:rFonts w:ascii="Cambria Math" w:hAnsi="Cambria Math"/>
            </w:rPr>
            <m:t>+</m:t>
          </m:r>
          <m:sSub>
            <m:e>
              <m:r>
                <w:rPr>
                  <w:rFonts w:ascii="Cambria Math" w:hAnsi="Cambria Math"/>
                </w:rPr>
                <m:t>Φ</m:t>
              </m:r>
            </m:e>
            <m:sub>
              <m:r>
                <m:rPr>
                  <m:sty m:val="p"/>
                </m:rPr>
                <w:rPr>
                  <w:rFonts w:ascii="Cambria Math" w:hAnsi="Cambria Math"/>
                </w:rPr>
                <m:t>h</m:t>
              </m:r>
            </m:sub>
          </m:sSub>
        </m:oMath>
      </m:oMathPara>
    </w:p>
    <w:p>
      <m:oMath xmlns:m="http://schemas.openxmlformats.org/officeDocument/2006/math">
        <m:sSub>
          <m:e>
            <m:r>
              <w:rPr>
                <w:rFonts w:ascii="Cambria Math" w:hAnsi="Cambria Math"/>
              </w:rPr>
              <m:t>θ</m:t>
            </m:r>
          </m:e>
          <m:sub>
            <m:r>
              <m:rPr>
                <m:sty m:val="p"/>
              </m:rPr>
              <w:rPr>
                <w:rFonts w:ascii="Cambria Math" w:hAnsi="Cambria Math"/>
              </w:rPr>
              <m:t>eq</m:t>
            </m:r>
          </m:sub>
        </m:sSub>
      </m:oMath>
      <w:r>
        <w:t xml:space="preserve"> ist die U·A-gewichtete äquivalente Außentemperatur aus Schritt E, Gl. (41)/(42). Der Dreieckssatz der Richtlinie mit der Stern-Dreieck-Transformation (55)–(57) ist dieselbe Algebra; die obige Schreibweise löst das Dreieck direkt auf.</w:t>
      </w:r>
    </w:p>
    <w:p>
      <w:r>
        <w:rPr>
          <w:b/>
        </w:rPr>
        <w:t xml:space="preserve">Fall 1 — freier Lauf.</w:t>
      </w:r>
      <w:r>
        <w:t xml:space="preserve"> Der Luftknoten wird zuerst aufgelöst:</w:t>
      </w:r>
    </w:p>
    <w:p>
      <w:pPr>
        <w:pStyle w:val="Formelblock"/>
      </w:pPr>
      <m:oMathPara xmlns:m="http://schemas.openxmlformats.org/officeDocument/2006/math">
        <m:oMathParaPr>
          <m:jc m:val="center"/>
        </m:oMathParaPr>
        <m:oMath>
          <m:r>
            <w:rPr>
              <w:rFonts w:ascii="Cambria Math" w:hAnsi="Cambria Math"/>
            </w:rPr>
            <m:t>S</m:t>
          </m:r>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m:t>
          </m:r>
          <m:sSub>
            <m:e>
              <m:r>
                <w:rPr>
                  <w:rFonts w:ascii="Cambria Math" w:hAnsi="Cambria Math"/>
                </w:rPr>
                <m:t>G</m:t>
              </m:r>
            </m:e>
            <m:sub>
              <m:r>
                <m:rPr>
                  <m:sty m:val="p"/>
                </m:rPr>
                <w:rPr>
                  <w:rFonts w:ascii="Cambria Math" w:hAnsi="Cambria Math"/>
                </w:rPr>
                <m:t>ext</m:t>
              </m:r>
            </m:sub>
          </m:sSub>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Luft</m:t>
              </m:r>
            </m:sub>
          </m:sSub>
          <m:r>
            <w:rPr>
              <w:rFonts w:ascii="Cambria Math" w:hAnsi="Cambria Math"/>
            </w:rPr>
            <m:t>=</m:t>
          </m:r>
          <m:sSub>
            <m:e>
              <m:r>
                <w:rPr>
                  <w:rFonts w:ascii="Cambria Math" w:hAnsi="Cambria Math"/>
                </w:rPr>
                <m:t>G</m:t>
              </m:r>
            </m:e>
            <m:sub>
              <m:r>
                <m:rPr>
                  <m:sty m:val="p"/>
                </m:rPr>
                <w:rPr>
                  <w:rFonts w:ascii="Cambria Math" w:hAnsi="Cambria Math"/>
                </w:rPr>
                <m:t>ext</m:t>
              </m:r>
            </m:sub>
          </m:sSub>
          <m:r>
            <w:rPr>
              <w:rFonts w:ascii="Cambria Math" w:hAnsi="Cambria Math"/>
            </w:rPr>
            <m:t>⋅</m:t>
          </m:r>
          <m:sSub>
            <m:e>
              <m:r>
                <w:rPr>
                  <w:rFonts w:ascii="Cambria Math" w:hAnsi="Cambria Math"/>
                </w:rPr>
                <m:t>θ</m:t>
              </m:r>
            </m:e>
            <m:sub>
              <m:r>
                <m:rPr>
                  <m:sty m:val="p"/>
                </m:rPr>
                <w:rPr>
                  <w:rFonts w:ascii="Cambria Math" w:hAnsi="Cambria Math"/>
                </w:rPr>
                <m:t>out</m:t>
              </m:r>
            </m:sub>
          </m:sSub>
          <m:r>
            <w:rPr>
              <w:rFonts w:ascii="Cambria Math" w:hAnsi="Cambria Math"/>
            </w:rPr>
            <m:t>+</m:t>
          </m:r>
          <m:sSub>
            <m:e>
              <m:r>
                <w:rPr>
                  <w:rFonts w:ascii="Cambria Math" w:hAnsi="Cambria Math"/>
                </w:rPr>
                <m:t>Φ</m:t>
              </m:r>
            </m:e>
            <m:sub>
              <m:r>
                <m:rPr>
                  <m:sty m:val="p"/>
                </m:rPr>
                <w:rPr>
                  <w:rFonts w:ascii="Cambria Math" w:hAnsi="Cambria Math"/>
                </w:rPr>
                <m:t>conv</m:t>
              </m:r>
            </m:sub>
          </m:sSub>
          <m:r>
            <w:rPr>
              <w:rFonts w:ascii="Cambria Math" w:hAnsi="Cambria Math"/>
            </w:rPr>
            <m:t xml:space="preserve"> </m:t>
          </m:r>
          <m:r>
            <w:rPr>
              <w:rFonts w:ascii="Cambria Math" w:hAnsi="Cambria Math"/>
            </w:rPr>
            <m:t>[</m:t>
          </m:r>
          <m:r>
            <m:rPr>
              <m:sty m:val="p"/>
            </m:rPr>
            <w:rPr>
              <w:rFonts w:ascii="Cambria Math" w:hAnsi="Cambria Math"/>
            </w:rPr>
            <m:t>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air</m:t>
              </m:r>
            </m:sub>
          </m:sSub>
          <m:r>
            <w:rPr>
              <w:rFonts w:ascii="Cambria Math" w:hAnsi="Cambria Math"/>
            </w:rPr>
            <m:t>=</m:t>
          </m:r>
          <m:f>
            <m:num>
              <m:sSub>
                <m:e>
                  <m:r>
                    <w:rPr>
                      <w:rFonts w:ascii="Cambria Math" w:hAnsi="Cambria Math"/>
                    </w:rPr>
                    <m:t>G</m:t>
                  </m:r>
                </m:e>
                <m:sub>
                  <m:r>
                    <m:rPr>
                      <m:sty m:val="p"/>
                    </m:rPr>
                    <w:rPr>
                      <w:rFonts w:ascii="Cambria Math" w:hAnsi="Cambria Math"/>
                    </w:rPr>
                    <m:t>cAW</m:t>
                  </m:r>
                </m:sub>
              </m:sSub>
              <m:r>
                <w:rPr>
                  <w:rFonts w:ascii="Cambria Math" w:hAnsi="Cambria Math"/>
                </w:rPr>
                <m:t>⋅</m:t>
              </m:r>
              <m:sSub>
                <m:e>
                  <m:r>
                    <w:rPr>
                      <w:rFonts w:ascii="Cambria Math" w:hAnsi="Cambria Math"/>
                    </w:rPr>
                    <m:t>θ</m:t>
                  </m:r>
                </m:e>
                <m:sub>
                  <m:r>
                    <m:rPr>
                      <m:sty m:val="p"/>
                    </m:rPr>
                    <w:rPr>
                      <w:rFonts w:ascii="Cambria Math" w:hAnsi="Cambria Math"/>
                    </w:rPr>
                    <m:t>s,AW</m:t>
                  </m:r>
                </m:sub>
              </m:sSub>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m:t>
              </m:r>
              <m:sSub>
                <m:e>
                  <m:r>
                    <w:rPr>
                      <w:rFonts w:ascii="Cambria Math" w:hAnsi="Cambria Math"/>
                    </w:rPr>
                    <m:t>θ</m:t>
                  </m:r>
                </m:e>
                <m:sub>
                  <m:r>
                    <m:rPr>
                      <m:sty m:val="p"/>
                    </m:rPr>
                    <w:rPr>
                      <w:rFonts w:ascii="Cambria Math" w:hAnsi="Cambria Math"/>
                    </w:rPr>
                    <m:t>s,IW</m:t>
                  </m:r>
                </m:sub>
              </m:sSub>
              <m:r>
                <w:rPr>
                  <w:rFonts w:ascii="Cambria Math" w:hAnsi="Cambria Math"/>
                </w:rPr>
                <m:t>+</m:t>
              </m:r>
              <m:sSub>
                <m:e>
                  <m:r>
                    <w:rPr>
                      <w:rFonts w:ascii="Cambria Math" w:hAnsi="Cambria Math"/>
                    </w:rPr>
                    <m:t>Φ</m:t>
                  </m:r>
                </m:e>
                <m:sub>
                  <m:r>
                    <m:rPr>
                      <m:sty m:val="p"/>
                    </m:rPr>
                    <w:rPr>
                      <w:rFonts w:ascii="Cambria Math" w:hAnsi="Cambria Math"/>
                    </w:rPr>
                    <m:t>Luft</m:t>
                  </m:r>
                </m:sub>
              </m:sSub>
            </m:num>
            <m:den>
              <m:r>
                <w:rPr>
                  <w:rFonts w:ascii="Cambria Math" w:hAnsi="Cambria Math"/>
                </w:rPr>
                <m:t>S</m:t>
              </m:r>
            </m:den>
          </m:f>
        </m:oMath>
      </m:oMathPara>
    </w:p>
    <w:p>
      <w:pPr>
        <w:pStyle w:val="Formelblock"/>
      </w:pPr>
      <m:oMathPara xmlns:m="http://schemas.openxmlformats.org/officeDocument/2006/math">
        <m:oMathParaPr>
          <m:jc m:val="center"/>
        </m:oMathParaPr>
        <m:oMath>
          <m:sSub>
            <m:e>
              <m:r>
                <w:rPr>
                  <w:rFonts w:ascii="Cambria Math" w:hAnsi="Cambria Math"/>
                </w:rPr>
                <m:t>M</m:t>
              </m:r>
            </m:e>
            <m:sub>
              <m:r>
                <w:rPr>
                  <w:rFonts w:ascii="Cambria Math" w:hAnsi="Cambria Math"/>
                </w:rPr>
                <m:t>1</m:t>
              </m:r>
              <m:r>
                <w:rPr>
                  <w:rFonts w:ascii="Cambria Math" w:hAnsi="Cambria Math"/>
                </w:rPr>
                <m:t>1</m:t>
              </m:r>
            </m:sub>
          </m:sSub>
          <m:r>
            <w:rPr>
              <w:rFonts w:ascii="Cambria Math" w:hAnsi="Cambria Math"/>
            </w:rPr>
            <m:t>=</m:t>
          </m:r>
          <m:sSub>
            <m:e>
              <m:r>
                <w:rPr>
                  <w:rFonts w:ascii="Cambria Math" w:hAnsi="Cambria Math"/>
                </w:rPr>
                <m:t>G</m:t>
              </m:r>
            </m:e>
            <m:sub>
              <m:r>
                <w:rPr>
                  <w:rFonts w:ascii="Cambria Math" w:hAnsi="Cambria Math"/>
                </w:rPr>
                <m:t>1</m:t>
              </m:r>
            </m:sub>
          </m:sSub>
          <m:r>
            <w:rPr>
              <w:rFonts w:ascii="Cambria Math" w:hAnsi="Cambria Math"/>
            </w:rPr>
            <m:t>+</m:t>
          </m:r>
          <m:sSub>
            <m:e>
              <m:r>
                <w:rPr>
                  <w:rFonts w:ascii="Cambria Math" w:hAnsi="Cambria Math"/>
                </w:rPr>
                <m:t>G</m:t>
              </m:r>
            </m:e>
            <m:sub>
              <m:r>
                <m:rPr>
                  <m:sty m:val="p"/>
                </m:rPr>
                <w:rPr>
                  <w:rFonts w:ascii="Cambria Math" w:hAnsi="Cambria Math"/>
                </w:rPr>
                <m:t>rad</m:t>
              </m:r>
            </m:sub>
          </m:sSub>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f>
            <m:num>
              <m:sSubSup>
                <m:e>
                  <m:r>
                    <w:rPr>
                      <w:rFonts w:ascii="Cambria Math" w:hAnsi="Cambria Math"/>
                    </w:rPr>
                    <m:t>G</m:t>
                  </m:r>
                </m:e>
                <m:sub>
                  <m:r>
                    <m:rPr>
                      <m:sty m:val="p"/>
                    </m:rPr>
                    <w:rPr>
                      <w:rFonts w:ascii="Cambria Math" w:hAnsi="Cambria Math"/>
                    </w:rPr>
                    <m:t>cAW</m:t>
                  </m:r>
                </m:sub>
                <m:sup>
                  <m:r>
                    <w:rPr>
                      <w:rFonts w:ascii="Cambria Math" w:hAnsi="Cambria Math"/>
                    </w:rPr>
                    <m:t>2</m:t>
                  </m:r>
                </m:sup>
              </m:sSubSup>
            </m:num>
            <m:den>
              <m:r>
                <w:rPr>
                  <w:rFonts w:ascii="Cambria Math" w:hAnsi="Cambria Math"/>
                </w:rPr>
                <m:t>S</m:t>
              </m:r>
            </m:den>
          </m:f>
        </m:oMath>
      </m:oMathPara>
    </w:p>
    <w:p>
      <w:pPr>
        <w:pStyle w:val="Formelblock"/>
      </w:pPr>
      <m:oMathPara xmlns:m="http://schemas.openxmlformats.org/officeDocument/2006/math">
        <m:oMathParaPr>
          <m:jc m:val="center"/>
        </m:oMathParaPr>
        <m:oMath>
          <m:sSub>
            <m:e>
              <m:r>
                <w:rPr>
                  <w:rFonts w:ascii="Cambria Math" w:hAnsi="Cambria Math"/>
                </w:rPr>
                <m:t>M</m:t>
              </m:r>
            </m:e>
            <m:sub>
              <m:r>
                <w:rPr>
                  <w:rFonts w:ascii="Cambria Math" w:hAnsi="Cambria Math"/>
                </w:rPr>
                <m:t>2</m:t>
              </m:r>
              <m:r>
                <w:rPr>
                  <w:rFonts w:ascii="Cambria Math" w:hAnsi="Cambria Math"/>
                </w:rPr>
                <m:t>2</m:t>
              </m:r>
            </m:sub>
          </m:sSub>
          <m:r>
            <w:rPr>
              <w:rFonts w:ascii="Cambria Math" w:hAnsi="Cambria Math"/>
            </w:rPr>
            <m:t>=</m:t>
          </m:r>
          <m:sSub>
            <m:e>
              <m:r>
                <w:rPr>
                  <w:rFonts w:ascii="Cambria Math" w:hAnsi="Cambria Math"/>
                </w:rPr>
                <m:t>G</m:t>
              </m:r>
            </m:e>
            <m:sub>
              <m:r>
                <w:rPr>
                  <w:rFonts w:ascii="Cambria Math" w:hAnsi="Cambria Math"/>
                </w:rPr>
                <m:t>2</m:t>
              </m:r>
            </m:sub>
          </m:sSub>
          <m:r>
            <w:rPr>
              <w:rFonts w:ascii="Cambria Math" w:hAnsi="Cambria Math"/>
            </w:rPr>
            <m:t>+</m:t>
          </m:r>
          <m:sSub>
            <m:e>
              <m:r>
                <w:rPr>
                  <w:rFonts w:ascii="Cambria Math" w:hAnsi="Cambria Math"/>
                </w:rPr>
                <m:t>G</m:t>
              </m:r>
            </m:e>
            <m:sub>
              <m:r>
                <m:rPr>
                  <m:sty m:val="p"/>
                </m:rPr>
                <w:rPr>
                  <w:rFonts w:ascii="Cambria Math" w:hAnsi="Cambria Math"/>
                </w:rPr>
                <m:t>rad</m:t>
              </m:r>
            </m:sub>
          </m:sSub>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m:t>
          </m:r>
          <m:f>
            <m:num>
              <m:sSubSup>
                <m:e>
                  <m:r>
                    <w:rPr>
                      <w:rFonts w:ascii="Cambria Math" w:hAnsi="Cambria Math"/>
                    </w:rPr>
                    <m:t>G</m:t>
                  </m:r>
                </m:e>
                <m:sub>
                  <m:r>
                    <m:rPr>
                      <m:sty m:val="p"/>
                    </m:rPr>
                    <w:rPr>
                      <w:rFonts w:ascii="Cambria Math" w:hAnsi="Cambria Math"/>
                    </w:rPr>
                    <m:t>cIW</m:t>
                  </m:r>
                </m:sub>
                <m:sup>
                  <m:r>
                    <w:rPr>
                      <w:rFonts w:ascii="Cambria Math" w:hAnsi="Cambria Math"/>
                    </w:rPr>
                    <m:t>2</m:t>
                  </m:r>
                </m:sup>
              </m:sSubSup>
            </m:num>
            <m:den>
              <m:r>
                <w:rPr>
                  <w:rFonts w:ascii="Cambria Math" w:hAnsi="Cambria Math"/>
                </w:rPr>
                <m:t>S</m:t>
              </m:r>
            </m:den>
          </m:f>
        </m:oMath>
      </m:oMathPara>
    </w:p>
    <w:p>
      <w:pPr>
        <w:pStyle w:val="Formelblock"/>
      </w:pPr>
      <m:oMathPara xmlns:m="http://schemas.openxmlformats.org/officeDocument/2006/math">
        <m:oMathParaPr>
          <m:jc m:val="center"/>
        </m:oMathParaPr>
        <m:oMath>
          <m:sSub>
            <m:e>
              <m:r>
                <w:rPr>
                  <w:rFonts w:ascii="Cambria Math" w:hAnsi="Cambria Math"/>
                </w:rPr>
                <m:t>M</m:t>
              </m:r>
            </m:e>
            <m:sub>
              <m:r>
                <w:rPr>
                  <w:rFonts w:ascii="Cambria Math" w:hAnsi="Cambria Math"/>
                </w:rPr>
                <m:t>1</m:t>
              </m:r>
              <m:r>
                <w:rPr>
                  <w:rFonts w:ascii="Cambria Math" w:hAnsi="Cambria Math"/>
                </w:rPr>
                <m:t>2</m:t>
              </m:r>
            </m:sub>
          </m:sSub>
          <m:r>
            <w:rPr>
              <w:rFonts w:ascii="Cambria Math" w:hAnsi="Cambria Math"/>
            </w:rPr>
            <m:t>=</m:t>
          </m:r>
          <m:sSub>
            <m:e>
              <m:r>
                <w:rPr>
                  <w:rFonts w:ascii="Cambria Math" w:hAnsi="Cambria Math"/>
                </w:rPr>
                <m:t>M</m:t>
              </m:r>
            </m:e>
            <m:sub>
              <m:r>
                <w:rPr>
                  <w:rFonts w:ascii="Cambria Math" w:hAnsi="Cambria Math"/>
                </w:rPr>
                <m:t>2</m:t>
              </m:r>
              <m:r>
                <w:rPr>
                  <w:rFonts w:ascii="Cambria Math" w:hAnsi="Cambria Math"/>
                </w:rPr>
                <m:t>1</m:t>
              </m:r>
            </m:sub>
          </m:sSub>
          <m:r>
            <w:rPr>
              <w:rFonts w:ascii="Cambria Math" w:hAnsi="Cambria Math"/>
            </w:rPr>
            <m:t>=</m:t>
          </m:r>
          <m:r>
            <w:rPr>
              <w:rFonts w:ascii="Cambria Math" w:hAnsi="Cambria Math"/>
            </w:rPr>
            <m:t>-</m:t>
          </m:r>
          <m:d>
            <m:dPr>
              <m:begChr m:val="("/>
              <m:endChr m:val=")"/>
              <m:grow m:val="1"/>
            </m:dPr>
            <m:e>
              <m:sSub>
                <m:e>
                  <m:r>
                    <w:rPr>
                      <w:rFonts w:ascii="Cambria Math" w:hAnsi="Cambria Math"/>
                    </w:rPr>
                    <m:t>G</m:t>
                  </m:r>
                </m:e>
                <m:sub>
                  <m:r>
                    <m:rPr>
                      <m:sty m:val="p"/>
                    </m:rPr>
                    <w:rPr>
                      <w:rFonts w:ascii="Cambria Math" w:hAnsi="Cambria Math"/>
                    </w:rPr>
                    <m:t>rad</m:t>
                  </m:r>
                </m:sub>
              </m:sSub>
              <m:r>
                <w:rPr>
                  <w:rFonts w:ascii="Cambria Math" w:hAnsi="Cambria Math"/>
                </w:rPr>
                <m:t>+</m:t>
              </m:r>
              <m:f>
                <m:num>
                  <m:sSub>
                    <m:e>
                      <m:r>
                        <w:rPr>
                          <w:rFonts w:ascii="Cambria Math" w:hAnsi="Cambria Math"/>
                        </w:rPr>
                        <m:t>G</m:t>
                      </m:r>
                    </m:e>
                    <m:sub>
                      <m:r>
                        <m:rPr>
                          <m:sty m:val="p"/>
                        </m:rPr>
                        <w:rPr>
                          <w:rFonts w:ascii="Cambria Math" w:hAnsi="Cambria Math"/>
                        </w:rPr>
                        <m:t>cAW</m:t>
                      </m:r>
                    </m:sub>
                  </m:sSub>
                  <m:r>
                    <w:rPr>
                      <w:rFonts w:ascii="Cambria Math" w:hAnsi="Cambria Math"/>
                    </w:rPr>
                    <m:t>⋅</m:t>
                  </m:r>
                  <m:sSub>
                    <m:e>
                      <m:r>
                        <w:rPr>
                          <w:rFonts w:ascii="Cambria Math" w:hAnsi="Cambria Math"/>
                        </w:rPr>
                        <m:t>G</m:t>
                      </m:r>
                    </m:e>
                    <m:sub>
                      <m:r>
                        <m:rPr>
                          <m:sty m:val="p"/>
                        </m:rPr>
                        <w:rPr>
                          <w:rFonts w:ascii="Cambria Math" w:hAnsi="Cambria Math"/>
                        </w:rPr>
                        <m:t>cIW</m:t>
                      </m:r>
                    </m:sub>
                  </m:sSub>
                </m:num>
                <m:den>
                  <m:r>
                    <w:rPr>
                      <w:rFonts w:ascii="Cambria Math" w:hAnsi="Cambria Math"/>
                    </w:rPr>
                    <m:t>S</m:t>
                  </m:r>
                </m:den>
              </m:f>
            </m:e>
          </m:d>
        </m:oMath>
      </m:oMathPara>
    </w:p>
    <w:p>
      <w:pPr>
        <w:pStyle w:val="Formelblock"/>
      </w:pPr>
      <m:oMathPara xmlns:m="http://schemas.openxmlformats.org/officeDocument/2006/math">
        <m:oMathParaPr>
          <m:jc m:val="center"/>
        </m:oMathParaPr>
        <m:oMath>
          <m:sSub>
            <m:e>
              <m:r>
                <w:rPr>
                  <w:rFonts w:ascii="Cambria Math" w:hAnsi="Cambria Math"/>
                </w:rPr>
                <m:t>v</m:t>
              </m:r>
            </m:e>
            <m:sub>
              <m:r>
                <w:rPr>
                  <w:rFonts w:ascii="Cambria Math" w:hAnsi="Cambria Math"/>
                </w:rPr>
                <m:t>1</m:t>
              </m:r>
            </m:sub>
          </m:sSub>
          <m:r>
            <w:rPr>
              <w:rFonts w:ascii="Cambria Math" w:hAnsi="Cambria Math"/>
            </w:rPr>
            <m:t>=</m:t>
          </m:r>
          <m:sSub>
            <m:e>
              <m:r>
                <w:rPr>
                  <w:rFonts w:ascii="Cambria Math" w:hAnsi="Cambria Math"/>
                </w:rPr>
                <m:t>Φ</m:t>
              </m:r>
            </m:e>
            <m:sub>
              <m:r>
                <m:rPr>
                  <m:sty m:val="p"/>
                </m:rPr>
                <w:rPr>
                  <w:rFonts w:ascii="Cambria Math" w:hAnsi="Cambria Math"/>
                </w:rPr>
                <m:t>rad,AW</m:t>
              </m:r>
            </m:sub>
          </m:sSub>
          <m:r>
            <w:rPr>
              <w:rFonts w:ascii="Cambria Math" w:hAnsi="Cambria Math"/>
            </w:rPr>
            <m:t>+</m:t>
          </m:r>
          <m:f>
            <m:num>
              <m:sSub>
                <m:e>
                  <m:r>
                    <w:rPr>
                      <w:rFonts w:ascii="Cambria Math" w:hAnsi="Cambria Math"/>
                    </w:rPr>
                    <m:t>G</m:t>
                  </m:r>
                </m:e>
                <m:sub>
                  <m:r>
                    <m:rPr>
                      <m:sty m:val="p"/>
                    </m:rPr>
                    <w:rPr>
                      <w:rFonts w:ascii="Cambria Math" w:hAnsi="Cambria Math"/>
                    </w:rPr>
                    <m:t>cAW</m:t>
                  </m:r>
                </m:sub>
              </m:sSub>
              <m:r>
                <w:rPr>
                  <w:rFonts w:ascii="Cambria Math" w:hAnsi="Cambria Math"/>
                </w:rPr>
                <m:t>⋅</m:t>
              </m:r>
              <m:sSub>
                <m:e>
                  <m:r>
                    <w:rPr>
                      <w:rFonts w:ascii="Cambria Math" w:hAnsi="Cambria Math"/>
                    </w:rPr>
                    <m:t>Φ</m:t>
                  </m:r>
                </m:e>
                <m:sub>
                  <m:r>
                    <m:rPr>
                      <m:sty m:val="p"/>
                    </m:rPr>
                    <w:rPr>
                      <w:rFonts w:ascii="Cambria Math" w:hAnsi="Cambria Math"/>
                    </w:rPr>
                    <m:t>Luft</m:t>
                  </m:r>
                </m:sub>
              </m:sSub>
            </m:num>
            <m:den>
              <m:r>
                <w:rPr>
                  <w:rFonts w:ascii="Cambria Math" w:hAnsi="Cambria Math"/>
                </w:rPr>
                <m:t>S</m:t>
              </m:r>
            </m:den>
          </m:f>
        </m:oMath>
      </m:oMathPara>
    </w:p>
    <w:p>
      <w:pPr>
        <w:pStyle w:val="Formelblock"/>
      </w:pPr>
      <m:oMathPara xmlns:m="http://schemas.openxmlformats.org/officeDocument/2006/math">
        <m:oMathParaPr>
          <m:jc m:val="center"/>
        </m:oMathParaPr>
        <m:oMath>
          <m:sSub>
            <m:e>
              <m:r>
                <w:rPr>
                  <w:rFonts w:ascii="Cambria Math" w:hAnsi="Cambria Math"/>
                </w:rPr>
                <m:t>v</m:t>
              </m:r>
            </m:e>
            <m:sub>
              <m:r>
                <w:rPr>
                  <w:rFonts w:ascii="Cambria Math" w:hAnsi="Cambria Math"/>
                </w:rPr>
                <m:t>2</m:t>
              </m:r>
            </m:sub>
          </m:sSub>
          <m:r>
            <w:rPr>
              <w:rFonts w:ascii="Cambria Math" w:hAnsi="Cambria Math"/>
            </w:rPr>
            <m:t>=</m:t>
          </m:r>
          <m:sSub>
            <m:e>
              <m:r>
                <w:rPr>
                  <w:rFonts w:ascii="Cambria Math" w:hAnsi="Cambria Math"/>
                </w:rPr>
                <m:t>Φ</m:t>
              </m:r>
            </m:e>
            <m:sub>
              <m:r>
                <m:rPr>
                  <m:sty m:val="p"/>
                </m:rPr>
                <w:rPr>
                  <w:rFonts w:ascii="Cambria Math" w:hAnsi="Cambria Math"/>
                </w:rPr>
                <m:t>rad,IW</m:t>
              </m:r>
            </m:sub>
          </m:sSub>
          <m:r>
            <w:rPr>
              <w:rFonts w:ascii="Cambria Math" w:hAnsi="Cambria Math"/>
            </w:rPr>
            <m:t>+</m:t>
          </m:r>
          <m:f>
            <m:num>
              <m:sSub>
                <m:e>
                  <m:r>
                    <w:rPr>
                      <w:rFonts w:ascii="Cambria Math" w:hAnsi="Cambria Math"/>
                    </w:rPr>
                    <m:t>G</m:t>
                  </m:r>
                </m:e>
                <m:sub>
                  <m:r>
                    <m:rPr>
                      <m:sty m:val="p"/>
                    </m:rPr>
                    <w:rPr>
                      <w:rFonts w:ascii="Cambria Math" w:hAnsi="Cambria Math"/>
                    </w:rPr>
                    <m:t>cIW</m:t>
                  </m:r>
                </m:sub>
              </m:sSub>
              <m:r>
                <w:rPr>
                  <w:rFonts w:ascii="Cambria Math" w:hAnsi="Cambria Math"/>
                </w:rPr>
                <m:t>⋅</m:t>
              </m:r>
              <m:sSub>
                <m:e>
                  <m:r>
                    <w:rPr>
                      <w:rFonts w:ascii="Cambria Math" w:hAnsi="Cambria Math"/>
                    </w:rPr>
                    <m:t>Φ</m:t>
                  </m:r>
                </m:e>
                <m:sub>
                  <m:r>
                    <m:rPr>
                      <m:sty m:val="p"/>
                    </m:rPr>
                    <w:rPr>
                      <w:rFonts w:ascii="Cambria Math" w:hAnsi="Cambria Math"/>
                    </w:rPr>
                    <m:t>Luft</m:t>
                  </m:r>
                </m:sub>
              </m:sSub>
            </m:num>
            <m:den>
              <m:r>
                <w:rPr>
                  <w:rFonts w:ascii="Cambria Math" w:hAnsi="Cambria Math"/>
                </w:rPr>
                <m:t>S</m:t>
              </m:r>
            </m:den>
          </m:f>
        </m:oMath>
      </m:oMathPara>
    </w:p>
    <w:p>
      <w:r>
        <w:t xml:space="preserve">Einsetzen von </w:t>
      </w:r>
      <m:oMath xmlns:m="http://schemas.openxmlformats.org/officeDocument/2006/math">
        <m:sSub>
          <m:e>
            <m:r>
              <w:rPr>
                <w:rFonts w:ascii="Cambria Math" w:hAnsi="Cambria Math"/>
              </w:rPr>
              <m:t>θ</m:t>
            </m:r>
          </m:e>
          <m:sub>
            <m:r>
              <m:rPr>
                <m:sty m:val="p"/>
              </m:rPr>
              <w:rPr>
                <w:rFonts w:ascii="Cambria Math" w:hAnsi="Cambria Math"/>
              </w:rPr>
              <m:t>s</m:t>
            </m:r>
          </m:sub>
        </m:sSub>
        <m:r>
          <w:rPr>
            <w:rFonts w:ascii="Cambria Math" w:hAnsi="Cambria Math"/>
          </w:rPr>
          <m:t>=</m:t>
        </m:r>
        <m:sSup>
          <m:e>
            <m:r>
              <m:rPr>
                <m:sty m:val="b"/>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r>
          <m:rPr>
            <m:sty m:val="b"/>
          </m:rP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v</m:t>
        </m:r>
        <m:r>
          <w:rPr>
            <w:rFonts w:ascii="Cambria Math" w:hAnsi="Cambria Math"/>
          </w:rPr>
          <m:t>)</m:t>
        </m:r>
      </m:oMath>
      <w:r>
        <w:t xml:space="preserve"> mit </w:t>
      </w:r>
      <m:oMath xmlns:m="http://schemas.openxmlformats.org/officeDocument/2006/math">
        <m:r>
          <m:rPr>
            <m:sty m:val="b"/>
          </m:rPr>
          <w:rPr>
            <w:rFonts w:ascii="Cambria Math" w:hAnsi="Cambria Math"/>
          </w:rPr>
          <m:t>K</m:t>
        </m:r>
        <m:r>
          <w:rPr>
            <w:rFonts w:ascii="Cambria Math" w:hAnsi="Cambria Math"/>
          </w:rPr>
          <m:t>=</m:t>
        </m:r>
        <m:func>
          <m:fName>
            <m:r>
              <m:rPr>
                <m:sty m:val="p"/>
              </m:rPr>
              <w:rPr>
                <w:rFonts w:ascii="Cambria Math" w:hAnsi="Cambria Math"/>
              </w:rPr>
              <m:t>diag</m:t>
            </m:r>
          </m:fName>
          <m:e>
            <m:r>
              <w:rPr>
                <w:rFonts w:ascii="Cambria Math" w:hAnsi="Cambria Math"/>
              </w:rPr>
              <m:t>(</m:t>
            </m:r>
          </m:e>
        </m:func>
        <m:sSub>
          <m:e>
            <m:r>
              <w:rPr>
                <w:rFonts w:ascii="Cambria Math" w:hAnsi="Cambria Math"/>
              </w:rPr>
              <m:t>G</m:t>
            </m:r>
          </m:e>
          <m:sub>
            <m:r>
              <w:rPr>
                <w:rFonts w:ascii="Cambria Math" w:hAnsi="Cambria Math"/>
              </w:rPr>
              <m:t>1</m:t>
            </m:r>
          </m:sub>
        </m:sSub>
        <m:r>
          <w:rPr>
            <w:rFonts w:ascii="Cambria Math" w:hAnsi="Cambria Math"/>
          </w:rPr>
          <m:t>,</m:t>
        </m:r>
        <m:sSub>
          <m:e>
            <m:r>
              <w:rPr>
                <w:rFonts w:ascii="Cambria Math" w:hAnsi="Cambria Math"/>
              </w:rPr>
              <m:t>G</m:t>
            </m:r>
          </m:e>
          <m:sub>
            <m:r>
              <w:rPr>
                <w:rFonts w:ascii="Cambria Math" w:hAnsi="Cambria Math"/>
              </w:rPr>
              <m:t>2</m:t>
            </m:r>
          </m:sub>
        </m:sSub>
        <m:r>
          <w:rPr>
            <w:rFonts w:ascii="Cambria Math" w:hAnsi="Cambria Math"/>
          </w:rPr>
          <m:t>)</m:t>
        </m:r>
      </m:oMath>
      <w:r>
        <w:t xml:space="preserve"> liefert </w:t>
      </w:r>
      <m:oMath xmlns:m="http://schemas.openxmlformats.org/officeDocument/2006/math">
        <m:f>
          <m:num>
            <m:r>
              <m:rPr>
                <m:sty m:val="p"/>
              </m:rPr>
              <w:rPr>
                <w:rFonts w:ascii="Cambria Math" w:hAnsi="Cambria Math"/>
              </w:rPr>
              <m:t>d</m:t>
            </m:r>
            <m:r>
              <w:rPr>
                <w:rFonts w:ascii="Cambria Math" w:hAnsi="Cambria Math"/>
              </w:rPr>
              <m:t>x</m:t>
            </m:r>
          </m:num>
          <m:den>
            <m:r>
              <m:rPr>
                <m:sty m:val="p"/>
              </m:rPr>
              <w:rPr>
                <w:rFonts w:ascii="Cambria Math" w:hAnsi="Cambria Math"/>
              </w:rPr>
              <m:t>d</m:t>
            </m:r>
            <m:r>
              <w:rPr>
                <w:rFonts w:ascii="Cambria Math" w:hAnsi="Cambria Math"/>
              </w:rPr>
              <m:t>t</m:t>
            </m:r>
          </m:den>
        </m:f>
        <m:r>
          <w:rPr>
            <w:rFonts w:ascii="Cambria Math" w:hAnsi="Cambria Math"/>
          </w:rPr>
          <m:t>=</m:t>
        </m:r>
        <m:r>
          <m:rPr>
            <m:sty m:val="b"/>
          </m:rPr>
          <w:rPr>
            <w:rFonts w:ascii="Cambria Math" w:hAnsi="Cambria Math"/>
          </w:rPr>
          <m:t>A</m:t>
        </m:r>
        <m:r>
          <w:rPr>
            <w:rFonts w:ascii="Cambria Math" w:hAnsi="Cambria Math"/>
          </w:rPr>
          <m:t>⋅</m:t>
        </m:r>
        <m:r>
          <w:rPr>
            <w:rFonts w:ascii="Cambria Math" w:hAnsi="Cambria Math"/>
          </w:rPr>
          <m:t>x</m:t>
        </m:r>
        <m:r>
          <w:rPr>
            <w:rFonts w:ascii="Cambria Math" w:hAnsi="Cambria Math"/>
          </w:rPr>
          <m:t>+</m:t>
        </m:r>
        <m:r>
          <w:rPr>
            <w:rFonts w:ascii="Cambria Math" w:hAnsi="Cambria Math"/>
          </w:rPr>
          <m:t>b</m:t>
        </m:r>
      </m:oMath>
      <w:r>
        <w:t xml:space="preserve">:</w:t>
      </w:r>
    </w:p>
    <w:p>
      <w:pPr>
        <w:pStyle w:val="Formelblock"/>
      </w:pPr>
      <m:oMathPara xmlns:m="http://schemas.openxmlformats.org/officeDocument/2006/math">
        <m:oMathParaPr>
          <m:jc m:val="center"/>
        </m:oMathParaPr>
        <m:oMath>
          <m:sSub>
            <m:e>
              <m:r>
                <w:rPr>
                  <w:rFonts w:ascii="Cambria Math" w:hAnsi="Cambria Math"/>
                </w:rPr>
                <m:t>A</m:t>
              </m:r>
            </m:e>
            <m:sub>
              <m:r>
                <w:rPr>
                  <w:rFonts w:ascii="Cambria Math" w:hAnsi="Cambria Math"/>
                </w:rPr>
                <m:t>1</m:t>
              </m:r>
              <m:r>
                <w:rPr>
                  <w:rFonts w:ascii="Cambria Math" w:hAnsi="Cambria Math"/>
                </w:rPr>
                <m:t>1</m:t>
              </m:r>
            </m:sub>
          </m:sSub>
          <m:r>
            <w:rPr>
              <w:rFonts w:ascii="Cambria Math" w:hAnsi="Cambria Math"/>
            </w:rPr>
            <m:t>=</m:t>
          </m:r>
          <m:f>
            <m:num>
              <m:r>
                <w:rPr>
                  <w:rFonts w:ascii="Cambria Math" w:hAnsi="Cambria Math"/>
                </w:rPr>
                <m:t>(</m:t>
              </m:r>
              <m:r>
                <m:rPr>
                  <m:sty m:val="b"/>
                </m:rPr>
                <w:rPr>
                  <w:rFonts w:ascii="Cambria Math" w:hAnsi="Cambria Math"/>
                </w:rPr>
                <m:t>K</m:t>
              </m:r>
              <m:r>
                <w:rPr>
                  <w:rFonts w:ascii="Cambria Math" w:hAnsi="Cambria Math"/>
                </w:rPr>
                <m:t>⋅</m:t>
              </m:r>
              <m:sSup>
                <m:e>
                  <m:r>
                    <m:rPr>
                      <m:sty m:val="b"/>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r>
                <m:rPr>
                  <m:sty m:val="b"/>
                </m:rPr>
                <w:rPr>
                  <w:rFonts w:ascii="Cambria Math" w:hAnsi="Cambria Math"/>
                </w:rPr>
                <m:t>K</m:t>
              </m:r>
              <m:sSub>
                <m:e>
                  <m:r>
                    <w:rPr>
                      <w:rFonts w:ascii="Cambria Math" w:hAnsi="Cambria Math"/>
                    </w:rPr>
                    <m:t>)</m:t>
                  </m:r>
                </m:e>
                <m:sub>
                  <m:r>
                    <w:rPr>
                      <w:rFonts w:ascii="Cambria Math" w:hAnsi="Cambria Math"/>
                    </w:rPr>
                    <m:t>1</m:t>
                  </m:r>
                  <m:r>
                    <w:rPr>
                      <w:rFonts w:ascii="Cambria Math" w:hAnsi="Cambria Math"/>
                    </w:rPr>
                    <m:t>1</m:t>
                  </m:r>
                </m:sub>
              </m:sSub>
              <m:r>
                <w:rPr>
                  <w:rFonts w:ascii="Cambria Math" w:hAnsi="Cambria Math"/>
                </w:rPr>
                <m:t>-</m:t>
              </m:r>
              <m:r>
                <w:rPr>
                  <w:rFonts w:ascii="Cambria Math" w:hAnsi="Cambria Math"/>
                </w:rPr>
                <m:t>(</m:t>
              </m:r>
              <m:sSub>
                <m:e>
                  <m:r>
                    <w:rPr>
                      <w:rFonts w:ascii="Cambria Math" w:hAnsi="Cambria Math"/>
                    </w:rPr>
                    <m:t>G</m:t>
                  </m:r>
                </m:e>
                <m:sub>
                  <m:r>
                    <w:rPr>
                      <w:rFonts w:ascii="Cambria Math" w:hAnsi="Cambria Math"/>
                    </w:rPr>
                    <m:t>1</m:t>
                  </m:r>
                </m:sub>
              </m:sSub>
              <m:r>
                <w:rPr>
                  <w:rFonts w:ascii="Cambria Math" w:hAnsi="Cambria Math"/>
                </w:rPr>
                <m:t>+</m:t>
              </m:r>
              <m:sSub>
                <m:e>
                  <m:r>
                    <w:rPr>
                      <w:rFonts w:ascii="Cambria Math" w:hAnsi="Cambria Math"/>
                    </w:rPr>
                    <m:t>G</m:t>
                  </m:r>
                </m:e>
                <m:sub>
                  <m:r>
                    <m:rPr>
                      <m:sty m:val="p"/>
                    </m:rPr>
                    <w:rPr>
                      <w:rFonts w:ascii="Cambria Math" w:hAnsi="Cambria Math"/>
                    </w:rPr>
                    <m:t>Rest</m:t>
                  </m:r>
                </m:sub>
              </m:sSub>
              <m:r>
                <w:rPr>
                  <w:rFonts w:ascii="Cambria Math" w:hAnsi="Cambria Math"/>
                </w:rPr>
                <m:t>)</m:t>
              </m:r>
            </m:num>
            <m:den>
              <m:sSub>
                <m:e>
                  <m:r>
                    <w:rPr>
                      <w:rFonts w:ascii="Cambria Math" w:hAnsi="Cambria Math"/>
                    </w:rPr>
                    <m:t>C</m:t>
                  </m:r>
                </m:e>
                <m:sub>
                  <m:r>
                    <m:rPr>
                      <m:sty m:val="p"/>
                    </m:rPr>
                    <w:rPr>
                      <w:rFonts w:ascii="Cambria Math" w:hAnsi="Cambria Math"/>
                    </w:rPr>
                    <m:t>AW</m:t>
                  </m:r>
                </m:sub>
              </m:sSub>
            </m:den>
          </m:f>
        </m:oMath>
      </m:oMathPara>
    </w:p>
    <w:p>
      <w:pPr>
        <w:pStyle w:val="Formelblock"/>
      </w:pPr>
      <m:oMathPara xmlns:m="http://schemas.openxmlformats.org/officeDocument/2006/math">
        <m:oMathParaPr>
          <m:jc m:val="center"/>
        </m:oMathParaPr>
        <m:oMath>
          <m:sSub>
            <m:e>
              <m:r>
                <w:rPr>
                  <w:rFonts w:ascii="Cambria Math" w:hAnsi="Cambria Math"/>
                </w:rPr>
                <m:t>A</m:t>
              </m:r>
            </m:e>
            <m:sub>
              <m:r>
                <w:rPr>
                  <w:rFonts w:ascii="Cambria Math" w:hAnsi="Cambria Math"/>
                </w:rPr>
                <m:t>1</m:t>
              </m:r>
              <m:r>
                <w:rPr>
                  <w:rFonts w:ascii="Cambria Math" w:hAnsi="Cambria Math"/>
                </w:rPr>
                <m:t>2</m:t>
              </m:r>
            </m:sub>
          </m:sSub>
          <m:r>
            <w:rPr>
              <w:rFonts w:ascii="Cambria Math" w:hAnsi="Cambria Math"/>
            </w:rPr>
            <m:t>=</m:t>
          </m:r>
          <m:f>
            <m:num>
              <m:r>
                <w:rPr>
                  <w:rFonts w:ascii="Cambria Math" w:hAnsi="Cambria Math"/>
                </w:rPr>
                <m:t>(</m:t>
              </m:r>
              <m:r>
                <m:rPr>
                  <m:sty m:val="b"/>
                </m:rPr>
                <w:rPr>
                  <w:rFonts w:ascii="Cambria Math" w:hAnsi="Cambria Math"/>
                </w:rPr>
                <m:t>K</m:t>
              </m:r>
              <m:r>
                <w:rPr>
                  <w:rFonts w:ascii="Cambria Math" w:hAnsi="Cambria Math"/>
                </w:rPr>
                <m:t>⋅</m:t>
              </m:r>
              <m:sSup>
                <m:e>
                  <m:r>
                    <m:rPr>
                      <m:sty m:val="b"/>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r>
                <m:rPr>
                  <m:sty m:val="b"/>
                </m:rPr>
                <w:rPr>
                  <w:rFonts w:ascii="Cambria Math" w:hAnsi="Cambria Math"/>
                </w:rPr>
                <m:t>K</m:t>
              </m:r>
              <m:sSub>
                <m:e>
                  <m:r>
                    <w:rPr>
                      <w:rFonts w:ascii="Cambria Math" w:hAnsi="Cambria Math"/>
                    </w:rPr>
                    <m:t>)</m:t>
                  </m:r>
                </m:e>
                <m:sub>
                  <m:r>
                    <w:rPr>
                      <w:rFonts w:ascii="Cambria Math" w:hAnsi="Cambria Math"/>
                    </w:rPr>
                    <m:t>1</m:t>
                  </m:r>
                  <m:r>
                    <w:rPr>
                      <w:rFonts w:ascii="Cambria Math" w:hAnsi="Cambria Math"/>
                    </w:rPr>
                    <m:t>2</m:t>
                  </m:r>
                </m:sub>
              </m:sSub>
            </m:num>
            <m:den>
              <m:sSub>
                <m:e>
                  <m:r>
                    <w:rPr>
                      <w:rFonts w:ascii="Cambria Math" w:hAnsi="Cambria Math"/>
                    </w:rPr>
                    <m:t>C</m:t>
                  </m:r>
                </m:e>
                <m:sub>
                  <m:r>
                    <m:rPr>
                      <m:sty m:val="p"/>
                    </m:rPr>
                    <w:rPr>
                      <w:rFonts w:ascii="Cambria Math" w:hAnsi="Cambria Math"/>
                    </w:rPr>
                    <m:t>AW</m:t>
                  </m:r>
                </m:sub>
              </m:sSub>
            </m:den>
          </m:f>
        </m:oMath>
      </m:oMathPara>
    </w:p>
    <w:p>
      <w:pPr>
        <w:pStyle w:val="Formelblock"/>
      </w:pPr>
      <m:oMathPara xmlns:m="http://schemas.openxmlformats.org/officeDocument/2006/math">
        <m:oMathParaPr>
          <m:jc m:val="center"/>
        </m:oMathParaPr>
        <m:oMath>
          <m:sSub>
            <m:e>
              <m:r>
                <w:rPr>
                  <w:rFonts w:ascii="Cambria Math" w:hAnsi="Cambria Math"/>
                </w:rPr>
                <m:t>A</m:t>
              </m:r>
            </m:e>
            <m:sub>
              <m:r>
                <w:rPr>
                  <w:rFonts w:ascii="Cambria Math" w:hAnsi="Cambria Math"/>
                </w:rPr>
                <m:t>2</m:t>
              </m:r>
              <m:r>
                <w:rPr>
                  <w:rFonts w:ascii="Cambria Math" w:hAnsi="Cambria Math"/>
                </w:rPr>
                <m:t>1</m:t>
              </m:r>
            </m:sub>
          </m:sSub>
          <m:r>
            <w:rPr>
              <w:rFonts w:ascii="Cambria Math" w:hAnsi="Cambria Math"/>
            </w:rPr>
            <m:t>=</m:t>
          </m:r>
          <m:f>
            <m:num>
              <m:r>
                <w:rPr>
                  <w:rFonts w:ascii="Cambria Math" w:hAnsi="Cambria Math"/>
                </w:rPr>
                <m:t>(</m:t>
              </m:r>
              <m:r>
                <m:rPr>
                  <m:sty m:val="b"/>
                </m:rPr>
                <w:rPr>
                  <w:rFonts w:ascii="Cambria Math" w:hAnsi="Cambria Math"/>
                </w:rPr>
                <m:t>K</m:t>
              </m:r>
              <m:r>
                <w:rPr>
                  <w:rFonts w:ascii="Cambria Math" w:hAnsi="Cambria Math"/>
                </w:rPr>
                <m:t>⋅</m:t>
              </m:r>
              <m:sSup>
                <m:e>
                  <m:r>
                    <m:rPr>
                      <m:sty m:val="b"/>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r>
                <m:rPr>
                  <m:sty m:val="b"/>
                </m:rPr>
                <w:rPr>
                  <w:rFonts w:ascii="Cambria Math" w:hAnsi="Cambria Math"/>
                </w:rPr>
                <m:t>K</m:t>
              </m:r>
              <m:sSub>
                <m:e>
                  <m:r>
                    <w:rPr>
                      <w:rFonts w:ascii="Cambria Math" w:hAnsi="Cambria Math"/>
                    </w:rPr>
                    <m:t>)</m:t>
                  </m:r>
                </m:e>
                <m:sub>
                  <m:r>
                    <w:rPr>
                      <w:rFonts w:ascii="Cambria Math" w:hAnsi="Cambria Math"/>
                    </w:rPr>
                    <m:t>2</m:t>
                  </m:r>
                  <m:r>
                    <w:rPr>
                      <w:rFonts w:ascii="Cambria Math" w:hAnsi="Cambria Math"/>
                    </w:rPr>
                    <m:t>1</m:t>
                  </m:r>
                </m:sub>
              </m:sSub>
            </m:num>
            <m:den>
              <m:sSub>
                <m:e>
                  <m:r>
                    <w:rPr>
                      <w:rFonts w:ascii="Cambria Math" w:hAnsi="Cambria Math"/>
                    </w:rPr>
                    <m:t>C</m:t>
                  </m:r>
                </m:e>
                <m:sub>
                  <m:r>
                    <m:rPr>
                      <m:sty m:val="p"/>
                    </m:rPr>
                    <w:rPr>
                      <w:rFonts w:ascii="Cambria Math" w:hAnsi="Cambria Math"/>
                    </w:rPr>
                    <m:t>IW</m:t>
                  </m:r>
                </m:sub>
              </m:sSub>
            </m:den>
          </m:f>
        </m:oMath>
      </m:oMathPara>
    </w:p>
    <w:p>
      <w:pPr>
        <w:pStyle w:val="Formelblock"/>
      </w:pPr>
      <m:oMathPara xmlns:m="http://schemas.openxmlformats.org/officeDocument/2006/math">
        <m:oMathParaPr>
          <m:jc m:val="center"/>
        </m:oMathParaPr>
        <m:oMath>
          <m:sSub>
            <m:e>
              <m:r>
                <w:rPr>
                  <w:rFonts w:ascii="Cambria Math" w:hAnsi="Cambria Math"/>
                </w:rPr>
                <m:t>A</m:t>
              </m:r>
            </m:e>
            <m:sub>
              <m:r>
                <w:rPr>
                  <w:rFonts w:ascii="Cambria Math" w:hAnsi="Cambria Math"/>
                </w:rPr>
                <m:t>2</m:t>
              </m:r>
              <m:r>
                <w:rPr>
                  <w:rFonts w:ascii="Cambria Math" w:hAnsi="Cambria Math"/>
                </w:rPr>
                <m:t>2</m:t>
              </m:r>
            </m:sub>
          </m:sSub>
          <m:r>
            <w:rPr>
              <w:rFonts w:ascii="Cambria Math" w:hAnsi="Cambria Math"/>
            </w:rPr>
            <m:t>=</m:t>
          </m:r>
          <m:f>
            <m:num>
              <m:r>
                <w:rPr>
                  <w:rFonts w:ascii="Cambria Math" w:hAnsi="Cambria Math"/>
                </w:rPr>
                <m:t>(</m:t>
              </m:r>
              <m:r>
                <m:rPr>
                  <m:sty m:val="b"/>
                </m:rPr>
                <w:rPr>
                  <w:rFonts w:ascii="Cambria Math" w:hAnsi="Cambria Math"/>
                </w:rPr>
                <m:t>K</m:t>
              </m:r>
              <m:r>
                <w:rPr>
                  <w:rFonts w:ascii="Cambria Math" w:hAnsi="Cambria Math"/>
                </w:rPr>
                <m:t>⋅</m:t>
              </m:r>
              <m:sSup>
                <m:e>
                  <m:r>
                    <m:rPr>
                      <m:sty m:val="b"/>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r>
                <m:rPr>
                  <m:sty m:val="b"/>
                </m:rPr>
                <w:rPr>
                  <w:rFonts w:ascii="Cambria Math" w:hAnsi="Cambria Math"/>
                </w:rPr>
                <m:t>K</m:t>
              </m:r>
              <m:sSub>
                <m:e>
                  <m:r>
                    <w:rPr>
                      <w:rFonts w:ascii="Cambria Math" w:hAnsi="Cambria Math"/>
                    </w:rPr>
                    <m:t>)</m:t>
                  </m:r>
                </m:e>
                <m:sub>
                  <m:r>
                    <w:rPr>
                      <w:rFonts w:ascii="Cambria Math" w:hAnsi="Cambria Math"/>
                    </w:rPr>
                    <m:t>2</m:t>
                  </m:r>
                  <m:r>
                    <w:rPr>
                      <w:rFonts w:ascii="Cambria Math" w:hAnsi="Cambria Math"/>
                    </w:rPr>
                    <m:t>2</m:t>
                  </m:r>
                </m:sub>
              </m:sSub>
              <m:r>
                <w:rPr>
                  <w:rFonts w:ascii="Cambria Math" w:hAnsi="Cambria Math"/>
                </w:rPr>
                <m:t>-</m:t>
              </m:r>
              <m:sSub>
                <m:e>
                  <m:r>
                    <w:rPr>
                      <w:rFonts w:ascii="Cambria Math" w:hAnsi="Cambria Math"/>
                    </w:rPr>
                    <m:t>G</m:t>
                  </m:r>
                </m:e>
                <m:sub>
                  <m:r>
                    <w:rPr>
                      <w:rFonts w:ascii="Cambria Math" w:hAnsi="Cambria Math"/>
                    </w:rPr>
                    <m:t>2</m:t>
                  </m:r>
                </m:sub>
              </m:sSub>
            </m:num>
            <m:den>
              <m:sSub>
                <m:e>
                  <m:r>
                    <w:rPr>
                      <w:rFonts w:ascii="Cambria Math" w:hAnsi="Cambria Math"/>
                    </w:rPr>
                    <m:t>C</m:t>
                  </m:r>
                </m:e>
                <m:sub>
                  <m:r>
                    <m:rPr>
                      <m:sty m:val="p"/>
                    </m:rPr>
                    <w:rPr>
                      <w:rFonts w:ascii="Cambria Math" w:hAnsi="Cambria Math"/>
                    </w:rPr>
                    <m:t>IW</m:t>
                  </m:r>
                </m:sub>
              </m:sSub>
            </m:den>
          </m:f>
        </m:oMath>
      </m:oMathPara>
    </w:p>
    <w:p>
      <w:pPr>
        <w:pStyle w:val="Formelblock"/>
      </w:pPr>
      <m:oMathPara xmlns:m="http://schemas.openxmlformats.org/officeDocument/2006/math">
        <m:oMathParaPr>
          <m:jc m:val="center"/>
        </m:oMathParaPr>
        <m:oMath>
          <m:sSub>
            <m:e>
              <m:r>
                <w:rPr>
                  <w:rFonts w:ascii="Cambria Math" w:hAnsi="Cambria Math"/>
                </w:rPr>
                <m:t>b</m:t>
              </m:r>
            </m:e>
            <m:sub>
              <m:r>
                <w:rPr>
                  <w:rFonts w:ascii="Cambria Math" w:hAnsi="Cambria Math"/>
                </w:rPr>
                <m:t>1</m:t>
              </m:r>
            </m:sub>
          </m:sSub>
          <m:r>
            <w:rPr>
              <w:rFonts w:ascii="Cambria Math" w:hAnsi="Cambria Math"/>
            </w:rPr>
            <m:t>=</m:t>
          </m:r>
          <m:f>
            <m:num>
              <m:r>
                <w:rPr>
                  <w:rFonts w:ascii="Cambria Math" w:hAnsi="Cambria Math"/>
                </w:rPr>
                <m:t>(</m:t>
              </m:r>
              <m:r>
                <m:rPr>
                  <m:sty m:val="b"/>
                </m:rPr>
                <w:rPr>
                  <w:rFonts w:ascii="Cambria Math" w:hAnsi="Cambria Math"/>
                </w:rPr>
                <m:t>K</m:t>
              </m:r>
              <m:r>
                <w:rPr>
                  <w:rFonts w:ascii="Cambria Math" w:hAnsi="Cambria Math"/>
                </w:rPr>
                <m:t>⋅</m:t>
              </m:r>
              <m:sSup>
                <m:e>
                  <m:r>
                    <m:rPr>
                      <m:sty m:val="b"/>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r>
                <w:rPr>
                  <w:rFonts w:ascii="Cambria Math" w:hAnsi="Cambria Math"/>
                </w:rPr>
                <m:t>v</m:t>
              </m:r>
              <m:sSub>
                <m:e>
                  <m:r>
                    <w:rPr>
                      <w:rFonts w:ascii="Cambria Math" w:hAnsi="Cambria Math"/>
                    </w:rPr>
                    <m:t>)</m:t>
                  </m:r>
                </m:e>
                <m:sub>
                  <m:r>
                    <w:rPr>
                      <w:rFonts w:ascii="Cambria Math" w:hAnsi="Cambria Math"/>
                    </w:rPr>
                    <m:t>1</m:t>
                  </m:r>
                </m:sub>
              </m:sSub>
              <m:r>
                <w:rPr>
                  <w:rFonts w:ascii="Cambria Math" w:hAnsi="Cambria Math"/>
                </w:rPr>
                <m:t>+</m:t>
              </m:r>
              <m:sSub>
                <m:e>
                  <m:r>
                    <w:rPr>
                      <w:rFonts w:ascii="Cambria Math" w:hAnsi="Cambria Math"/>
                    </w:rPr>
                    <m:t>G</m:t>
                  </m:r>
                </m:e>
                <m:sub>
                  <m:r>
                    <m:rPr>
                      <m:sty m:val="p"/>
                    </m:rPr>
                    <w:rPr>
                      <w:rFonts w:ascii="Cambria Math" w:hAnsi="Cambria Math"/>
                    </w:rPr>
                    <m:t>Rest</m:t>
                  </m:r>
                </m:sub>
              </m:sSub>
              <m:r>
                <w:rPr>
                  <w:rFonts w:ascii="Cambria Math" w:hAnsi="Cambria Math"/>
                </w:rPr>
                <m:t>⋅</m:t>
              </m:r>
              <m:sSub>
                <m:e>
                  <m:r>
                    <w:rPr>
                      <w:rFonts w:ascii="Cambria Math" w:hAnsi="Cambria Math"/>
                    </w:rPr>
                    <m:t>θ</m:t>
                  </m:r>
                </m:e>
                <m:sub>
                  <m:r>
                    <m:rPr>
                      <m:sty m:val="p"/>
                    </m:rPr>
                    <w:rPr>
                      <w:rFonts w:ascii="Cambria Math" w:hAnsi="Cambria Math"/>
                    </w:rPr>
                    <m:t>eq</m:t>
                  </m:r>
                </m:sub>
              </m:sSub>
            </m:num>
            <m:den>
              <m:sSub>
                <m:e>
                  <m:r>
                    <w:rPr>
                      <w:rFonts w:ascii="Cambria Math" w:hAnsi="Cambria Math"/>
                    </w:rPr>
                    <m:t>C</m:t>
                  </m:r>
                </m:e>
                <m:sub>
                  <m:r>
                    <m:rPr>
                      <m:sty m:val="p"/>
                    </m:rPr>
                    <w:rPr>
                      <w:rFonts w:ascii="Cambria Math" w:hAnsi="Cambria Math"/>
                    </w:rPr>
                    <m:t>AW</m:t>
                  </m:r>
                </m:sub>
              </m:sSub>
            </m:den>
          </m:f>
        </m:oMath>
      </m:oMathPara>
    </w:p>
    <w:p>
      <w:pPr>
        <w:pStyle w:val="Formelblock"/>
      </w:pPr>
      <m:oMathPara xmlns:m="http://schemas.openxmlformats.org/officeDocument/2006/math">
        <m:oMathParaPr>
          <m:jc m:val="center"/>
        </m:oMathParaPr>
        <m:oMath>
          <m:sSub>
            <m:e>
              <m:r>
                <w:rPr>
                  <w:rFonts w:ascii="Cambria Math" w:hAnsi="Cambria Math"/>
                </w:rPr>
                <m:t>b</m:t>
              </m:r>
            </m:e>
            <m:sub>
              <m:r>
                <w:rPr>
                  <w:rFonts w:ascii="Cambria Math" w:hAnsi="Cambria Math"/>
                </w:rPr>
                <m:t>2</m:t>
              </m:r>
            </m:sub>
          </m:sSub>
          <m:r>
            <w:rPr>
              <w:rFonts w:ascii="Cambria Math" w:hAnsi="Cambria Math"/>
            </w:rPr>
            <m:t>=</m:t>
          </m:r>
          <m:f>
            <m:num>
              <m:r>
                <w:rPr>
                  <w:rFonts w:ascii="Cambria Math" w:hAnsi="Cambria Math"/>
                </w:rPr>
                <m:t>(</m:t>
              </m:r>
              <m:r>
                <m:rPr>
                  <m:sty m:val="b"/>
                </m:rPr>
                <w:rPr>
                  <w:rFonts w:ascii="Cambria Math" w:hAnsi="Cambria Math"/>
                </w:rPr>
                <m:t>K</m:t>
              </m:r>
              <m:r>
                <w:rPr>
                  <w:rFonts w:ascii="Cambria Math" w:hAnsi="Cambria Math"/>
                </w:rPr>
                <m:t>⋅</m:t>
              </m:r>
              <m:sSup>
                <m:e>
                  <m:r>
                    <m:rPr>
                      <m:sty m:val="b"/>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r>
                <w:rPr>
                  <w:rFonts w:ascii="Cambria Math" w:hAnsi="Cambria Math"/>
                </w:rPr>
                <m:t>v</m:t>
              </m:r>
              <m:sSub>
                <m:e>
                  <m:r>
                    <w:rPr>
                      <w:rFonts w:ascii="Cambria Math" w:hAnsi="Cambria Math"/>
                    </w:rPr>
                    <m:t>)</m:t>
                  </m:r>
                </m:e>
                <m:sub>
                  <m:r>
                    <w:rPr>
                      <w:rFonts w:ascii="Cambria Math" w:hAnsi="Cambria Math"/>
                    </w:rPr>
                    <m:t>2</m:t>
                  </m:r>
                </m:sub>
              </m:sSub>
            </m:num>
            <m:den>
              <m:sSub>
                <m:e>
                  <m:r>
                    <w:rPr>
                      <w:rFonts w:ascii="Cambria Math" w:hAnsi="Cambria Math"/>
                    </w:rPr>
                    <m:t>C</m:t>
                  </m:r>
                </m:e>
                <m:sub>
                  <m:r>
                    <m:rPr>
                      <m:sty m:val="p"/>
                    </m:rPr>
                    <w:rPr>
                      <w:rFonts w:ascii="Cambria Math" w:hAnsi="Cambria Math"/>
                    </w:rPr>
                    <m:t>IW</m:t>
                  </m:r>
                </m:sub>
              </m:sSub>
            </m:den>
          </m:f>
        </m:oMath>
      </m:oMathPara>
    </w:p>
    <w:p>
      <w:r>
        <w:rPr>
          <w:b/>
        </w:rPr>
        <w:t xml:space="preserve">Die Nebendiagonale verschwindet nur ohne Strahlungskopplung und ohne gemeinsamen Luftknoten — eine diagonale Systemmatrix ist genau der Strukturfehler, den die Richtlinie ausschließt.</w:t>
      </w:r>
      <w:r>
        <w:t xml:space="preserve"> Beide Eigenwerte sind reell und negativ. Die Lufttemperatur folgt affin: </w:t>
      </w:r>
      <m:oMath xmlns:m="http://schemas.openxmlformats.org/officeDocument/2006/math">
        <m:sSub>
          <m:e>
            <m:r>
              <w:rPr>
                <w:rFonts w:ascii="Cambria Math" w:hAnsi="Cambria Math"/>
              </w:rPr>
              <m:t>θ</m:t>
            </m:r>
          </m:e>
          <m:sub>
            <m:r>
              <m:rPr>
                <m:sty m:val="p"/>
              </m:rPr>
              <w:rPr>
                <w:rFonts w:ascii="Cambria Math" w:hAnsi="Cambria Math"/>
              </w:rPr>
              <m:t>air</m:t>
            </m:r>
          </m:sub>
        </m:sSub>
        <m:r>
          <w:rPr>
            <w:rFonts w:ascii="Cambria Math" w:hAnsi="Cambria Math"/>
          </w:rPr>
          <m:t>=</m:t>
        </m:r>
        <m:sSub>
          <m:e>
            <m:r>
              <w:rPr>
                <w:rFonts w:ascii="Cambria Math" w:hAnsi="Cambria Math"/>
              </w:rPr>
              <m:t>c</m:t>
            </m:r>
          </m:e>
          <m:sub>
            <m:r>
              <m:rPr>
                <m:sty m:val="p"/>
              </m:rPr>
              <w:rPr>
                <w:rFonts w:ascii="Cambria Math" w:hAnsi="Cambria Math"/>
              </w:rPr>
              <m:t>air</m:t>
            </m:r>
          </m:sub>
        </m:sSub>
        <m:r>
          <w:rPr>
            <w:rFonts w:ascii="Cambria Math" w:hAnsi="Cambria Math"/>
          </w:rPr>
          <m:t>⋅</m:t>
        </m:r>
        <m:r>
          <w:rPr>
            <w:rFonts w:ascii="Cambria Math" w:hAnsi="Cambria Math"/>
          </w:rPr>
          <m:t>x</m:t>
        </m:r>
        <m:r>
          <w:rPr>
            <w:rFonts w:ascii="Cambria Math" w:hAnsi="Cambria Math"/>
          </w:rPr>
          <m:t>+</m:t>
        </m:r>
        <m:sSub>
          <m:e>
            <m:r>
              <w:rPr>
                <w:rFonts w:ascii="Cambria Math" w:hAnsi="Cambria Math"/>
              </w:rPr>
              <m:t>d</m:t>
            </m:r>
          </m:e>
          <m:sub>
            <m:r>
              <m:rPr>
                <m:sty m:val="p"/>
              </m:rPr>
              <w:rPr>
                <w:rFonts w:ascii="Cambria Math" w:hAnsi="Cambria Math"/>
              </w:rPr>
              <m:t>air</m:t>
            </m:r>
          </m:sub>
        </m:sSub>
      </m:oMath>
      <w:r>
        <w:t xml:space="preserve">.</w:t>
      </w:r>
    </w:p>
    <w:p>
      <w:r>
        <w:rPr>
          <w:b/>
        </w:rPr>
        <w:t xml:space="preserve">Fall 2 — ideale Regelung am Luftknoten.</w:t>
      </w:r>
      <w:r>
        <w:t xml:space="preserve"> Hält die Anlage </w:t>
      </w:r>
      <m:oMath xmlns:m="http://schemas.openxmlformats.org/officeDocument/2006/math">
        <m:sSub>
          <m:e>
            <m:r>
              <w:rPr>
                <w:rFonts w:ascii="Cambria Math" w:hAnsi="Cambria Math"/>
              </w:rPr>
              <m:t>θ</m:t>
            </m:r>
          </m:e>
          <m:sub>
            <m:r>
              <m:rPr>
                <m:sty m:val="p"/>
              </m:rPr>
              <w:rPr>
                <w:rFonts w:ascii="Cambria Math" w:hAnsi="Cambria Math"/>
              </w:rPr>
              <m:t>air</m:t>
            </m:r>
          </m:sub>
        </m:sSub>
        <m:r>
          <w:rPr>
            <w:rFonts w:ascii="Cambria Math" w:hAnsi="Cambria Math"/>
          </w:rPr>
          <m:t>=</m:t>
        </m:r>
        <m:sSub>
          <m:e>
            <m:r>
              <w:rPr>
                <w:rFonts w:ascii="Cambria Math" w:hAnsi="Cambria Math"/>
              </w:rPr>
              <m:t>θ</m:t>
            </m:r>
          </m:e>
          <m:sub>
            <m:r>
              <m:rPr>
                <m:sty m:val="p"/>
              </m:rPr>
              <w:rPr>
                <w:rFonts w:ascii="Cambria Math" w:hAnsi="Cambria Math"/>
              </w:rPr>
              <m:t>soll</m:t>
            </m:r>
          </m:sub>
        </m:sSub>
      </m:oMath>
      <w:r>
        <w:t xml:space="preserve"> durchgehend, entfällt die Luftbilanz als Bestimmungsgleichung und wird zur Leistungsgleichung:</w:t>
      </w:r>
    </w:p>
    <w:p>
      <w:pPr>
        <w:pStyle w:val="Formelblock"/>
      </w:pPr>
      <m:oMathPara xmlns:m="http://schemas.openxmlformats.org/officeDocument/2006/math">
        <m:oMathParaPr>
          <m:jc m:val="center"/>
        </m:oMathParaPr>
        <m:oMath>
          <m:sSub>
            <m:e>
              <m:r>
                <w:rPr>
                  <w:rFonts w:ascii="Cambria Math" w:hAnsi="Cambria Math"/>
                </w:rPr>
                <m:t>N</m:t>
              </m:r>
            </m:e>
            <m:sub>
              <m:r>
                <w:rPr>
                  <w:rFonts w:ascii="Cambria Math" w:hAnsi="Cambria Math"/>
                </w:rPr>
                <m:t>1</m:t>
              </m:r>
              <m:r>
                <w:rPr>
                  <w:rFonts w:ascii="Cambria Math" w:hAnsi="Cambria Math"/>
                </w:rPr>
                <m:t>1</m:t>
              </m:r>
            </m:sub>
          </m:sSub>
          <m:r>
            <w:rPr>
              <w:rFonts w:ascii="Cambria Math" w:hAnsi="Cambria Math"/>
            </w:rPr>
            <m:t>=</m:t>
          </m:r>
          <m:sSub>
            <m:e>
              <m:r>
                <w:rPr>
                  <w:rFonts w:ascii="Cambria Math" w:hAnsi="Cambria Math"/>
                </w:rPr>
                <m:t>G</m:t>
              </m:r>
            </m:e>
            <m:sub>
              <m:r>
                <w:rPr>
                  <w:rFonts w:ascii="Cambria Math" w:hAnsi="Cambria Math"/>
                </w:rPr>
                <m:t>1</m:t>
              </m:r>
            </m:sub>
          </m:sSub>
          <m:r>
            <w:rPr>
              <w:rFonts w:ascii="Cambria Math" w:hAnsi="Cambria Math"/>
            </w:rPr>
            <m:t>+</m:t>
          </m:r>
          <m:sSub>
            <m:e>
              <m:r>
                <w:rPr>
                  <w:rFonts w:ascii="Cambria Math" w:hAnsi="Cambria Math"/>
                </w:rPr>
                <m:t>G</m:t>
              </m:r>
            </m:e>
            <m:sub>
              <m:r>
                <m:rPr>
                  <m:sty m:val="p"/>
                </m:rPr>
                <w:rPr>
                  <w:rFonts w:ascii="Cambria Math" w:hAnsi="Cambria Math"/>
                </w:rPr>
                <m:t>rad</m:t>
              </m:r>
            </m:sub>
          </m:sSub>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 xml:space="preserve"> </m:t>
          </m:r>
          <m:r>
            <w:rPr>
              <w:rFonts w:ascii="Cambria Math" w:hAnsi="Cambria Math"/>
            </w:rPr>
            <m:t xml:space="preserve"> </m:t>
          </m:r>
          <m:sSub>
            <m:e>
              <m:r>
                <w:rPr>
                  <w:rFonts w:ascii="Cambria Math" w:hAnsi="Cambria Math"/>
                </w:rPr>
                <m:t>N</m:t>
              </m:r>
            </m:e>
            <m:sub>
              <m:r>
                <w:rPr>
                  <w:rFonts w:ascii="Cambria Math" w:hAnsi="Cambria Math"/>
                </w:rPr>
                <m:t>2</m:t>
              </m:r>
              <m:r>
                <w:rPr>
                  <w:rFonts w:ascii="Cambria Math" w:hAnsi="Cambria Math"/>
                </w:rPr>
                <m:t>2</m:t>
              </m:r>
            </m:sub>
          </m:sSub>
          <m:r>
            <w:rPr>
              <w:rFonts w:ascii="Cambria Math" w:hAnsi="Cambria Math"/>
            </w:rPr>
            <m:t>=</m:t>
          </m:r>
          <m:sSub>
            <m:e>
              <m:r>
                <w:rPr>
                  <w:rFonts w:ascii="Cambria Math" w:hAnsi="Cambria Math"/>
                </w:rPr>
                <m:t>G</m:t>
              </m:r>
            </m:e>
            <m:sub>
              <m:r>
                <w:rPr>
                  <w:rFonts w:ascii="Cambria Math" w:hAnsi="Cambria Math"/>
                </w:rPr>
                <m:t>2</m:t>
              </m:r>
            </m:sub>
          </m:sSub>
          <m:r>
            <w:rPr>
              <w:rFonts w:ascii="Cambria Math" w:hAnsi="Cambria Math"/>
            </w:rPr>
            <m:t>+</m:t>
          </m:r>
          <m:sSub>
            <m:e>
              <m:r>
                <w:rPr>
                  <w:rFonts w:ascii="Cambria Math" w:hAnsi="Cambria Math"/>
                </w:rPr>
                <m:t>G</m:t>
              </m:r>
            </m:e>
            <m:sub>
              <m:r>
                <m:rPr>
                  <m:sty m:val="p"/>
                </m:rPr>
                <w:rPr>
                  <w:rFonts w:ascii="Cambria Math" w:hAnsi="Cambria Math"/>
                </w:rPr>
                <m:t>rad</m:t>
              </m:r>
            </m:sub>
          </m:sSub>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 xml:space="preserve"> </m:t>
          </m:r>
          <m:r>
            <w:rPr>
              <w:rFonts w:ascii="Cambria Math" w:hAnsi="Cambria Math"/>
            </w:rPr>
            <m:t xml:space="preserve"> </m:t>
          </m:r>
          <m:sSub>
            <m:e>
              <m:r>
                <w:rPr>
                  <w:rFonts w:ascii="Cambria Math" w:hAnsi="Cambria Math"/>
                </w:rPr>
                <m:t>N</m:t>
              </m:r>
            </m:e>
            <m:sub>
              <m:r>
                <w:rPr>
                  <w:rFonts w:ascii="Cambria Math" w:hAnsi="Cambria Math"/>
                </w:rPr>
                <m:t>1</m:t>
              </m:r>
              <m:r>
                <w:rPr>
                  <w:rFonts w:ascii="Cambria Math" w:hAnsi="Cambria Math"/>
                </w:rPr>
                <m:t>2</m:t>
              </m:r>
            </m:sub>
          </m:sSub>
          <m:r>
            <w:rPr>
              <w:rFonts w:ascii="Cambria Math" w:hAnsi="Cambria Math"/>
            </w:rPr>
            <m:t>=</m:t>
          </m:r>
          <m:sSub>
            <m:e>
              <m:r>
                <w:rPr>
                  <w:rFonts w:ascii="Cambria Math" w:hAnsi="Cambria Math"/>
                </w:rPr>
                <m:t>N</m:t>
              </m:r>
            </m:e>
            <m:sub>
              <m:r>
                <w:rPr>
                  <w:rFonts w:ascii="Cambria Math" w:hAnsi="Cambria Math"/>
                </w:rPr>
                <m:t>2</m:t>
              </m:r>
              <m:r>
                <w:rPr>
                  <w:rFonts w:ascii="Cambria Math" w:hAnsi="Cambria Math"/>
                </w:rPr>
                <m:t>1</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rad</m:t>
              </m:r>
            </m:sub>
          </m:sSub>
        </m:oMath>
      </m:oMathPara>
    </w:p>
    <w:p>
      <w:pPr>
        <w:pStyle w:val="Formelblock"/>
      </w:pPr>
      <m:oMathPara xmlns:m="http://schemas.openxmlformats.org/officeDocument/2006/math">
        <m:oMathParaPr>
          <m:jc m:val="center"/>
        </m:oMathParaPr>
        <m:oMath>
          <m:sSub>
            <m:e>
              <m:r>
                <w:rPr>
                  <w:rFonts w:ascii="Cambria Math" w:hAnsi="Cambria Math"/>
                </w:rPr>
                <m:t>w</m:t>
              </m:r>
            </m:e>
            <m:sub>
              <m:r>
                <w:rPr>
                  <w:rFonts w:ascii="Cambria Math" w:hAnsi="Cambria Math"/>
                </w:rPr>
                <m:t>1</m:t>
              </m:r>
            </m:sub>
          </m:sSub>
          <m:r>
            <w:rPr>
              <w:rFonts w:ascii="Cambria Math" w:hAnsi="Cambria Math"/>
            </w:rPr>
            <m:t>=</m:t>
          </m:r>
          <m:sSub>
            <m:e>
              <m:r>
                <w:rPr>
                  <w:rFonts w:ascii="Cambria Math" w:hAnsi="Cambria Math"/>
                </w:rPr>
                <m:t>Φ</m:t>
              </m:r>
            </m:e>
            <m:sub>
              <m:r>
                <m:rPr>
                  <m:sty m:val="p"/>
                </m:rPr>
                <w:rPr>
                  <w:rFonts w:ascii="Cambria Math" w:hAnsi="Cambria Math"/>
                </w:rPr>
                <m:t>rad,AW</m:t>
              </m:r>
            </m:sub>
          </m:sSub>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sSub>
            <m:e>
              <m:r>
                <w:rPr>
                  <w:rFonts w:ascii="Cambria Math" w:hAnsi="Cambria Math"/>
                </w:rPr>
                <m:t>θ</m:t>
              </m:r>
            </m:e>
            <m:sub>
              <m:r>
                <m:rPr>
                  <m:sty m:val="p"/>
                </m:rPr>
                <w:rPr>
                  <w:rFonts w:ascii="Cambria Math" w:hAnsi="Cambria Math"/>
                </w:rPr>
                <m:t>soll</m:t>
              </m:r>
            </m:sub>
          </m:sSub>
        </m:oMath>
      </m:oMathPara>
    </w:p>
    <w:p>
      <w:pPr>
        <w:pStyle w:val="Formelblock"/>
      </w:pPr>
      <m:oMathPara xmlns:m="http://schemas.openxmlformats.org/officeDocument/2006/math">
        <m:oMathParaPr>
          <m:jc m:val="center"/>
        </m:oMathParaPr>
        <m:oMath>
          <m:sSub>
            <m:e>
              <m:r>
                <w:rPr>
                  <w:rFonts w:ascii="Cambria Math" w:hAnsi="Cambria Math"/>
                </w:rPr>
                <m:t>w</m:t>
              </m:r>
            </m:e>
            <m:sub>
              <m:r>
                <w:rPr>
                  <w:rFonts w:ascii="Cambria Math" w:hAnsi="Cambria Math"/>
                </w:rPr>
                <m:t>2</m:t>
              </m:r>
            </m:sub>
          </m:sSub>
          <m:r>
            <w:rPr>
              <w:rFonts w:ascii="Cambria Math" w:hAnsi="Cambria Math"/>
            </w:rPr>
            <m:t>=</m:t>
          </m:r>
          <m:sSub>
            <m:e>
              <m:r>
                <w:rPr>
                  <w:rFonts w:ascii="Cambria Math" w:hAnsi="Cambria Math"/>
                </w:rPr>
                <m:t>Φ</m:t>
              </m:r>
            </m:e>
            <m:sub>
              <m:r>
                <m:rPr>
                  <m:sty m:val="p"/>
                </m:rPr>
                <w:rPr>
                  <w:rFonts w:ascii="Cambria Math" w:hAnsi="Cambria Math"/>
                </w:rPr>
                <m:t>rad,IW</m:t>
              </m:r>
            </m:sub>
          </m:sSub>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m:t>
          </m:r>
          <m:sSub>
            <m:e>
              <m:r>
                <w:rPr>
                  <w:rFonts w:ascii="Cambria Math" w:hAnsi="Cambria Math"/>
                </w:rPr>
                <m:t>θ</m:t>
              </m:r>
            </m:e>
            <m:sub>
              <m:r>
                <m:rPr>
                  <m:sty m:val="p"/>
                </m:rPr>
                <w:rPr>
                  <w:rFonts w:ascii="Cambria Math" w:hAnsi="Cambria Math"/>
                </w:rPr>
                <m:t>soll</m:t>
              </m:r>
            </m:sub>
          </m:sSub>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h</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m:t>
          </m:r>
          <m:sSub>
            <m:e>
              <m:r>
                <w:rPr>
                  <w:rFonts w:ascii="Cambria Math" w:hAnsi="Cambria Math"/>
                </w:rPr>
                <m:t>c</m:t>
              </m:r>
            </m:e>
            <m:sub>
              <m:r>
                <m:rPr>
                  <m:sty m:val="p"/>
                </m:rPr>
                <w:rPr>
                  <w:rFonts w:ascii="Cambria Math" w:hAnsi="Cambria Math"/>
                </w:rPr>
                <m:t>Q</m:t>
              </m:r>
            </m:sub>
          </m:sSub>
          <m:r>
            <w:rPr>
              <w:rFonts w:ascii="Cambria Math" w:hAnsi="Cambria Math"/>
            </w:rPr>
            <m:t>⋅</m:t>
          </m:r>
          <m:r>
            <w:rPr>
              <w:rFonts w:ascii="Cambria Math" w:hAnsi="Cambria Math"/>
            </w:rPr>
            <m:t>x</m:t>
          </m:r>
          <m:r>
            <w:rPr>
              <w:rFonts w:ascii="Cambria Math" w:hAnsi="Cambria Math"/>
            </w:rPr>
            <m:t>+</m:t>
          </m:r>
          <m:sSub>
            <m:e>
              <m:r>
                <w:rPr>
                  <w:rFonts w:ascii="Cambria Math" w:hAnsi="Cambria Math"/>
                </w:rPr>
                <m:t>d</m:t>
              </m:r>
            </m:e>
            <m:sub>
              <m:r>
                <m:rPr>
                  <m:sty m:val="p"/>
                </m:rPr>
                <w:rPr>
                  <w:rFonts w:ascii="Cambria Math" w:hAnsi="Cambria Math"/>
                </w:rPr>
                <m:t>Q</m:t>
              </m:r>
            </m:sub>
          </m:sSub>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9</m:t>
          </m:r>
          <m:r>
            <w:rPr>
              <w:rFonts w:ascii="Cambria Math" w:hAnsi="Cambria Math"/>
            </w:rPr>
            <m:t>6</m:t>
          </m:r>
          <m:r>
            <w:rPr>
              <w:rFonts w:ascii="Cambria Math" w:hAnsi="Cambria Math"/>
            </w:rPr>
            <m:t>)</m:t>
          </m:r>
          <m:r>
            <w:rPr>
              <w:rFonts w:ascii="Cambria Math" w:hAnsi="Cambria Math"/>
            </w:rPr>
            <m:t>-</m:t>
          </m:r>
          <m:r>
            <w:rPr>
              <w:rFonts w:ascii="Cambria Math" w:hAnsi="Cambria Math"/>
            </w:rPr>
            <m:t>(</m:t>
          </m:r>
          <m:r>
            <w:rPr>
              <w:rFonts w:ascii="Cambria Math" w:hAnsi="Cambria Math"/>
            </w:rPr>
            <m:t>9</m:t>
          </m:r>
          <m:r>
            <w:rPr>
              <w:rFonts w:ascii="Cambria Math" w:hAnsi="Cambria Math"/>
            </w:rPr>
            <m:t>8</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c</m:t>
              </m:r>
            </m:e>
            <m:sub>
              <m:r>
                <m:rPr>
                  <m:sty m:val="p"/>
                </m:rPr>
                <w:rPr>
                  <w:rFonts w:ascii="Cambria Math" w:hAnsi="Cambria Math"/>
                </w:rPr>
                <m:t>Q</m:t>
              </m:r>
            </m:sub>
          </m:sSub>
          <m:r>
            <w:rPr>
              <w:rFonts w:ascii="Cambria Math" w:hAnsi="Cambria Math"/>
            </w:rPr>
            <m:t>=</m:t>
          </m:r>
          <m:r>
            <w:rPr>
              <w:rFonts w:ascii="Cambria Math" w:hAnsi="Cambria Math"/>
            </w:rPr>
            <m:t>-</m:t>
          </m:r>
          <m:d>
            <m:dPr>
              <m:begChr m:val="("/>
              <m:endChr m:val=")"/>
              <m:grow m:val="1"/>
            </m:dPr>
            <m:e>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r>
                <w:rPr>
                  <w:rFonts w:ascii="Cambria Math" w:hAnsi="Cambria Math"/>
                </w:rPr>
                <m:t xml:space="preserve"> </m:t>
              </m:r>
              <m:sSub>
                <m:e>
                  <m:r>
                    <w:rPr>
                      <w:rFonts w:ascii="Cambria Math" w:hAnsi="Cambria Math"/>
                    </w:rPr>
                    <m:t>G</m:t>
                  </m:r>
                </m:e>
                <m:sub>
                  <m:r>
                    <m:rPr>
                      <m:sty m:val="p"/>
                    </m:rPr>
                    <w:rPr>
                      <w:rFonts w:ascii="Cambria Math" w:hAnsi="Cambria Math"/>
                    </w:rPr>
                    <m:t>cIW</m:t>
                  </m:r>
                </m:sub>
              </m:sSub>
              <m:r>
                <w:rPr>
                  <w:rFonts w:ascii="Cambria Math" w:hAnsi="Cambria Math"/>
                </w:rPr>
                <m:t>)</m:t>
              </m:r>
              <m:r>
                <w:rPr>
                  <w:rFonts w:ascii="Cambria Math" w:hAnsi="Cambria Math"/>
                </w:rPr>
                <m:t>⋅</m:t>
              </m:r>
              <m:sSup>
                <m:e>
                  <m:r>
                    <m:rPr>
                      <m:sty m:val="b"/>
                    </m:rPr>
                    <w:rPr>
                      <w:rFonts w:ascii="Cambria Math" w:hAnsi="Cambria Math"/>
                    </w:rPr>
                    <m:t>N</m:t>
                  </m:r>
                </m:e>
                <m:sup>
                  <m:r>
                    <w:rPr>
                      <w:rFonts w:ascii="Cambria Math" w:hAnsi="Cambria Math"/>
                    </w:rPr>
                    <m:t>-</m:t>
                  </m:r>
                  <m:r>
                    <w:rPr>
                      <w:rFonts w:ascii="Cambria Math" w:hAnsi="Cambria Math"/>
                    </w:rPr>
                    <m:t>1</m:t>
                  </m:r>
                </m:sup>
              </m:sSup>
            </m:e>
          </m:d>
          <m:r>
            <w:rPr>
              <w:rFonts w:ascii="Cambria Math" w:hAnsi="Cambria Math"/>
            </w:rPr>
            <m:t>⋅</m:t>
          </m:r>
          <m:r>
            <m:rPr>
              <m:sty m:val="b"/>
            </m:rPr>
            <w:rPr>
              <w:rFonts w:ascii="Cambria Math" w:hAnsi="Cambria Math"/>
            </w:rPr>
            <m:t>K</m:t>
          </m:r>
        </m:oMath>
      </m:oMathPara>
    </w:p>
    <w:p>
      <w:pPr>
        <w:pStyle w:val="Formelblock"/>
      </w:pPr>
      <m:oMathPara xmlns:m="http://schemas.openxmlformats.org/officeDocument/2006/math">
        <m:oMathParaPr>
          <m:jc m:val="center"/>
        </m:oMathParaPr>
        <m:oMath>
          <m:sSub>
            <m:e>
              <m:r>
                <w:rPr>
                  <w:rFonts w:ascii="Cambria Math" w:hAnsi="Cambria Math"/>
                </w:rPr>
                <m:t>d</m:t>
              </m:r>
            </m:e>
            <m:sub>
              <m:r>
                <m:rPr>
                  <m:sty m:val="p"/>
                </m:rPr>
                <w:rPr>
                  <w:rFonts w:ascii="Cambria Math" w:hAnsi="Cambria Math"/>
                </w:rPr>
                <m:t>Q</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sSub>
            <m:e>
              <m:r>
                <w:rPr>
                  <w:rFonts w:ascii="Cambria Math" w:hAnsi="Cambria Math"/>
                </w:rPr>
                <m:t>G</m:t>
              </m:r>
            </m:e>
            <m:sub>
              <m:r>
                <m:rPr>
                  <m:sty m:val="p"/>
                </m:rPr>
                <w:rPr>
                  <w:rFonts w:ascii="Cambria Math" w:hAnsi="Cambria Math"/>
                </w:rPr>
                <m:t>cIW</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soll</m:t>
              </m:r>
            </m:sub>
          </m:sSub>
          <m:r>
            <w:rPr>
              <w:rFonts w:ascii="Cambria Math" w:hAnsi="Cambria Math"/>
            </w:rPr>
            <m:t>-</m:t>
          </m:r>
          <m:r>
            <w:rPr>
              <w:rFonts w:ascii="Cambria Math" w:hAnsi="Cambria Math"/>
            </w:rPr>
            <m:t>(</m:t>
          </m:r>
          <m:sSub>
            <m:e>
              <m:r>
                <w:rPr>
                  <w:rFonts w:ascii="Cambria Math" w:hAnsi="Cambria Math"/>
                </w:rPr>
                <m:t>G</m:t>
              </m:r>
            </m:e>
            <m:sub>
              <m:r>
                <m:rPr>
                  <m:sty m:val="p"/>
                </m:rPr>
                <w:rPr>
                  <w:rFonts w:ascii="Cambria Math" w:hAnsi="Cambria Math"/>
                </w:rPr>
                <m:t>cAW</m:t>
              </m:r>
            </m:sub>
          </m:sSub>
          <m:r>
            <w:rPr>
              <w:rFonts w:ascii="Cambria Math" w:hAnsi="Cambria Math"/>
            </w:rPr>
            <m:t>,</m:t>
          </m:r>
          <m:r>
            <w:rPr>
              <w:rFonts w:ascii="Cambria Math" w:hAnsi="Cambria Math"/>
            </w:rPr>
            <m:t xml:space="preserve"> </m:t>
          </m:r>
          <m:sSub>
            <m:e>
              <m:r>
                <w:rPr>
                  <w:rFonts w:ascii="Cambria Math" w:hAnsi="Cambria Math"/>
                </w:rPr>
                <m:t>G</m:t>
              </m:r>
            </m:e>
            <m:sub>
              <m:r>
                <m:rPr>
                  <m:sty m:val="p"/>
                </m:rPr>
                <w:rPr>
                  <w:rFonts w:ascii="Cambria Math" w:hAnsi="Cambria Math"/>
                </w:rPr>
                <m:t>cIW</m:t>
              </m:r>
            </m:sub>
          </m:sSub>
          <m:r>
            <w:rPr>
              <w:rFonts w:ascii="Cambria Math" w:hAnsi="Cambria Math"/>
            </w:rPr>
            <m:t>)</m:t>
          </m:r>
          <m:r>
            <w:rPr>
              <w:rFonts w:ascii="Cambria Math" w:hAnsi="Cambria Math"/>
            </w:rPr>
            <m:t>⋅</m:t>
          </m:r>
          <m:sSup>
            <m:e>
              <m:r>
                <m:rPr>
                  <m:sty m:val="b"/>
                </m:rPr>
                <w:rPr>
                  <w:rFonts w:ascii="Cambria Math" w:hAnsi="Cambria Math"/>
                </w:rPr>
                <m:t>N</m:t>
              </m:r>
            </m:e>
            <m:sup>
              <m:r>
                <w:rPr>
                  <w:rFonts w:ascii="Cambria Math" w:hAnsi="Cambria Math"/>
                </w:rPr>
                <m:t>-</m:t>
              </m:r>
              <m:r>
                <w:rPr>
                  <w:rFonts w:ascii="Cambria Math" w:hAnsi="Cambria Math"/>
                </w:rPr>
                <m:t>1</m:t>
              </m:r>
            </m:sup>
          </m:sSup>
          <m:r>
            <w:rPr>
              <w:rFonts w:ascii="Cambria Math" w:hAnsi="Cambria Math"/>
            </w:rPr>
            <m:t>⋅</m:t>
          </m:r>
          <m:r>
            <w:rPr>
              <w:rFonts w:ascii="Cambria Math" w:hAnsi="Cambria Math"/>
            </w:rPr>
            <m:t>w</m:t>
          </m:r>
          <m:r>
            <w:rPr>
              <w:rFonts w:ascii="Cambria Math" w:hAnsi="Cambria Math"/>
            </w:rPr>
            <m:t>+</m:t>
          </m:r>
          <m:sSub>
            <m:e>
              <m:r>
                <w:rPr>
                  <w:rFonts w:ascii="Cambria Math" w:hAnsi="Cambria Math"/>
                </w:rPr>
                <m:t>G</m:t>
              </m:r>
            </m:e>
            <m:sub>
              <m:r>
                <m:rPr>
                  <m:sty m:val="p"/>
                </m:rPr>
                <w:rPr>
                  <w:rFonts w:ascii="Cambria Math" w:hAnsi="Cambria Math"/>
                </w:rPr>
                <m:t>ext</m:t>
              </m:r>
            </m:sub>
          </m:sSub>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soll</m:t>
              </m:r>
            </m:sub>
          </m:sSub>
          <m:r>
            <w:rPr>
              <w:rFonts w:ascii="Cambria Math" w:hAnsi="Cambria Math"/>
            </w:rPr>
            <m:t>-</m:t>
          </m:r>
          <m:sSub>
            <m:e>
              <m:r>
                <w:rPr>
                  <w:rFonts w:ascii="Cambria Math" w:hAnsi="Cambria Math"/>
                </w:rPr>
                <m:t>θ</m:t>
              </m:r>
            </m:e>
            <m:sub>
              <m:r>
                <m:rPr>
                  <m:sty m:val="p"/>
                </m:rPr>
                <w:rPr>
                  <w:rFonts w:ascii="Cambria Math" w:hAnsi="Cambria Math"/>
                </w:rPr>
                <m:t>out</m:t>
              </m:r>
            </m:sub>
          </m:sSub>
          <m:r>
            <w:rPr>
              <w:rFonts w:ascii="Cambria Math" w:hAnsi="Cambria Math"/>
            </w:rPr>
            <m:t>)</m:t>
          </m:r>
          <m:r>
            <w:rPr>
              <w:rFonts w:ascii="Cambria Math" w:hAnsi="Cambria Math"/>
            </w:rPr>
            <m:t>-</m:t>
          </m:r>
          <m:sSub>
            <m:e>
              <m:r>
                <w:rPr>
                  <w:rFonts w:ascii="Cambria Math" w:hAnsi="Cambria Math"/>
                </w:rPr>
                <m:t>Φ</m:t>
              </m:r>
            </m:e>
            <m:sub>
              <m:r>
                <m:rPr>
                  <m:sty m:val="p"/>
                </m:rPr>
                <w:rPr>
                  <w:rFonts w:ascii="Cambria Math" w:hAnsi="Cambria Math"/>
                </w:rPr>
                <m:t>conv</m:t>
              </m:r>
            </m:sub>
          </m:sSub>
        </m:oMath>
      </m:oMathPara>
    </w:p>
    <w:p>
      <w:r>
        <w:t xml:space="preserve">Vorzeichen nach Blatt 1: </w:t>
      </w:r>
      <m:oMath xmlns:m="http://schemas.openxmlformats.org/officeDocument/2006/math">
        <m:sSub>
          <m:e>
            <m:r>
              <w:rPr>
                <w:rFonts w:ascii="Cambria Math" w:hAnsi="Cambria Math"/>
              </w:rPr>
              <m:t>Φ</m:t>
            </m:r>
          </m:e>
          <m:sub>
            <m:r>
              <m:rPr>
                <m:sty m:val="p"/>
              </m:rPr>
              <w:rPr>
                <w:rFonts w:ascii="Cambria Math" w:hAnsi="Cambria Math"/>
              </w:rPr>
              <m:t>h</m:t>
            </m:r>
          </m:sub>
        </m:sSub>
        <m:r>
          <w:rPr>
            <w:rFonts w:ascii="Cambria Math" w:hAnsi="Cambria Math"/>
          </w:rPr>
          <m:t>&gt;</m:t>
        </m:r>
        <m:r>
          <w:rPr>
            <w:rFonts w:ascii="Cambria Math" w:hAnsi="Cambria Math"/>
          </w:rPr>
          <m:t>0</m:t>
        </m:r>
      </m:oMath>
      <w:r>
        <w:rPr>
          <w:b/>
        </w:rPr>
        <w:t xml:space="preserve"> heißt Heizen</w:t>
      </w:r>
      <w:r>
        <w:t xml:space="preserve">, </w:t>
      </w:r>
      <m:oMath xmlns:m="http://schemas.openxmlformats.org/officeDocument/2006/math">
        <m:sSub>
          <m:e>
            <m:r>
              <w:rPr>
                <w:rFonts w:ascii="Cambria Math" w:hAnsi="Cambria Math"/>
              </w:rPr>
              <m:t>Φ</m:t>
            </m:r>
          </m:e>
          <m:sub>
            <m:r>
              <m:rPr>
                <m:sty m:val="p"/>
              </m:rPr>
              <w:rPr>
                <w:rFonts w:ascii="Cambria Math" w:hAnsi="Cambria Math"/>
              </w:rPr>
              <m:t>h</m:t>
            </m:r>
          </m:sub>
        </m:sSub>
        <m:r>
          <w:rPr>
            <w:rFonts w:ascii="Cambria Math" w:hAnsi="Cambria Math"/>
          </w:rPr>
          <m:t>&lt;</m:t>
        </m:r>
        <m:r>
          <w:rPr>
            <w:rFonts w:ascii="Cambria Math" w:hAnsi="Cambria Math"/>
          </w:rPr>
          <m:t>0</m:t>
        </m:r>
      </m:oMath>
      <w:r>
        <w:t xml:space="preserve"> heißt Kühlen. Die geregelte Matrix hängt </w:t>
      </w:r>
      <w:r>
        <w:rPr>
          <w:b/>
        </w:rPr>
        <w:t xml:space="preserve">nicht</w:t>
      </w:r>
      <w:r>
        <w:t xml:space="preserve"> von den Lasten und nicht vom Lüftungsleitwert ab.</w:t>
      </w:r>
    </w:p>
    <w:p>
      <w:r>
        <w:rPr>
          <w:b/>
        </w:rPr>
        <w:t xml:space="preserve">Fall 3 — Leistungsgrenze erreicht.</w:t>
      </w:r>
      <w:r>
        <w:t xml:space="preserve"> Ist die geforderte Leistung größer als </w:t>
      </w:r>
      <m:oMath xmlns:m="http://schemas.openxmlformats.org/officeDocument/2006/math">
        <m:sSub>
          <m:e>
            <m:r>
              <w:rPr>
                <w:rFonts w:ascii="Cambria Math" w:hAnsi="Cambria Math"/>
              </w:rPr>
              <m:t>Φ</m:t>
            </m:r>
          </m:e>
          <m:sub>
            <m:r>
              <m:rPr>
                <m:sty m:val="p"/>
              </m:rPr>
              <w:rPr>
                <w:rFonts w:ascii="Cambria Math" w:hAnsi="Cambria Math"/>
              </w:rPr>
              <m:t>h,max</m:t>
            </m:r>
          </m:sub>
        </m:sSub>
      </m:oMath>
      <w:r>
        <w:t xml:space="preserve"> oder kleiner als null, wird sie festgehalten und als konvektive Last — bzw. nach </w:t>
      </w:r>
      <m:oMath xmlns:m="http://schemas.openxmlformats.org/officeDocument/2006/math">
        <m:sSub>
          <m:e>
            <m:r>
              <w:rPr>
                <w:rFonts w:ascii="Cambria Math" w:hAnsi="Cambria Math"/>
              </w:rPr>
              <m:t>a</m:t>
            </m:r>
          </m:e>
          <m:sub>
            <m:r>
              <m:rPr>
                <m:sty m:val="p"/>
              </m:rPr>
              <w:rPr>
                <w:rFonts w:ascii="Cambria Math" w:hAnsi="Cambria Math"/>
              </w:rPr>
              <m:t>str,H</m:t>
            </m:r>
          </m:sub>
        </m:sSub>
      </m:oMath>
      <w:r>
        <w:t xml:space="preserve"> aufgeteilt — in den freien Lauf eingespeist. Das ist wieder Fall 1 mit anderer rechter Seite.</w:t>
      </w:r>
    </w:p>
    <w:p>
      <w:r>
        <w:rPr>
          <w:b/>
        </w:rPr>
        <w:t xml:space="preserve">Ausgabe.</w:t>
      </w:r>
      <w:r>
        <w:t xml:space="preserve"> Je Betriebsfall eine Matrix </w:t>
      </w:r>
      <m:oMath xmlns:m="http://schemas.openxmlformats.org/officeDocument/2006/math">
        <m:r>
          <m:rPr>
            <m:sty m:val="b"/>
          </m:rPr>
          <w:rPr>
            <w:rFonts w:ascii="Cambria Math" w:hAnsi="Cambria Math"/>
          </w:rPr>
          <m:t>A</m:t>
        </m:r>
      </m:oMath>
      <w:r>
        <w:t xml:space="preserve">, ein Vektor </w:t>
      </w:r>
      <m:oMath xmlns:m="http://schemas.openxmlformats.org/officeDocument/2006/math">
        <m:r>
          <w:rPr>
            <w:rFonts w:ascii="Cambria Math" w:hAnsi="Cambria Math"/>
          </w:rPr>
          <m:t>b</m:t>
        </m:r>
      </m:oMath>
      <w:r>
        <w:t xml:space="preserve">, die Rückrechnung der Oberflächentemperaturen und die affinen Ausgänge </w:t>
      </w:r>
      <m:oMath xmlns:m="http://schemas.openxmlformats.org/officeDocument/2006/math">
        <m:sSub>
          <m:e>
            <m:r>
              <w:rPr>
                <w:rFonts w:ascii="Cambria Math" w:hAnsi="Cambria Math"/>
              </w:rPr>
              <m:t>θ</m:t>
            </m:r>
          </m:e>
          <m:sub>
            <m:r>
              <m:rPr>
                <m:sty m:val="p"/>
              </m:rPr>
              <w:rPr>
                <w:rFonts w:ascii="Cambria Math" w:hAnsi="Cambria Math"/>
              </w:rPr>
              <m:t>air</m:t>
            </m:r>
          </m:sub>
        </m:sSub>
        <m:r>
          <w:rPr>
            <w:rFonts w:ascii="Cambria Math" w:hAnsi="Cambria Math"/>
          </w:rPr>
          <m:t>(</m:t>
        </m:r>
        <m:r>
          <w:rPr>
            <w:rFonts w:ascii="Cambria Math" w:hAnsi="Cambria Math"/>
          </w:rPr>
          <m:t>x</m:t>
        </m:r>
        <m:r>
          <w:rPr>
            <w:rFonts w:ascii="Cambria Math" w:hAnsi="Cambria Math"/>
          </w:rPr>
          <m:t>)</m:t>
        </m:r>
      </m:oMath>
      <w:r>
        <w:t xml:space="preserve"> und </w:t>
      </w:r>
      <m:oMath xmlns:m="http://schemas.openxmlformats.org/officeDocument/2006/math">
        <m:sSub>
          <m:e>
            <m:r>
              <w:rPr>
                <w:rFonts w:ascii="Cambria Math" w:hAnsi="Cambria Math"/>
              </w:rPr>
              <m:t>Φ</m:t>
            </m:r>
          </m:e>
          <m:sub>
            <m:r>
              <m:rPr>
                <m:sty m:val="p"/>
              </m:rPr>
              <w:rPr>
                <w:rFonts w:ascii="Cambria Math" w:hAnsi="Cambria Math"/>
              </w:rPr>
              <m:t>h</m:t>
            </m:r>
          </m:sub>
        </m:sSub>
        <m:r>
          <w:rPr>
            <w:rFonts w:ascii="Cambria Math" w:hAnsi="Cambria Math"/>
          </w:rPr>
          <m:t>(</m:t>
        </m:r>
        <m:r>
          <w:rPr>
            <w:rFonts w:ascii="Cambria Math" w:hAnsi="Cambria Math"/>
          </w:rPr>
          <m:t>x</m:t>
        </m:r>
        <m:r>
          <w:rPr>
            <w:rFonts w:ascii="Cambria Math" w:hAnsi="Cambria Math"/>
          </w:rPr>
          <m:t>)</m:t>
        </m:r>
      </m:oMath>
      <w:r>
        <w:t xml:space="preserve">; </w:t>
      </w:r>
      <m:oMath xmlns:m="http://schemas.openxmlformats.org/officeDocument/2006/math">
        <m:r>
          <w:rPr>
            <w:rFonts w:ascii="Cambria Math" w:hAnsi="Cambria Math"/>
          </w:rPr>
          <m:t>b</m:t>
        </m:r>
      </m:oMath>
      <w:r>
        <w:t xml:space="preserve"> wechselt je Stunde mit den Randbedingungen. In G1 ist </w:t>
      </w:r>
      <m:oMath xmlns:m="http://schemas.openxmlformats.org/officeDocument/2006/math">
        <m:r>
          <m:rPr>
            <m:sty m:val="b"/>
          </m:rPr>
          <w:rPr>
            <w:rFonts w:ascii="Cambria Math" w:hAnsi="Cambria Math"/>
          </w:rPr>
          <m:t>A</m:t>
        </m:r>
      </m:oMath>
      <w:r>
        <w:t xml:space="preserve"> über den ganzen Lauf konstant; mit der Sommerlüftungsregel aus G2 sind </w:t>
      </w:r>
      <w:r>
        <w:rPr>
          <w:b/>
        </w:rPr>
        <w:t xml:space="preserve">zwei</w:t>
      </w:r>
      <w:r>
        <w:t xml:space="preserve"> Sätze vorzuhalten, einer je Lüftungszustand.</w:t>
      </w:r>
    </w:p>
    <w:p>
      <w:pPr>
        <w:pStyle w:val="Heading2"/>
      </w:pPr>
      <w:r>
        <w:t xml:space="preserve">10.6 Schritt D — exakte Diskretisierung</w:t>
      </w:r>
    </w:p>
    <w:p>
      <w:r>
        <w:rPr>
          <w:b/>
        </w:rPr>
        <w:t xml:space="preserve">Zweck.</w:t>
      </w:r>
      <w:r>
        <w:t xml:space="preserve"> Für stückweise konstante Eingänge über eine Blockstunde Endwert </w:t>
      </w:r>
      <w:r>
        <w:rPr>
          <w:b/>
        </w:rPr>
        <w:t xml:space="preserve">und</w:t>
      </w:r>
      <w:r>
        <w:t xml:space="preserve"> Stundenmittel geschlossen bilden.</w:t>
      </w:r>
    </w:p>
    <w:p>
      <w:pPr>
        <w:pStyle w:val="Formelblock"/>
      </w:pPr>
      <m:oMathPara xmlns:m="http://schemas.openxmlformats.org/officeDocument/2006/math">
        <m:oMathParaPr>
          <m:jc m:val="center"/>
        </m:oMathParaPr>
        <m:oMath>
          <m:r>
            <w:rPr>
              <w:rFonts w:ascii="Cambria Math" w:hAnsi="Cambria Math"/>
            </w:rPr>
            <m:t>x</m:t>
          </m:r>
          <m:r>
            <w:rPr>
              <w:rFonts w:ascii="Cambria Math" w:hAnsi="Cambria Math"/>
            </w:rPr>
            <m:t>(</m:t>
          </m:r>
          <m:r>
            <w:rPr>
              <w:rFonts w:ascii="Cambria Math" w:hAnsi="Cambria Math"/>
            </w:rPr>
            <m:t>h</m:t>
          </m:r>
          <m:r>
            <w:rPr>
              <w:rFonts w:ascii="Cambria Math" w:hAnsi="Cambria Math"/>
            </w:rPr>
            <m:t>)</m:t>
          </m:r>
          <m:r>
            <w:rPr>
              <w:rFonts w:ascii="Cambria Math" w:hAnsi="Cambria Math"/>
            </w:rPr>
            <m:t>=</m:t>
          </m:r>
          <m:r>
            <w:rPr>
              <w:rFonts w:ascii="Cambria Math" w:hAnsi="Cambria Math"/>
            </w:rPr>
            <m:t>Φ</m:t>
          </m:r>
          <m:r>
            <w:rPr>
              <w:rFonts w:ascii="Cambria Math" w:hAnsi="Cambria Math"/>
            </w:rPr>
            <m:t>⋅</m:t>
          </m:r>
          <m:sSub>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rPr>
            <m:t>Γ</m:t>
          </m:r>
          <m:r>
            <w:rPr>
              <w:rFonts w:ascii="Cambria Math" w:hAnsi="Cambria Math"/>
            </w:rPr>
            <m:t>⋅</m:t>
          </m:r>
          <m:r>
            <w:rPr>
              <w:rFonts w:ascii="Cambria Math" w:hAnsi="Cambria Math"/>
            </w:rPr>
            <m:t>b</m:t>
          </m:r>
        </m:oMath>
      </m:oMathPara>
    </w:p>
    <w:p>
      <w:pPr>
        <w:pStyle w:val="Formelblock"/>
      </w:pPr>
      <m:oMathPara xmlns:m="http://schemas.openxmlformats.org/officeDocument/2006/math">
        <m:oMathParaPr>
          <m:jc m:val="center"/>
        </m:oMathParaPr>
        <m:oMath>
          <m:acc>
            <m:accPr>
              <m:chr m:val="̅"/>
            </m:accPr>
            <m:e>
              <m:r>
                <w:rPr>
                  <w:rFonts w:ascii="Cambria Math" w:hAnsi="Cambria Math"/>
                </w:rPr>
                <m:t>x</m:t>
              </m:r>
            </m:e>
          </m:acc>
          <m:r>
            <w:rPr>
              <w:rFonts w:ascii="Cambria Math" w:hAnsi="Cambria Math"/>
            </w:rPr>
            <m:t>=</m:t>
          </m:r>
          <m:f>
            <m:num>
              <m:r>
                <w:rPr>
                  <w:rFonts w:ascii="Cambria Math" w:hAnsi="Cambria Math"/>
                </w:rPr>
                <m:t>1</m:t>
              </m:r>
            </m:num>
            <m:den>
              <m:r>
                <w:rPr>
                  <w:rFonts w:ascii="Cambria Math" w:hAnsi="Cambria Math"/>
                </w:rPr>
                <m:t>h</m:t>
              </m:r>
            </m:den>
          </m:f>
          <m:r>
            <w:rPr>
              <w:rFonts w:ascii="Cambria Math" w:hAnsi="Cambria Math"/>
            </w:rPr>
            <m:t>⋅</m:t>
          </m:r>
          <m:d>
            <m:dPr>
              <m:begChr m:val="("/>
              <m:endChr m:val=")"/>
              <m:grow m:val="1"/>
            </m:dPr>
            <m:e>
              <m:r>
                <w:rPr>
                  <w:rFonts w:ascii="Cambria Math" w:hAnsi="Cambria Math"/>
                </w:rPr>
                <m:t>Γ</m:t>
              </m:r>
              <m:r>
                <w:rPr>
                  <w:rFonts w:ascii="Cambria Math" w:hAnsi="Cambria Math"/>
                </w:rPr>
                <m:t>⋅</m:t>
              </m:r>
              <m:sSub>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rPr>
                <m:t>Ψ</m:t>
              </m:r>
              <m:r>
                <w:rPr>
                  <w:rFonts w:ascii="Cambria Math" w:hAnsi="Cambria Math"/>
                </w:rPr>
                <m:t>⋅</m:t>
              </m:r>
              <m:r>
                <w:rPr>
                  <w:rFonts w:ascii="Cambria Math" w:hAnsi="Cambria Math"/>
                </w:rPr>
                <m:t>b</m:t>
              </m:r>
            </m:e>
          </m:d>
        </m:oMath>
      </m:oMathPara>
    </w:p>
    <w:p>
      <w:pPr>
        <w:pStyle w:val="Formelblock"/>
      </w:pPr>
      <m:oMathPara xmlns:m="http://schemas.openxmlformats.org/officeDocument/2006/math">
        <m:oMathParaPr>
          <m:jc m:val="center"/>
        </m:oMathParaPr>
        <m:oMath>
          <m:r>
            <m:rPr>
              <m:nor m:val="1"/>
            </m:rPr>
            <w:rPr>
              <w:rFonts w:ascii="Cambria Math" w:hAnsi="Cambria Math"/>
            </w:rPr>
            <m:t xml:space="preserve">mit </m:t>
          </m:r>
          <m:r>
            <w:rPr>
              <w:rFonts w:ascii="Cambria Math" w:hAnsi="Cambria Math"/>
            </w:rPr>
            <m:t>Φ</m:t>
          </m:r>
          <m:r>
            <w:rPr>
              <w:rFonts w:ascii="Cambria Math" w:hAnsi="Cambria Math"/>
            </w:rPr>
            <m:t>=</m:t>
          </m:r>
          <m:func>
            <m:fName>
              <m:r>
                <m:rPr>
                  <m:sty m:val="p"/>
                </m:rPr>
                <w:rPr>
                  <w:rFonts w:ascii="Cambria Math" w:hAnsi="Cambria Math"/>
                </w:rPr>
                <m:t>exp</m:t>
              </m:r>
            </m:fName>
            <m:e>
              <m:r>
                <w:rPr>
                  <w:rFonts w:ascii="Cambria Math" w:hAnsi="Cambria Math"/>
                </w:rPr>
                <m:t>(</m:t>
              </m:r>
            </m:e>
          </m:func>
          <m:r>
            <m:rPr>
              <m:sty m:val="b"/>
            </m:rPr>
            <w:rPr>
              <w:rFonts w:ascii="Cambria Math" w:hAnsi="Cambria Math"/>
            </w:rPr>
            <m:t>A</m:t>
          </m:r>
          <m:r>
            <w:rPr>
              <w:rFonts w:ascii="Cambria Math" w:hAnsi="Cambria Math"/>
            </w:rPr>
            <m:t>⋅</m:t>
          </m:r>
          <m:r>
            <w:rPr>
              <w:rFonts w:ascii="Cambria Math" w:hAnsi="Cambria Math"/>
            </w:rPr>
            <m:t>h</m:t>
          </m:r>
          <m:r>
            <w:rPr>
              <w:rFonts w:ascii="Cambria Math" w:hAnsi="Cambria Math"/>
            </w:rPr>
            <m:t>)</m:t>
          </m:r>
          <m:r>
            <w:rPr>
              <w:rFonts w:ascii="Cambria Math" w:hAnsi="Cambria Math"/>
            </w:rPr>
            <m:t>,</m:t>
          </m:r>
          <m:r>
            <w:rPr>
              <w:rFonts w:ascii="Cambria Math" w:hAnsi="Cambria Math"/>
            </w:rPr>
            <m:t xml:space="preserve"> </m:t>
          </m:r>
          <m:r>
            <w:rPr>
              <w:rFonts w:ascii="Cambria Math" w:hAnsi="Cambria Math"/>
            </w:rPr>
            <m:t>Γ</m:t>
          </m:r>
          <m:r>
            <w:rPr>
              <w:rFonts w:ascii="Cambria Math" w:hAnsi="Cambria Math"/>
            </w:rPr>
            <m:t>=</m:t>
          </m:r>
          <m:nary>
            <m:naryPr>
              <m:chr m:val="∫"/>
              <m:limLoc m:val="subSup"/>
              <m:grow m:val="1"/>
              <m:subHide m:val="0"/>
              <m:supHide m:val="0"/>
            </m:naryPr>
            <m:sub>
              <m:r>
                <w:rPr>
                  <w:rFonts w:ascii="Cambria Math" w:hAnsi="Cambria Math"/>
                </w:rPr>
                <m:t>0</m:t>
              </m:r>
            </m:sub>
            <m:sup>
              <m:r>
                <w:rPr>
                  <w:rFonts w:ascii="Cambria Math" w:hAnsi="Cambria Math"/>
                </w:rPr>
                <m:t>h</m:t>
              </m:r>
            </m:sup>
            <m:e>
              <m:func>
                <m:fName>
                  <m:r>
                    <m:rPr>
                      <m:sty m:val="p"/>
                    </m:rPr>
                    <w:rPr>
                      <w:rFonts w:ascii="Cambria Math" w:hAnsi="Cambria Math"/>
                    </w:rPr>
                    <m:t>exp</m:t>
                  </m:r>
                </m:fName>
                <m:e>
                  <m:r>
                    <w:rPr>
                      <w:rFonts w:ascii="Cambria Math" w:hAnsi="Cambria Math"/>
                    </w:rPr>
                    <m:t>(</m:t>
                  </m:r>
                </m:e>
              </m:func>
              <m:r>
                <m:rPr>
                  <m:sty m:val="b"/>
                </m:rPr>
                <w:rPr>
                  <w:rFonts w:ascii="Cambria Math" w:hAnsi="Cambria Math"/>
                </w:rPr>
                <m:t>A</m:t>
              </m:r>
              <m:r>
                <w:rPr>
                  <w:rFonts w:ascii="Cambria Math" w:hAnsi="Cambria Math"/>
                </w:rPr>
                <m:t>⋅</m:t>
              </m:r>
              <m:r>
                <w:rPr>
                  <w:rFonts w:ascii="Cambria Math" w:hAnsi="Cambria Math"/>
                </w:rPr>
                <m:t>τ</m:t>
              </m:r>
              <m:r>
                <w:rPr>
                  <w:rFonts w:ascii="Cambria Math" w:hAnsi="Cambria Math"/>
                </w:rPr>
                <m:t>)</m:t>
              </m:r>
              <m:r>
                <w:rPr>
                  <w:rFonts w:ascii="Cambria Math" w:hAnsi="Cambria Math"/>
                </w:rPr>
                <m:t xml:space="preserve"> </m:t>
              </m:r>
              <m:r>
                <m:rPr>
                  <m:sty m:val="p"/>
                </m:rPr>
                <w:rPr>
                  <w:rFonts w:ascii="Cambria Math" w:hAnsi="Cambria Math"/>
                </w:rPr>
                <m:t>d</m:t>
              </m:r>
              <m:r>
                <w:rPr>
                  <w:rFonts w:ascii="Cambria Math" w:hAnsi="Cambria Math"/>
                </w:rPr>
                <m:t>τ</m:t>
              </m:r>
              <m:r>
                <w:rPr>
                  <w:rFonts w:ascii="Cambria Math" w:hAnsi="Cambria Math"/>
                </w:rPr>
                <m:t>,</m:t>
              </m:r>
              <m:r>
                <w:rPr>
                  <w:rFonts w:ascii="Cambria Math" w:hAnsi="Cambria Math"/>
                </w:rPr>
                <m:t xml:space="preserve"> </m:t>
              </m:r>
              <m:r>
                <w:rPr>
                  <w:rFonts w:ascii="Cambria Math" w:hAnsi="Cambria Math"/>
                </w:rPr>
                <m:t>Ψ</m:t>
              </m:r>
              <m:r>
                <w:rPr>
                  <w:rFonts w:ascii="Cambria Math" w:hAnsi="Cambria Math"/>
                </w:rPr>
                <m:t>=</m:t>
              </m:r>
              <m:nary>
                <m:naryPr>
                  <m:chr m:val="∫"/>
                  <m:limLoc m:val="subSup"/>
                  <m:grow m:val="1"/>
                  <m:subHide m:val="0"/>
                  <m:supHide m:val="0"/>
                </m:naryPr>
                <m:sub>
                  <m:r>
                    <w:rPr>
                      <w:rFonts w:ascii="Cambria Math" w:hAnsi="Cambria Math"/>
                    </w:rPr>
                    <m:t>0</m:t>
                  </m:r>
                </m:sub>
                <m:sup>
                  <m:r>
                    <w:rPr>
                      <w:rFonts w:ascii="Cambria Math" w:hAnsi="Cambria Math"/>
                    </w:rPr>
                    <m:t>h</m:t>
                  </m:r>
                </m:sup>
                <m:e>
                  <m:nary>
                    <m:naryPr>
                      <m:chr m:val="∫"/>
                      <m:limLoc m:val="subSup"/>
                      <m:grow m:val="1"/>
                      <m:subHide m:val="0"/>
                      <m:supHide m:val="0"/>
                    </m:naryPr>
                    <m:sub>
                      <m:r>
                        <w:rPr>
                          <w:rFonts w:ascii="Cambria Math" w:hAnsi="Cambria Math"/>
                        </w:rPr>
                        <m:t>0</m:t>
                      </m:r>
                    </m:sub>
                    <m:sup>
                      <m:r>
                        <w:rPr>
                          <w:rFonts w:ascii="Cambria Math" w:hAnsi="Cambria Math"/>
                        </w:rPr>
                        <m:t>τ</m:t>
                      </m:r>
                    </m:sup>
                    <m:e>
                      <m:func>
                        <m:fName>
                          <m:r>
                            <m:rPr>
                              <m:sty m:val="p"/>
                            </m:rPr>
                            <w:rPr>
                              <w:rFonts w:ascii="Cambria Math" w:hAnsi="Cambria Math"/>
                            </w:rPr>
                            <m:t>exp</m:t>
                          </m:r>
                        </m:fName>
                        <m:e>
                          <m:r>
                            <w:rPr>
                              <w:rFonts w:ascii="Cambria Math" w:hAnsi="Cambria Math"/>
                            </w:rPr>
                            <m:t>(</m:t>
                          </m:r>
                        </m:e>
                      </m:func>
                      <m:r>
                        <m:rPr>
                          <m:sty m:val="b"/>
                        </m:rPr>
                        <w:rPr>
                          <w:rFonts w:ascii="Cambria Math" w:hAnsi="Cambria Math"/>
                        </w:rPr>
                        <m:t>A</m:t>
                      </m:r>
                      <m:r>
                        <w:rPr>
                          <w:rFonts w:ascii="Cambria Math" w:hAnsi="Cambria Math"/>
                        </w:rPr>
                        <m:t>⋅</m:t>
                      </m:r>
                      <m:r>
                        <w:rPr>
                          <w:rFonts w:ascii="Cambria Math" w:hAnsi="Cambria Math"/>
                        </w:rPr>
                        <m:t>s</m:t>
                      </m:r>
                      <m:r>
                        <w:rPr>
                          <w:rFonts w:ascii="Cambria Math" w:hAnsi="Cambria Math"/>
                        </w:rPr>
                        <m:t>)</m:t>
                      </m:r>
                      <m:r>
                        <w:rPr>
                          <w:rFonts w:ascii="Cambria Math" w:hAnsi="Cambria Math"/>
                        </w:rPr>
                        <m:t xml:space="preserve"> </m:t>
                      </m:r>
                      <m:r>
                        <m:rPr>
                          <m:sty m:val="p"/>
                        </m:rPr>
                        <w:rPr>
                          <w:rFonts w:ascii="Cambria Math" w:hAnsi="Cambria Math"/>
                        </w:rPr>
                        <m:t>d</m:t>
                      </m:r>
                      <m:r>
                        <w:rPr>
                          <w:rFonts w:ascii="Cambria Math" w:hAnsi="Cambria Math"/>
                        </w:rPr>
                        <m:t>s</m:t>
                      </m:r>
                      <m:r>
                        <w:rPr>
                          <w:rFonts w:ascii="Cambria Math" w:hAnsi="Cambria Math"/>
                        </w:rPr>
                        <m:t xml:space="preserve"> </m:t>
                      </m:r>
                      <m:r>
                        <m:rPr>
                          <m:sty m:val="p"/>
                        </m:rPr>
                        <w:rPr>
                          <w:rFonts w:ascii="Cambria Math" w:hAnsi="Cambria Math"/>
                        </w:rPr>
                        <m:t>d</m:t>
                      </m:r>
                      <m:r>
                        <w:rPr>
                          <w:rFonts w:ascii="Cambria Math" w:hAnsi="Cambria Math"/>
                        </w:rPr>
                        <m:t>τ</m:t>
                      </m:r>
                    </m:e>
                  </m:nary>
                </m:e>
              </m:nary>
            </m:e>
          </m:nary>
        </m:oMath>
      </m:oMathPara>
    </w:p>
    <w:p>
      <w:r>
        <w:t xml:space="preserve">Die drei Matrixfunktionen entstehen über die </w:t>
      </w:r>
      <w:r>
        <w:rPr>
          <w:b/>
        </w:rPr>
        <w:t xml:space="preserve">Sylvester-Formel</w:t>
      </w:r>
      <w:r>
        <w:t xml:space="preserve">. Mit </w:t>
      </w:r>
      <m:oMath xmlns:m="http://schemas.openxmlformats.org/officeDocument/2006/math">
        <m:r>
          <w:rPr>
            <w:rFonts w:ascii="Cambria Math" w:hAnsi="Cambria Math"/>
          </w:rPr>
          <m:t>μ</m:t>
        </m:r>
        <m:r>
          <w:rPr>
            <w:rFonts w:ascii="Cambria Math" w:hAnsi="Cambria Math"/>
          </w:rPr>
          <m:t>=</m:t>
        </m:r>
        <m:f>
          <m:num>
            <m:r>
              <w:rPr>
                <w:rFonts w:ascii="Cambria Math" w:hAnsi="Cambria Math"/>
              </w:rPr>
              <m:t>1</m:t>
            </m:r>
          </m:num>
          <m:den>
            <m:r>
              <w:rPr>
                <w:rFonts w:ascii="Cambria Math" w:hAnsi="Cambria Math"/>
              </w:rPr>
              <m:t>2</m:t>
            </m:r>
          </m:den>
        </m:f>
        <m:r>
          <w:rPr>
            <w:rFonts w:ascii="Cambria Math" w:hAnsi="Cambria Math"/>
          </w:rPr>
          <m:t>⋅</m:t>
        </m:r>
        <m:func>
          <m:fName>
            <m:r>
              <m:rPr>
                <m:sty m:val="p"/>
              </m:rPr>
              <w:rPr>
                <w:rFonts w:ascii="Cambria Math" w:hAnsi="Cambria Math"/>
              </w:rPr>
              <m:t>Spur</m:t>
            </m:r>
          </m:fName>
          <m:e>
            <m:r>
              <w:rPr>
                <w:rFonts w:ascii="Cambria Math" w:hAnsi="Cambria Math"/>
              </w:rPr>
              <m:t>(</m:t>
            </m:r>
          </m:e>
        </m:func>
        <m:r>
          <m:rPr>
            <m:sty m:val="b"/>
          </m:rPr>
          <w:rPr>
            <w:rFonts w:ascii="Cambria Math" w:hAnsi="Cambria Math"/>
          </w:rPr>
          <m:t>A</m:t>
        </m:r>
        <m:r>
          <w:rPr>
            <w:rFonts w:ascii="Cambria Math" w:hAnsi="Cambria Math"/>
          </w:rPr>
          <m:t>)</m:t>
        </m:r>
      </m:oMath>
      <w:r>
        <w:t xml:space="preserve">, </w:t>
      </w:r>
      <m:oMath xmlns:m="http://schemas.openxmlformats.org/officeDocument/2006/math">
        <m:r>
          <w:rPr>
            <w:rFonts w:ascii="Cambria Math" w:hAnsi="Cambria Math"/>
          </w:rPr>
          <m:t>d</m:t>
        </m:r>
        <m:r>
          <w:rPr>
            <w:rFonts w:ascii="Cambria Math" w:hAnsi="Cambria Math"/>
          </w:rPr>
          <m:t>=</m:t>
        </m:r>
        <m:rad>
          <m:radPr>
            <m:degHide m:val="1"/>
          </m:radPr>
          <m:deg/>
          <m:e>
            <m:sSup>
              <m:e>
                <m:r>
                  <w:rPr>
                    <w:rFonts w:ascii="Cambria Math" w:hAnsi="Cambria Math"/>
                  </w:rPr>
                  <m:t>μ</m:t>
                </m:r>
              </m:e>
              <m:sup>
                <m:r>
                  <w:rPr>
                    <w:rFonts w:ascii="Cambria Math" w:hAnsi="Cambria Math"/>
                  </w:rPr>
                  <m:t>2</m:t>
                </m:r>
              </m:sup>
            </m:sSup>
            <m:r>
              <w:rPr>
                <w:rFonts w:ascii="Cambria Math" w:hAnsi="Cambria Math"/>
              </w:rPr>
              <m:t>-</m:t>
            </m:r>
            <m:func>
              <m:fName>
                <m:r>
                  <m:rPr>
                    <m:sty m:val="p"/>
                  </m:rPr>
                  <w:rPr>
                    <w:rFonts w:ascii="Cambria Math" w:hAnsi="Cambria Math"/>
                  </w:rPr>
                  <m:t>det</m:t>
                </m:r>
              </m:fName>
              <m:e>
                <m:r>
                  <m:rPr>
                    <m:sty m:val="b"/>
                  </m:rPr>
                  <w:rPr>
                    <w:rFonts w:ascii="Cambria Math" w:hAnsi="Cambria Math"/>
                  </w:rPr>
                  <m:t>A</m:t>
                </m:r>
              </m:e>
            </m:func>
          </m:e>
        </m:rad>
      </m:oMath>
      <w:r>
        <w:t xml:space="preserve"> und </w:t>
      </w:r>
      <m:oMath xmlns:m="http://schemas.openxmlformats.org/officeDocument/2006/math">
        <m:sSub>
          <m:e>
            <m:r>
              <w:rPr>
                <w:rFonts w:ascii="Cambria Math" w:hAnsi="Cambria Math"/>
              </w:rPr>
              <m:t>λ</m:t>
            </m:r>
          </m:e>
          <m:sub>
            <m:r>
              <w:rPr>
                <w:rFonts w:ascii="Cambria Math" w:hAnsi="Cambria Math"/>
              </w:rPr>
              <m:t>1</m:t>
            </m:r>
            <m:r>
              <w:rPr>
                <w:rFonts w:ascii="Cambria Math" w:hAnsi="Cambria Math"/>
              </w:rPr>
              <m:t>,</m:t>
            </m:r>
            <m:r>
              <w:rPr>
                <w:rFonts w:ascii="Cambria Math" w:hAnsi="Cambria Math"/>
              </w:rPr>
              <m:t>2</m:t>
            </m:r>
          </m:sub>
        </m:sSub>
        <m:r>
          <w:rPr>
            <w:rFonts w:ascii="Cambria Math" w:hAnsi="Cambria Math"/>
          </w:rPr>
          <m:t>=</m:t>
        </m:r>
        <m:r>
          <w:rPr>
            <w:rFonts w:ascii="Cambria Math" w:hAnsi="Cambria Math"/>
          </w:rPr>
          <m:t>μ</m:t>
        </m:r>
        <m:r>
          <w:rPr>
            <w:rFonts w:ascii="Cambria Math" w:hAnsi="Cambria Math"/>
          </w:rPr>
          <m:t>±</m:t>
        </m:r>
        <m:r>
          <w:rPr>
            <w:rFonts w:ascii="Cambria Math" w:hAnsi="Cambria Math"/>
          </w:rPr>
          <m:t>d</m:t>
        </m:r>
      </m:oMath>
      <w:r>
        <w:t xml:space="preserve"> gilt für eine </w:t>
      </w:r>
      <m:oMath xmlns:m="http://schemas.openxmlformats.org/officeDocument/2006/math">
        <m:r>
          <w:rPr>
            <w:rFonts w:ascii="Cambria Math" w:hAnsi="Cambria Math"/>
          </w:rPr>
          <m:t>2</m:t>
        </m:r>
        <m:r>
          <w:rPr>
            <w:rFonts w:ascii="Cambria Math" w:hAnsi="Cambria Math"/>
          </w:rPr>
          <m:t>×</m:t>
        </m:r>
        <m:r>
          <w:rPr>
            <w:rFonts w:ascii="Cambria Math" w:hAnsi="Cambria Math"/>
          </w:rPr>
          <m:t>2</m:t>
        </m:r>
      </m:oMath>
      <w:r>
        <w:t xml:space="preserve">-Matrix und eine skalare Funktion </w:t>
      </w:r>
      <m:oMath xmlns:m="http://schemas.openxmlformats.org/officeDocument/2006/math">
        <m:r>
          <w:rPr>
            <w:rFonts w:ascii="Cambria Math" w:hAnsi="Cambria Math"/>
          </w:rPr>
          <m:t>f</m:t>
        </m:r>
      </m:oMath>
    </w:p>
    <w:p>
      <w:pPr>
        <w:pStyle w:val="Formelblock"/>
      </w:pPr>
      <m:oMathPara xmlns:m="http://schemas.openxmlformats.org/officeDocument/2006/math">
        <m:oMathParaPr>
          <m:jc m:val="center"/>
        </m:oMathParaPr>
        <m:oMath>
          <m:r>
            <w:rPr>
              <w:rFonts w:ascii="Cambria Math" w:hAnsi="Cambria Math"/>
            </w:rPr>
            <m:t>f</m:t>
          </m:r>
          <m:r>
            <w:rPr>
              <w:rFonts w:ascii="Cambria Math" w:hAnsi="Cambria Math"/>
            </w:rPr>
            <m:t>(</m:t>
          </m:r>
          <m:r>
            <m:rPr>
              <m:sty m:val="b"/>
            </m:rPr>
            <w:rPr>
              <w:rFonts w:ascii="Cambria Math" w:hAnsi="Cambria Math"/>
            </w:rPr>
            <m:t>A</m:t>
          </m:r>
          <m:r>
            <w:rPr>
              <w:rFonts w:ascii="Cambria Math" w:hAnsi="Cambria Math"/>
            </w:rPr>
            <m:t>)</m:t>
          </m:r>
          <m:r>
            <w:rPr>
              <w:rFonts w:ascii="Cambria Math" w:hAnsi="Cambria Math"/>
            </w:rPr>
            <m:t>=</m:t>
          </m:r>
          <m:f>
            <m:num>
              <m:r>
                <w:rPr>
                  <w:rFonts w:ascii="Cambria Math" w:hAnsi="Cambria Math"/>
                </w:rPr>
                <m:t>1</m:t>
              </m:r>
            </m:num>
            <m:den>
              <m:r>
                <w:rPr>
                  <w:rFonts w:ascii="Cambria Math" w:hAnsi="Cambria Math"/>
                </w:rPr>
                <m:t>2</m:t>
              </m:r>
            </m:den>
          </m:f>
          <m:r>
            <w:rPr>
              <w:rFonts w:ascii="Cambria Math" w:hAnsi="Cambria Math"/>
            </w:rPr>
            <m:t>⋅</m:t>
          </m:r>
          <m:d>
            <m:dPr>
              <m:begChr m:val="("/>
              <m:endChr m:val=")"/>
              <m:grow m:val="1"/>
            </m:dPr>
            <m:e>
              <m:r>
                <w:rPr>
                  <w:rFonts w:ascii="Cambria Math" w:hAnsi="Cambria Math"/>
                </w:rPr>
                <m:t>f</m:t>
              </m:r>
              <m:r>
                <w:rPr>
                  <w:rFonts w:ascii="Cambria Math" w:hAnsi="Cambria Math"/>
                </w:rPr>
                <m:t>(</m:t>
              </m:r>
              <m:sSub>
                <m:e>
                  <m:r>
                    <w:rPr>
                      <w:rFonts w:ascii="Cambria Math" w:hAnsi="Cambria Math"/>
                    </w:rPr>
                    <m:t>λ</m:t>
                  </m:r>
                </m:e>
                <m:sub>
                  <m:r>
                    <w:rPr>
                      <w:rFonts w:ascii="Cambria Math" w:hAnsi="Cambria Math"/>
                    </w:rPr>
                    <m:t>1</m:t>
                  </m:r>
                </m:sub>
              </m:sSub>
              <m:r>
                <w:rPr>
                  <w:rFonts w:ascii="Cambria Math" w:hAnsi="Cambria Math"/>
                </w:rPr>
                <m:t>)</m:t>
              </m:r>
              <m:r>
                <w:rPr>
                  <w:rFonts w:ascii="Cambria Math" w:hAnsi="Cambria Math"/>
                </w:rPr>
                <m:t>+</m:t>
              </m:r>
              <m:r>
                <w:rPr>
                  <w:rFonts w:ascii="Cambria Math" w:hAnsi="Cambria Math"/>
                </w:rPr>
                <m:t>f</m:t>
              </m:r>
              <m:r>
                <w:rPr>
                  <w:rFonts w:ascii="Cambria Math" w:hAnsi="Cambria Math"/>
                </w:rPr>
                <m:t>(</m:t>
              </m:r>
              <m:sSub>
                <m:e>
                  <m:r>
                    <w:rPr>
                      <w:rFonts w:ascii="Cambria Math" w:hAnsi="Cambria Math"/>
                    </w:rPr>
                    <m:t>λ</m:t>
                  </m:r>
                </m:e>
                <m:sub>
                  <m:r>
                    <w:rPr>
                      <w:rFonts w:ascii="Cambria Math" w:hAnsi="Cambria Math"/>
                    </w:rPr>
                    <m:t>2</m:t>
                  </m:r>
                </m:sub>
              </m:sSub>
              <m:r>
                <w:rPr>
                  <w:rFonts w:ascii="Cambria Math" w:hAnsi="Cambria Math"/>
                </w:rPr>
                <m:t>)</m:t>
              </m:r>
            </m:e>
          </m:d>
          <m:r>
            <w:rPr>
              <w:rFonts w:ascii="Cambria Math" w:hAnsi="Cambria Math"/>
            </w:rPr>
            <m:t>⋅</m:t>
          </m:r>
          <m:r>
            <m:rPr>
              <m:sty m:val="b"/>
            </m:rPr>
            <w:rPr>
              <w:rFonts w:ascii="Cambria Math" w:hAnsi="Cambria Math"/>
            </w:rPr>
            <m:t>I</m:t>
          </m:r>
          <m:r>
            <w:rPr>
              <w:rFonts w:ascii="Cambria Math" w:hAnsi="Cambria Math"/>
            </w:rPr>
            <m:t>+</m:t>
          </m:r>
          <m:f>
            <m:num>
              <m:r>
                <w:rPr>
                  <w:rFonts w:ascii="Cambria Math" w:hAnsi="Cambria Math"/>
                </w:rPr>
                <m:t>f</m:t>
              </m:r>
              <m:r>
                <w:rPr>
                  <w:rFonts w:ascii="Cambria Math" w:hAnsi="Cambria Math"/>
                </w:rPr>
                <m:t>(</m:t>
              </m:r>
              <m:sSub>
                <m:e>
                  <m:r>
                    <w:rPr>
                      <w:rFonts w:ascii="Cambria Math" w:hAnsi="Cambria Math"/>
                    </w:rPr>
                    <m:t>λ</m:t>
                  </m:r>
                </m:e>
                <m:sub>
                  <m:r>
                    <w:rPr>
                      <w:rFonts w:ascii="Cambria Math" w:hAnsi="Cambria Math"/>
                    </w:rPr>
                    <m:t>1</m:t>
                  </m:r>
                </m:sub>
              </m:sSub>
              <m:r>
                <w:rPr>
                  <w:rFonts w:ascii="Cambria Math" w:hAnsi="Cambria Math"/>
                </w:rPr>
                <m:t>)</m:t>
              </m:r>
              <m:r>
                <w:rPr>
                  <w:rFonts w:ascii="Cambria Math" w:hAnsi="Cambria Math"/>
                </w:rPr>
                <m:t>-</m:t>
              </m:r>
              <m:r>
                <w:rPr>
                  <w:rFonts w:ascii="Cambria Math" w:hAnsi="Cambria Math"/>
                </w:rPr>
                <m:t>f</m:t>
              </m:r>
              <m:r>
                <w:rPr>
                  <w:rFonts w:ascii="Cambria Math" w:hAnsi="Cambria Math"/>
                </w:rPr>
                <m:t>(</m:t>
              </m:r>
              <m:sSub>
                <m:e>
                  <m:r>
                    <w:rPr>
                      <w:rFonts w:ascii="Cambria Math" w:hAnsi="Cambria Math"/>
                    </w:rPr>
                    <m:t>λ</m:t>
                  </m:r>
                </m:e>
                <m:sub>
                  <m:r>
                    <w:rPr>
                      <w:rFonts w:ascii="Cambria Math" w:hAnsi="Cambria Math"/>
                    </w:rPr>
                    <m:t>2</m:t>
                  </m:r>
                </m:sub>
              </m:sSub>
              <m:r>
                <w:rPr>
                  <w:rFonts w:ascii="Cambria Math" w:hAnsi="Cambria Math"/>
                </w:rPr>
                <m:t>)</m:t>
              </m:r>
            </m:num>
            <m:den>
              <m:sSub>
                <m:e>
                  <m:r>
                    <w:rPr>
                      <w:rFonts w:ascii="Cambria Math" w:hAnsi="Cambria Math"/>
                    </w:rPr>
                    <m:t>λ</m:t>
                  </m:r>
                </m:e>
                <m:sub>
                  <m:r>
                    <w:rPr>
                      <w:rFonts w:ascii="Cambria Math" w:hAnsi="Cambria Math"/>
                    </w:rPr>
                    <m:t>1</m:t>
                  </m:r>
                </m:sub>
              </m:sSub>
              <m:r>
                <w:rPr>
                  <w:rFonts w:ascii="Cambria Math" w:hAnsi="Cambria Math"/>
                </w:rPr>
                <m:t>-</m:t>
              </m:r>
              <m:sSub>
                <m:e>
                  <m:r>
                    <w:rPr>
                      <w:rFonts w:ascii="Cambria Math" w:hAnsi="Cambria Math"/>
                    </w:rPr>
                    <m:t>λ</m:t>
                  </m:r>
                </m:e>
                <m:sub>
                  <m:r>
                    <w:rPr>
                      <w:rFonts w:ascii="Cambria Math" w:hAnsi="Cambria Math"/>
                    </w:rPr>
                    <m:t>2</m:t>
                  </m:r>
                </m:sub>
              </m:sSub>
            </m:den>
          </m:f>
          <m:r>
            <w:rPr>
              <w:rFonts w:ascii="Cambria Math" w:hAnsi="Cambria Math"/>
            </w:rPr>
            <m:t>⋅</m:t>
          </m:r>
          <m:d>
            <m:dPr>
              <m:begChr m:val="("/>
              <m:endChr m:val=")"/>
              <m:grow m:val="1"/>
            </m:dPr>
            <m:e>
              <m:r>
                <m:rPr>
                  <m:sty m:val="b"/>
                </m:rPr>
                <w:rPr>
                  <w:rFonts w:ascii="Cambria Math" w:hAnsi="Cambria Math"/>
                </w:rPr>
                <m:t>A</m:t>
              </m:r>
              <m:r>
                <w:rPr>
                  <w:rFonts w:ascii="Cambria Math" w:hAnsi="Cambria Math"/>
                </w:rPr>
                <m:t>-</m:t>
              </m:r>
              <m:r>
                <w:rPr>
                  <w:rFonts w:ascii="Cambria Math" w:hAnsi="Cambria Math"/>
                </w:rPr>
                <m:t>μ</m:t>
              </m:r>
              <m:r>
                <w:rPr>
                  <w:rFonts w:ascii="Cambria Math" w:hAnsi="Cambria Math"/>
                </w:rPr>
                <m:t>⋅</m:t>
              </m:r>
              <m:r>
                <m:rPr>
                  <m:sty m:val="b"/>
                </m:rPr>
                <w:rPr>
                  <w:rFonts w:ascii="Cambria Math" w:hAnsi="Cambria Math"/>
                </w:rPr>
                <m:t>I</m:t>
              </m:r>
            </m:e>
          </m:d>
        </m:oMath>
      </m:oMathPara>
    </w:p>
    <w:p>
      <w:r>
        <w:t xml:space="preserve">und im zusammenfallenden Fall </w:t>
      </w:r>
      <m:oMath xmlns:m="http://schemas.openxmlformats.org/officeDocument/2006/math">
        <m:r>
          <w:rPr>
            <w:rFonts w:ascii="Cambria Math" w:hAnsi="Cambria Math"/>
          </w:rPr>
          <m:t>f</m:t>
        </m:r>
        <m:r>
          <w:rPr>
            <w:rFonts w:ascii="Cambria Math" w:hAnsi="Cambria Math"/>
          </w:rPr>
          <m:t>(</m:t>
        </m:r>
        <m:r>
          <m:rPr>
            <m:sty m:val="b"/>
          </m:rPr>
          <w:rPr>
            <w:rFonts w:ascii="Cambria Math" w:hAnsi="Cambria Math"/>
          </w:rPr>
          <m:t>A</m:t>
        </m:r>
        <m:r>
          <w:rPr>
            <w:rFonts w:ascii="Cambria Math" w:hAnsi="Cambria Math"/>
          </w:rPr>
          <m:t>)</m:t>
        </m:r>
        <m:r>
          <w:rPr>
            <w:rFonts w:ascii="Cambria Math" w:hAnsi="Cambria Math"/>
          </w:rPr>
          <m:t>=</m:t>
        </m:r>
        <m:r>
          <w:rPr>
            <w:rFonts w:ascii="Cambria Math" w:hAnsi="Cambria Math"/>
          </w:rPr>
          <m:t>f</m:t>
        </m:r>
        <m:r>
          <w:rPr>
            <w:rFonts w:ascii="Cambria Math" w:hAnsi="Cambria Math"/>
          </w:rPr>
          <m:t>(</m:t>
        </m:r>
        <m:r>
          <w:rPr>
            <w:rFonts w:ascii="Cambria Math" w:hAnsi="Cambria Math"/>
          </w:rPr>
          <m:t>μ</m:t>
        </m:r>
        <m:r>
          <w:rPr>
            <w:rFonts w:ascii="Cambria Math" w:hAnsi="Cambria Math"/>
          </w:rPr>
          <m:t>)</m:t>
        </m:r>
        <m:r>
          <w:rPr>
            <w:rFonts w:ascii="Cambria Math" w:hAnsi="Cambria Math"/>
          </w:rPr>
          <m:t>⋅</m:t>
        </m:r>
        <m:r>
          <m:rPr>
            <m:sty m:val="b"/>
          </m:rPr>
          <w:rPr>
            <w:rFonts w:ascii="Cambria Math" w:hAnsi="Cambria Math"/>
          </w:rPr>
          <m:t>I</m:t>
        </m:r>
        <m:r>
          <w:rPr>
            <w:rFonts w:ascii="Cambria Math" w:hAnsi="Cambria Math"/>
          </w:rPr>
          <m:t>+</m:t>
        </m:r>
        <m:r>
          <w:rPr>
            <w:rFonts w:ascii="Cambria Math" w:hAnsi="Cambria Math"/>
          </w:rPr>
          <m:t>f</m:t>
        </m:r>
        <m:r>
          <w:rPr>
            <w:rFonts w:ascii="Cambria Math" w:hAnsi="Cambria Math"/>
          </w:rPr>
          <m:t>'</m:t>
        </m:r>
        <m:r>
          <w:rPr>
            <w:rFonts w:ascii="Cambria Math" w:hAnsi="Cambria Math"/>
          </w:rPr>
          <m:t>(</m:t>
        </m:r>
        <m:r>
          <w:rPr>
            <w:rFonts w:ascii="Cambria Math" w:hAnsi="Cambria Math"/>
          </w:rPr>
          <m:t>μ</m:t>
        </m:r>
        <m:r>
          <w:rPr>
            <w:rFonts w:ascii="Cambria Math" w:hAnsi="Cambria Math"/>
          </w:rPr>
          <m:t>)</m:t>
        </m:r>
        <m:r>
          <w:rPr>
            <w:rFonts w:ascii="Cambria Math" w:hAnsi="Cambria Math"/>
          </w:rPr>
          <m:t>⋅</m:t>
        </m:r>
        <m:r>
          <w:rPr>
            <w:rFonts w:ascii="Cambria Math" w:hAnsi="Cambria Math"/>
          </w:rPr>
          <m:t>(</m:t>
        </m:r>
        <m:r>
          <m:rPr>
            <m:sty m:val="b"/>
          </m:rPr>
          <w:rPr>
            <w:rFonts w:ascii="Cambria Math" w:hAnsi="Cambria Math"/>
          </w:rPr>
          <m:t>A</m:t>
        </m:r>
        <m:r>
          <w:rPr>
            <w:rFonts w:ascii="Cambria Math" w:hAnsi="Cambria Math"/>
          </w:rPr>
          <m:t>-</m:t>
        </m:r>
        <m:r>
          <w:rPr>
            <w:rFonts w:ascii="Cambria Math" w:hAnsi="Cambria Math"/>
          </w:rPr>
          <m:t>μ</m:t>
        </m:r>
        <m:r>
          <w:rPr>
            <w:rFonts w:ascii="Cambria Math" w:hAnsi="Cambria Math"/>
          </w:rPr>
          <m:t>⋅</m:t>
        </m:r>
        <m:r>
          <m:rPr>
            <m:sty m:val="b"/>
          </m:rPr>
          <w:rPr>
            <w:rFonts w:ascii="Cambria Math" w:hAnsi="Cambria Math"/>
          </w:rPr>
          <m:t>I</m:t>
        </m:r>
        <m:r>
          <w:rPr>
            <w:rFonts w:ascii="Cambria Math" w:hAnsi="Cambria Math"/>
          </w:rPr>
          <m:t>)</m:t>
        </m:r>
      </m:oMath>
      <w:r>
        <w:t xml:space="preserve">. Die drei Funktionen sind</w:t>
      </w:r>
    </w:p>
    <w:p>
      <w:pPr>
        <w:pStyle w:val="Formelblock"/>
      </w:pPr>
      <m:oMathPara xmlns:m="http://schemas.openxmlformats.org/officeDocument/2006/math">
        <m:oMathParaPr>
          <m:jc m:val="center"/>
        </m:oMathParaPr>
        <m:oMath>
          <m:r>
            <w:rPr>
              <w:rFonts w:ascii="Cambria Math" w:hAnsi="Cambria Math"/>
            </w:rPr>
            <m:t>Φ</m:t>
          </m:r>
          <m:r>
            <w:rPr>
              <w:rFonts w:ascii="Cambria Math" w:hAnsi="Cambria Math"/>
            </w:rPr>
            <m:t>:</m:t>
          </m:r>
          <m:r>
            <w:rPr>
              <w:rFonts w:ascii="Cambria Math" w:hAnsi="Cambria Math"/>
            </w:rPr>
            <m:t xml:space="preserve"> </m:t>
          </m:r>
          <m:r>
            <w:rPr>
              <w:rFonts w:ascii="Cambria Math" w:hAnsi="Cambria Math"/>
            </w:rPr>
            <m:t>f</m:t>
          </m:r>
          <m:r>
            <w:rPr>
              <w:rFonts w:ascii="Cambria Math" w:hAnsi="Cambria Math"/>
            </w:rPr>
            <m:t>(</m:t>
          </m:r>
          <m:r>
            <w:rPr>
              <w:rFonts w:ascii="Cambria Math" w:hAnsi="Cambria Math"/>
            </w:rPr>
            <m:t>λ</m:t>
          </m:r>
          <m:r>
            <w:rPr>
              <w:rFonts w:ascii="Cambria Math" w:hAnsi="Cambria Math"/>
            </w:rPr>
            <m:t>)</m:t>
          </m:r>
          <m:r>
            <w:rPr>
              <w:rFonts w:ascii="Cambria Math" w:hAnsi="Cambria Math"/>
            </w:rPr>
            <m:t>=</m:t>
          </m:r>
          <m:func>
            <m:fName>
              <m:r>
                <m:rPr>
                  <m:sty m:val="p"/>
                </m:rPr>
                <w:rPr>
                  <w:rFonts w:ascii="Cambria Math" w:hAnsi="Cambria Math"/>
                </w:rPr>
                <m:t>exp</m:t>
              </m:r>
            </m:fName>
            <m:e>
              <m:r>
                <w:rPr>
                  <w:rFonts w:ascii="Cambria Math" w:hAnsi="Cambria Math"/>
                </w:rPr>
                <m:t>(</m:t>
              </m:r>
            </m:e>
          </m:func>
          <m:r>
            <w:rPr>
              <w:rFonts w:ascii="Cambria Math" w:hAnsi="Cambria Math"/>
            </w:rPr>
            <m:t>λ</m:t>
          </m:r>
          <m:r>
            <w:rPr>
              <w:rFonts w:ascii="Cambria Math" w:hAnsi="Cambria Math"/>
            </w:rPr>
            <m:t>h</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Γ</m:t>
          </m:r>
          <m:r>
            <w:rPr>
              <w:rFonts w:ascii="Cambria Math" w:hAnsi="Cambria Math"/>
            </w:rPr>
            <m:t>:</m:t>
          </m:r>
          <m:r>
            <w:rPr>
              <w:rFonts w:ascii="Cambria Math" w:hAnsi="Cambria Math"/>
            </w:rPr>
            <m:t xml:space="preserve"> </m:t>
          </m:r>
          <m:r>
            <w:rPr>
              <w:rFonts w:ascii="Cambria Math" w:hAnsi="Cambria Math"/>
            </w:rPr>
            <m:t>f</m:t>
          </m:r>
          <m:r>
            <w:rPr>
              <w:rFonts w:ascii="Cambria Math" w:hAnsi="Cambria Math"/>
            </w:rPr>
            <m:t>(</m:t>
          </m:r>
          <m:r>
            <w:rPr>
              <w:rFonts w:ascii="Cambria Math" w:hAnsi="Cambria Math"/>
            </w:rPr>
            <m:t>λ</m:t>
          </m:r>
          <m:r>
            <w:rPr>
              <w:rFonts w:ascii="Cambria Math" w:hAnsi="Cambria Math"/>
            </w:rPr>
            <m:t>)</m:t>
          </m:r>
          <m:r>
            <w:rPr>
              <w:rFonts w:ascii="Cambria Math" w:hAnsi="Cambria Math"/>
            </w:rPr>
            <m:t>=</m:t>
          </m:r>
          <m:f>
            <m:num>
              <m:func>
                <m:fName>
                  <m:r>
                    <m:rPr>
                      <m:sty m:val="p"/>
                    </m:rPr>
                    <w:rPr>
                      <w:rFonts w:ascii="Cambria Math" w:hAnsi="Cambria Math"/>
                    </w:rPr>
                    <m:t>exp</m:t>
                  </m:r>
                </m:fName>
                <m:e>
                  <m:r>
                    <w:rPr>
                      <w:rFonts w:ascii="Cambria Math" w:hAnsi="Cambria Math"/>
                    </w:rPr>
                    <m:t>(</m:t>
                  </m:r>
                </m:e>
              </m:func>
              <m:r>
                <w:rPr>
                  <w:rFonts w:ascii="Cambria Math" w:hAnsi="Cambria Math"/>
                </w:rPr>
                <m:t>λ</m:t>
              </m:r>
              <m:r>
                <w:rPr>
                  <w:rFonts w:ascii="Cambria Math" w:hAnsi="Cambria Math"/>
                </w:rPr>
                <m:t>h</m:t>
              </m:r>
              <m:r>
                <w:rPr>
                  <w:rFonts w:ascii="Cambria Math" w:hAnsi="Cambria Math"/>
                </w:rPr>
                <m:t>)</m:t>
              </m:r>
              <m:r>
                <w:rPr>
                  <w:rFonts w:ascii="Cambria Math" w:hAnsi="Cambria Math"/>
                </w:rPr>
                <m:t>-</m:t>
              </m:r>
              <m:r>
                <w:rPr>
                  <w:rFonts w:ascii="Cambria Math" w:hAnsi="Cambria Math"/>
                </w:rPr>
                <m:t>1</m:t>
              </m:r>
            </m:num>
            <m:den>
              <m:r>
                <w:rPr>
                  <w:rFonts w:ascii="Cambria Math" w:hAnsi="Cambria Math"/>
                </w:rPr>
                <m:t>λ</m:t>
              </m:r>
            </m:den>
          </m:f>
          <m:r>
            <w:rPr>
              <w:rFonts w:ascii="Cambria Math" w:hAnsi="Cambria Math"/>
            </w:rPr>
            <m:t xml:space="preserve"> </m:t>
          </m:r>
          <m:r>
            <w:rPr>
              <w:rFonts w:ascii="Cambria Math" w:hAnsi="Cambria Math"/>
            </w:rPr>
            <m:t xml:space="preserve"> </m:t>
          </m:r>
          <m:r>
            <m:rPr>
              <m:nor m:val="1"/>
            </m:rPr>
            <w:rPr>
              <w:rFonts w:ascii="Cambria Math" w:hAnsi="Cambria Math"/>
            </w:rPr>
            <m:t xml:space="preserve">nahe </m:t>
          </m:r>
          <m:r>
            <w:rPr>
              <w:rFonts w:ascii="Cambria Math" w:hAnsi="Cambria Math"/>
            </w:rPr>
            <m:t>λ</m:t>
          </m:r>
          <m:r>
            <w:rPr>
              <w:rFonts w:ascii="Cambria Math" w:hAnsi="Cambria Math"/>
            </w:rPr>
            <m:t>=</m:t>
          </m:r>
          <m:r>
            <w:rPr>
              <w:rFonts w:ascii="Cambria Math" w:hAnsi="Cambria Math"/>
            </w:rPr>
            <m:t>0</m:t>
          </m:r>
          <m:r>
            <w:rPr>
              <w:rFonts w:ascii="Cambria Math" w:hAnsi="Cambria Math"/>
            </w:rPr>
            <m:t>:</m:t>
          </m:r>
          <m:r>
            <w:rPr>
              <w:rFonts w:ascii="Cambria Math" w:hAnsi="Cambria Math"/>
            </w:rPr>
            <m:t xml:space="preserve"> </m:t>
          </m:r>
          <m:r>
            <w:rPr>
              <w:rFonts w:ascii="Cambria Math" w:hAnsi="Cambria Math"/>
            </w:rPr>
            <m:t>h</m:t>
          </m:r>
          <m:r>
            <w:rPr>
              <w:rFonts w:ascii="Cambria Math" w:hAnsi="Cambria Math"/>
            </w:rPr>
            <m:t>⋅</m:t>
          </m:r>
          <m:d>
            <m:dPr>
              <m:begChr m:val="("/>
              <m:endChr m:val=")"/>
              <m:grow m:val="1"/>
            </m:dPr>
            <m:e>
              <m:r>
                <w:rPr>
                  <w:rFonts w:ascii="Cambria Math" w:hAnsi="Cambria Math"/>
                </w:rPr>
                <m:t>1</m:t>
              </m:r>
              <m:r>
                <w:rPr>
                  <w:rFonts w:ascii="Cambria Math" w:hAnsi="Cambria Math"/>
                </w:rPr>
                <m:t>+</m:t>
              </m:r>
              <m:f>
                <m:num>
                  <m:r>
                    <w:rPr>
                      <w:rFonts w:ascii="Cambria Math" w:hAnsi="Cambria Math"/>
                    </w:rPr>
                    <m:t>λ</m:t>
                  </m:r>
                  <m:r>
                    <w:rPr>
                      <w:rFonts w:ascii="Cambria Math" w:hAnsi="Cambria Math"/>
                    </w:rPr>
                    <m:t>h</m:t>
                  </m:r>
                </m:num>
                <m:den>
                  <m:r>
                    <w:rPr>
                      <w:rFonts w:ascii="Cambria Math" w:hAnsi="Cambria Math"/>
                    </w:rPr>
                    <m:t>2</m:t>
                  </m:r>
                </m:den>
              </m:f>
              <m:r>
                <w:rPr>
                  <w:rFonts w:ascii="Cambria Math" w:hAnsi="Cambria Math"/>
                </w:rPr>
                <m:t>+</m:t>
              </m:r>
              <m:f>
                <m:num>
                  <m:r>
                    <w:rPr>
                      <w:rFonts w:ascii="Cambria Math" w:hAnsi="Cambria Math"/>
                    </w:rPr>
                    <m:t>(</m:t>
                  </m:r>
                  <m:r>
                    <w:rPr>
                      <w:rFonts w:ascii="Cambria Math" w:hAnsi="Cambria Math"/>
                    </w:rPr>
                    <m:t>λ</m:t>
                  </m:r>
                  <m:r>
                    <w:rPr>
                      <w:rFonts w:ascii="Cambria Math" w:hAnsi="Cambria Math"/>
                    </w:rPr>
                    <m:t>h</m:t>
                  </m:r>
                  <m:sSup>
                    <m:e>
                      <m:r>
                        <w:rPr>
                          <w:rFonts w:ascii="Cambria Math" w:hAnsi="Cambria Math"/>
                        </w:rPr>
                        <m:t>)</m:t>
                      </m:r>
                    </m:e>
                    <m:sup>
                      <m:r>
                        <w:rPr>
                          <w:rFonts w:ascii="Cambria Math" w:hAnsi="Cambria Math"/>
                        </w:rPr>
                        <m:t>2</m:t>
                      </m:r>
                    </m:sup>
                  </m:sSup>
                </m:num>
                <m:den>
                  <m:r>
                    <w:rPr>
                      <w:rFonts w:ascii="Cambria Math" w:hAnsi="Cambria Math"/>
                    </w:rPr>
                    <m:t>6</m:t>
                  </m:r>
                </m:den>
              </m:f>
            </m:e>
          </m:d>
        </m:oMath>
      </m:oMathPara>
    </w:p>
    <w:p>
      <w:pPr>
        <w:pStyle w:val="Formelblock"/>
      </w:pPr>
      <m:oMathPara xmlns:m="http://schemas.openxmlformats.org/officeDocument/2006/math">
        <m:oMathParaPr>
          <m:jc m:val="center"/>
        </m:oMathParaPr>
        <m:oMath>
          <m:r>
            <w:rPr>
              <w:rFonts w:ascii="Cambria Math" w:hAnsi="Cambria Math"/>
            </w:rPr>
            <m:t>Ψ</m:t>
          </m:r>
          <m:r>
            <w:rPr>
              <w:rFonts w:ascii="Cambria Math" w:hAnsi="Cambria Math"/>
            </w:rPr>
            <m:t>:</m:t>
          </m:r>
          <m:r>
            <w:rPr>
              <w:rFonts w:ascii="Cambria Math" w:hAnsi="Cambria Math"/>
            </w:rPr>
            <m:t xml:space="preserve"> </m:t>
          </m:r>
          <m:r>
            <w:rPr>
              <w:rFonts w:ascii="Cambria Math" w:hAnsi="Cambria Math"/>
            </w:rPr>
            <m:t>f</m:t>
          </m:r>
          <m:r>
            <w:rPr>
              <w:rFonts w:ascii="Cambria Math" w:hAnsi="Cambria Math"/>
            </w:rPr>
            <m:t>(</m:t>
          </m:r>
          <m:r>
            <w:rPr>
              <w:rFonts w:ascii="Cambria Math" w:hAnsi="Cambria Math"/>
            </w:rPr>
            <m:t>λ</m:t>
          </m:r>
          <m:r>
            <w:rPr>
              <w:rFonts w:ascii="Cambria Math" w:hAnsi="Cambria Math"/>
            </w:rPr>
            <m:t>)</m:t>
          </m:r>
          <m:r>
            <w:rPr>
              <w:rFonts w:ascii="Cambria Math" w:hAnsi="Cambria Math"/>
            </w:rPr>
            <m:t>=</m:t>
          </m:r>
          <m:f>
            <m:num>
              <m:func>
                <m:fName>
                  <m:r>
                    <m:rPr>
                      <m:sty m:val="p"/>
                    </m:rPr>
                    <w:rPr>
                      <w:rFonts w:ascii="Cambria Math" w:hAnsi="Cambria Math"/>
                    </w:rPr>
                    <m:t>exp</m:t>
                  </m:r>
                </m:fName>
                <m:e>
                  <m:r>
                    <w:rPr>
                      <w:rFonts w:ascii="Cambria Math" w:hAnsi="Cambria Math"/>
                    </w:rPr>
                    <m:t>(</m:t>
                  </m:r>
                </m:e>
              </m:func>
              <m:r>
                <w:rPr>
                  <w:rFonts w:ascii="Cambria Math" w:hAnsi="Cambria Math"/>
                </w:rPr>
                <m:t>λ</m:t>
              </m:r>
              <m:r>
                <w:rPr>
                  <w:rFonts w:ascii="Cambria Math" w:hAnsi="Cambria Math"/>
                </w:rPr>
                <m:t>h</m:t>
              </m:r>
              <m: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λ</m:t>
              </m:r>
              <m:r>
                <w:rPr>
                  <w:rFonts w:ascii="Cambria Math" w:hAnsi="Cambria Math"/>
                </w:rPr>
                <m:t>h</m:t>
              </m:r>
            </m:num>
            <m:den>
              <m:sSup>
                <m:e>
                  <m:r>
                    <w:rPr>
                      <w:rFonts w:ascii="Cambria Math" w:hAnsi="Cambria Math"/>
                    </w:rPr>
                    <m:t>λ</m:t>
                  </m:r>
                </m:e>
                <m:sup>
                  <m:r>
                    <w:rPr>
                      <w:rFonts w:ascii="Cambria Math" w:hAnsi="Cambria Math"/>
                    </w:rPr>
                    <m:t>2</m:t>
                  </m:r>
                </m:sup>
              </m:sSup>
            </m:den>
          </m:f>
          <m:r>
            <w:rPr>
              <w:rFonts w:ascii="Cambria Math" w:hAnsi="Cambria Math"/>
            </w:rPr>
            <m:t xml:space="preserve"> </m:t>
          </m:r>
          <m:r>
            <w:rPr>
              <w:rFonts w:ascii="Cambria Math" w:hAnsi="Cambria Math"/>
            </w:rPr>
            <m:t xml:space="preserve"> </m:t>
          </m:r>
          <m:r>
            <m:rPr>
              <m:nor m:val="1"/>
            </m:rPr>
            <w:rPr>
              <w:rFonts w:ascii="Cambria Math" w:hAnsi="Cambria Math"/>
            </w:rPr>
            <m:t xml:space="preserve">nahe </m:t>
          </m:r>
          <m:r>
            <w:rPr>
              <w:rFonts w:ascii="Cambria Math" w:hAnsi="Cambria Math"/>
            </w:rPr>
            <m:t>λ</m:t>
          </m:r>
          <m:r>
            <w:rPr>
              <w:rFonts w:ascii="Cambria Math" w:hAnsi="Cambria Math"/>
            </w:rPr>
            <m:t>=</m:t>
          </m:r>
          <m:r>
            <w:rPr>
              <w:rFonts w:ascii="Cambria Math" w:hAnsi="Cambria Math"/>
            </w:rPr>
            <m:t>0</m:t>
          </m:r>
          <m:r>
            <w:rPr>
              <w:rFonts w:ascii="Cambria Math" w:hAnsi="Cambria Math"/>
            </w:rPr>
            <m:t>:</m:t>
          </m:r>
          <m:r>
            <w:rPr>
              <w:rFonts w:ascii="Cambria Math" w:hAnsi="Cambria Math"/>
            </w:rPr>
            <m:t xml:space="preserve"> </m:t>
          </m:r>
          <m:sSup>
            <m:e>
              <m:r>
                <w:rPr>
                  <w:rFonts w:ascii="Cambria Math" w:hAnsi="Cambria Math"/>
                </w:rPr>
                <m:t>h</m:t>
              </m:r>
            </m:e>
            <m:sup>
              <m:r>
                <w:rPr>
                  <w:rFonts w:ascii="Cambria Math" w:hAnsi="Cambria Math"/>
                </w:rPr>
                <m:t>2</m:t>
              </m:r>
            </m:sup>
          </m:sSup>
          <m:r>
            <w:rPr>
              <w:rFonts w:ascii="Cambria Math" w:hAnsi="Cambria Math"/>
            </w:rPr>
            <m:t>⋅</m:t>
          </m:r>
          <m:d>
            <m:dPr>
              <m:begChr m:val="("/>
              <m:endChr m:val=")"/>
              <m:grow m:val="1"/>
            </m:dPr>
            <m:e>
              <m:f>
                <m:num>
                  <m:r>
                    <w:rPr>
                      <w:rFonts w:ascii="Cambria Math" w:hAnsi="Cambria Math"/>
                    </w:rPr>
                    <m:t>1</m:t>
                  </m:r>
                </m:num>
                <m:den>
                  <m:r>
                    <w:rPr>
                      <w:rFonts w:ascii="Cambria Math" w:hAnsi="Cambria Math"/>
                    </w:rPr>
                    <m:t>2</m:t>
                  </m:r>
                </m:den>
              </m:f>
              <m:r>
                <w:rPr>
                  <w:rFonts w:ascii="Cambria Math" w:hAnsi="Cambria Math"/>
                </w:rPr>
                <m:t>+</m:t>
              </m:r>
              <m:f>
                <m:num>
                  <m:r>
                    <w:rPr>
                      <w:rFonts w:ascii="Cambria Math" w:hAnsi="Cambria Math"/>
                    </w:rPr>
                    <m:t>λ</m:t>
                  </m:r>
                  <m:r>
                    <w:rPr>
                      <w:rFonts w:ascii="Cambria Math" w:hAnsi="Cambria Math"/>
                    </w:rPr>
                    <m:t>h</m:t>
                  </m:r>
                </m:num>
                <m:den>
                  <m:r>
                    <w:rPr>
                      <w:rFonts w:ascii="Cambria Math" w:hAnsi="Cambria Math"/>
                    </w:rPr>
                    <m:t>6</m:t>
                  </m:r>
                </m:den>
              </m:f>
              <m:r>
                <w:rPr>
                  <w:rFonts w:ascii="Cambria Math" w:hAnsi="Cambria Math"/>
                </w:rPr>
                <m:t>+</m:t>
              </m:r>
              <m:f>
                <m:num>
                  <m:r>
                    <w:rPr>
                      <w:rFonts w:ascii="Cambria Math" w:hAnsi="Cambria Math"/>
                    </w:rPr>
                    <m:t>(</m:t>
                  </m:r>
                  <m:r>
                    <w:rPr>
                      <w:rFonts w:ascii="Cambria Math" w:hAnsi="Cambria Math"/>
                    </w:rPr>
                    <m:t>λ</m:t>
                  </m:r>
                  <m:r>
                    <w:rPr>
                      <w:rFonts w:ascii="Cambria Math" w:hAnsi="Cambria Math"/>
                    </w:rPr>
                    <m:t>h</m:t>
                  </m:r>
                  <m:sSup>
                    <m:e>
                      <m:r>
                        <w:rPr>
                          <w:rFonts w:ascii="Cambria Math" w:hAnsi="Cambria Math"/>
                        </w:rPr>
                        <m:t>)</m:t>
                      </m:r>
                    </m:e>
                    <m:sup>
                      <m:r>
                        <w:rPr>
                          <w:rFonts w:ascii="Cambria Math" w:hAnsi="Cambria Math"/>
                        </w:rPr>
                        <m:t>2</m:t>
                      </m:r>
                    </m:sup>
                  </m:sSup>
                </m:num>
                <m:den>
                  <m:r>
                    <w:rPr>
                      <w:rFonts w:ascii="Cambria Math" w:hAnsi="Cambria Math"/>
                    </w:rPr>
                    <m:t>2</m:t>
                  </m:r>
                  <m:r>
                    <w:rPr>
                      <w:rFonts w:ascii="Cambria Math" w:hAnsi="Cambria Math"/>
                    </w:rPr>
                    <m:t>4</m:t>
                  </m:r>
                </m:den>
              </m:f>
            </m:e>
          </m:d>
        </m:oMath>
      </m:oMathPara>
    </w:p>
    <w:p>
      <w:r>
        <w:rPr>
          <w:b/>
        </w:rPr>
        <w:t xml:space="preserve">Die Reihenentwicklungen nahe null sind Pflicht, nicht Verzierung:</w:t>
      </w:r>
      <w:r>
        <w:t xml:space="preserve"> ohne sie löschen sich Zähler und Nenner aus. Das Verfahren ist unbedingt stabil, weil jeder Eigenwert negativ ist, deterministisch und liefert Endwert und Stundenmittel </w:t>
      </w:r>
      <w:r>
        <w:rPr>
          <w:b/>
        </w:rPr>
        <w:t xml:space="preserve">exakt</w:t>
      </w:r>
      <w:r>
        <w:t xml:space="preserve">. Das Stundenmittel ist zwingend, weil die Richtlinie Blockmittel je Stunde vergleicht. </w:t>
      </w:r>
      <m:oMath xmlns:m="http://schemas.openxmlformats.org/officeDocument/2006/math">
        <m:r>
          <w:rPr>
            <w:rFonts w:ascii="Cambria Math" w:hAnsi="Cambria Math"/>
          </w:rPr>
          <m:t>Φ</m:t>
        </m:r>
      </m:oMath>
      <w:r>
        <w:t xml:space="preserve">, </w:t>
      </w:r>
      <m:oMath xmlns:m="http://schemas.openxmlformats.org/officeDocument/2006/math">
        <m:r>
          <w:rPr>
            <w:rFonts w:ascii="Cambria Math" w:hAnsi="Cambria Math"/>
          </w:rPr>
          <m:t>Γ</m:t>
        </m:r>
      </m:oMath>
      <w:r>
        <w:t xml:space="preserve"> und </w:t>
      </w:r>
      <m:oMath xmlns:m="http://schemas.openxmlformats.org/officeDocument/2006/math">
        <m:r>
          <w:rPr>
            <w:rFonts w:ascii="Cambria Math" w:hAnsi="Cambria Math"/>
          </w:rPr>
          <m:t>Ψ</m:t>
        </m:r>
      </m:oMath>
      <w:r>
        <w:t xml:space="preserve"> werden im Erbauer des Lösers </w:t>
      </w:r>
      <w:r>
        <w:rPr>
          <w:b/>
        </w:rPr>
        <w:t xml:space="preserve">einmal je Gebäude, Betriebsfall und Lüftungszustand</w:t>
      </w:r>
      <w:r>
        <w:t xml:space="preserve"> gebildet; nur die Bisektion braucht Matrixfunktionen zu einer Teilzeit und rechnet sie auf Abruf. Aus den Eigenwerten folgen zugleich die Zeitkonstanten </w:t>
      </w:r>
      <m:oMath xmlns:m="http://schemas.openxmlformats.org/officeDocument/2006/math">
        <m:sSub>
          <m:e>
            <m:r>
              <w:rPr>
                <w:rFonts w:ascii="Cambria Math" w:hAnsi="Cambria Math"/>
              </w:rPr>
              <m:t>τ</m:t>
            </m:r>
          </m:e>
          <m:sub>
            <m:r>
              <w:rPr>
                <w:rFonts w:ascii="Cambria Math" w:hAnsi="Cambria Math"/>
              </w:rPr>
              <m:t>i</m:t>
            </m:r>
          </m:sub>
        </m:sSub>
        <m:r>
          <w:rPr>
            <w:rFonts w:ascii="Cambria Math" w:hAnsi="Cambria Math"/>
          </w:rPr>
          <m:t>=</m:t>
        </m:r>
        <m:r>
          <w:rPr>
            <w:rFonts w:ascii="Cambria Math" w:hAnsi="Cambria Math"/>
          </w:rPr>
          <m:t>-</m:t>
        </m:r>
        <m:r>
          <w:rPr>
            <w:rFonts w:ascii="Cambria Math" w:hAnsi="Cambria Math"/>
          </w:rPr>
          <m:t>1</m:t>
        </m:r>
        <m:r>
          <w:rPr>
            <w:rFonts w:ascii="Cambria Math" w:hAnsi="Cambria Math"/>
          </w:rPr>
          <m:t>/</m:t>
        </m:r>
        <m:sSub>
          <m:e>
            <m:r>
              <w:rPr>
                <w:rFonts w:ascii="Cambria Math" w:hAnsi="Cambria Math"/>
              </w:rPr>
              <m:t>λ</m:t>
            </m:r>
          </m:e>
          <m:sub>
            <m:r>
              <w:rPr>
                <w:rFonts w:ascii="Cambria Math" w:hAnsi="Cambria Math"/>
              </w:rPr>
              <m:t>i</m:t>
            </m:r>
          </m:sub>
        </m:sSub>
      </m:oMath>
      <w:r>
        <w:t xml:space="preserve"> für die Bemessung des Vorlaufs.</w:t>
      </w:r>
    </w:p>
    <w:p>
      <w:pPr>
        <w:pStyle w:val="Heading2"/>
      </w:pPr>
      <w:r>
        <w:t xml:space="preserve">10.7 Schritt E — Klimaweg je Stunde</w:t>
      </w:r>
    </w:p>
    <w:p>
      <w:r>
        <w:rPr>
          <w:b/>
        </w:rPr>
        <w:t xml:space="preserve">Zweck.</w:t>
      </w:r>
      <w:r>
        <w:t xml:space="preserve"> Acht Reihen zu 8 760 Werten bauen. Das Modell hat </w:t>
      </w:r>
      <w:r>
        <w:rPr>
          <w:b/>
        </w:rPr>
        <w:t xml:space="preserve">einen</w:t>
      </w:r>
      <w:r>
        <w:t xml:space="preserve"> Lesepfad: Ortszeit wie bei PV und Solarthermie. Zwei Zeitbezüge bleiben darin stehen und sind beide gewollt: der </w:t>
      </w:r>
      <w:r>
        <w:rPr>
          <w:b/>
        </w:rPr>
        <w:t xml:space="preserve">Sonnenstand rechnet auf UTC</w:t>
      </w:r>
      <w:r>
        <w:t xml:space="preserve">, und die Wochenendmaske trägt </w:t>
      </w:r>
      <w:r>
        <w:rPr>
          <w:b/>
        </w:rPr>
        <w:t xml:space="preserve">UTC-Tage</w:t>
      </w:r>
      <w:r>
        <w:t xml:space="preserve"> — genau wie im Bestandsweg.</w:t>
      </w:r>
    </w:p>
    <w:p>
      <w:r>
        <w:rPr>
          <w:b/>
        </w:rPr>
        <w:t xml:space="preserve">E1 — Sonnenstand</w:t>
      </w:r>
      <w:r>
        <w:t xml:space="preserve"> (Blatt 3, Abschnitt 5). Aus Längen- und Breitengrad, Tag des Jahres und Stunde folgen Zeitgleichung (5), Deklination (6), Sonnenhöhe (7), Stundenwinkel (8), Azimut (9)/(10) und Einstrahlwinkel (11). Zwei Festlegungen: Blatt 3 rechnet zur </w:t>
      </w:r>
      <w:r>
        <w:rPr>
          <w:b/>
        </w:rPr>
        <w:t xml:space="preserve">Stundenmitte</w:t>
      </w:r>
      <w:r>
        <w:t xml:space="preserve">, der Klimaimport des Bestands übergibt den Stundenanfang — der Unterschied ist eine halbe Stunde Stundenwinkel, also 7,5°, und verschiebt gerade Ost und West; entschieden wird an </w:t>
      </w:r>
      <w:r>
        <w:rPr>
          <w:b/>
        </w:rPr>
        <w:t xml:space="preserve">einer</w:t>
      </w:r>
      <w:r>
        <w:t xml:space="preserve"> Stelle, im Eingangsbauer. Die Azimutkonvention des Eingangsbauers zählt Grad gegen Süd, die Umrechnung steht an derselben einen Stelle.</w:t>
      </w:r>
    </w:p>
    <w:p>
      <w:r>
        <w:rPr>
          <w:b/>
        </w:rPr>
        <w:t xml:space="preserve">E2 — Strahlung auf die geneigte Fläche</w:t>
      </w:r>
      <w:r>
        <w:t xml:space="preserve"> (Hay-Davies; normkonformes Gegenstück Blatt 3 (29)–(50)). Je Orientierung und für das Dach anisotrop aus GHI, DNI, DHI und der Sonnengeometrie, mit Zirkumsolaranteil und Bodenreflexion. Die isotrope Bestandsfunktion darf </w:t>
      </w:r>
      <w:r>
        <w:rPr>
          <w:b/>
        </w:rPr>
        <w:t xml:space="preserve">nicht</w:t>
      </w:r>
      <w:r>
        <w:t xml:space="preserve"> benutzt werden — sie schreibt prozessweite statische Felder.</w:t>
      </w:r>
    </w:p>
    <w:p>
      <w:r>
        <w:rPr>
          <w:b/>
        </w:rPr>
        <w:t xml:space="preserve">E3 — Fenstersolareintrag</w:t>
      </w:r>
      <w:r>
        <w:t xml:space="preserve"> (EPOS-Klassenweg)</w:t>
      </w:r>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sol</m:t>
              </m:r>
            </m:sub>
          </m:sSub>
          <m:r>
            <w:rPr>
              <w:rFonts w:ascii="Cambria Math" w:hAnsi="Cambria Math"/>
            </w:rPr>
            <m:t>=</m:t>
          </m:r>
          <m:nary>
            <m:naryPr>
              <m:chr m:val="∑"/>
              <m:limLoc m:val="undOvr"/>
              <m:grow m:val="1"/>
              <m:subHide m:val="0"/>
              <m:supHide m:val="1"/>
            </m:naryPr>
            <m:sub>
              <m:r>
                <w:rPr>
                  <w:rFonts w:ascii="Cambria Math" w:hAnsi="Cambria Math"/>
                </w:rPr>
                <m:t>o</m:t>
              </m:r>
            </m:sub>
            <m:sup>
              <m:r>
                <w:rPr>
                  <w:rFonts w:ascii="Cambria Math" w:hAnsi="Cambria Math"/>
                </w:rPr>
                <m:t/>
              </m:r>
            </m:sup>
            <m:e>
              <m:sSub>
                <m:e>
                  <m:r>
                    <w:rPr>
                      <w:rFonts w:ascii="Cambria Math" w:hAnsi="Cambria Math"/>
                    </w:rPr>
                    <m:t>A</m:t>
                  </m:r>
                </m:e>
                <m:sub>
                  <m:r>
                    <m:rPr>
                      <m:sty m:val="p"/>
                    </m:rPr>
                    <w:rPr>
                      <w:rFonts w:ascii="Cambria Math" w:hAnsi="Cambria Math"/>
                    </w:rPr>
                    <m:t>w</m:t>
                  </m:r>
                  <m:r>
                    <w:rPr>
                      <w:rFonts w:ascii="Cambria Math" w:hAnsi="Cambria Math"/>
                    </w:rPr>
                    <m:t>,</m:t>
                  </m:r>
                  <m:r>
                    <w:rPr>
                      <w:rFonts w:ascii="Cambria Math" w:hAnsi="Cambria Math"/>
                    </w:rPr>
                    <m:t>o</m:t>
                  </m:r>
                </m:sub>
              </m:sSub>
              <m:r>
                <w:rPr>
                  <w:rFonts w:ascii="Cambria Math" w:hAnsi="Cambria Math"/>
                </w:rPr>
                <m:t>⋅</m:t>
              </m:r>
              <m:r>
                <w:rPr>
                  <w:rFonts w:ascii="Cambria Math" w:hAnsi="Cambria Math"/>
                </w:rPr>
                <m:t>g</m:t>
              </m:r>
              <m:r>
                <w:rPr>
                  <w:rFonts w:ascii="Cambria Math" w:hAnsi="Cambria Math"/>
                </w:rPr>
                <m:t>⋅</m:t>
              </m:r>
              <m:sSub>
                <m:e>
                  <m:r>
                    <w:rPr>
                      <w:rFonts w:ascii="Cambria Math" w:hAnsi="Cambria Math"/>
                    </w:rPr>
                    <m:t>F</m:t>
                  </m:r>
                </m:e>
                <m:sub>
                  <m:r>
                    <m:rPr>
                      <m:sty m:val="p"/>
                    </m:rPr>
                    <w:rPr>
                      <w:rFonts w:ascii="Cambria Math" w:hAnsi="Cambria Math"/>
                    </w:rPr>
                    <m:t>F</m:t>
                  </m:r>
                </m:sub>
              </m:sSub>
              <m:r>
                <w:rPr>
                  <w:rFonts w:ascii="Cambria Math" w:hAnsi="Cambria Math"/>
                </w:rPr>
                <m:t>⋅</m:t>
              </m:r>
              <m:sSub>
                <m:e>
                  <m:r>
                    <w:rPr>
                      <w:rFonts w:ascii="Cambria Math" w:hAnsi="Cambria Math"/>
                    </w:rPr>
                    <m:t>F</m:t>
                  </m:r>
                </m:e>
                <m:sub>
                  <m:r>
                    <m:rPr>
                      <m:sty m:val="p"/>
                    </m:rPr>
                    <w:rPr>
                      <w:rFonts w:ascii="Cambria Math" w:hAnsi="Cambria Math"/>
                    </w:rPr>
                    <m:t>S</m:t>
                  </m:r>
                </m:sub>
              </m:sSub>
              <m:r>
                <w:rPr>
                  <w:rFonts w:ascii="Cambria Math" w:hAnsi="Cambria Math"/>
                </w:rPr>
                <m:t>⋅</m:t>
              </m:r>
              <m:sSub>
                <m:e>
                  <m:r>
                    <w:rPr>
                      <w:rFonts w:ascii="Cambria Math" w:hAnsi="Cambria Math"/>
                    </w:rPr>
                    <m:t>F</m:t>
                  </m:r>
                </m:e>
                <m:sub>
                  <m:r>
                    <m:rPr>
                      <m:sty m:val="p"/>
                    </m:rPr>
                    <w:rPr>
                      <w:rFonts w:ascii="Cambria Math" w:hAnsi="Cambria Math"/>
                    </w:rPr>
                    <m:t>W</m:t>
                  </m:r>
                </m:sub>
              </m:sSub>
              <m:r>
                <w:rPr>
                  <w:rFonts w:ascii="Cambria Math" w:hAnsi="Cambria Math"/>
                </w:rPr>
                <m:t>⋅</m:t>
              </m:r>
              <m:sSub>
                <m:e>
                  <m:r>
                    <w:rPr>
                      <w:rFonts w:ascii="Cambria Math" w:hAnsi="Cambria Math"/>
                    </w:rPr>
                    <m:t>I</m:t>
                  </m:r>
                </m:e>
                <m:sub>
                  <m:r>
                    <w:rPr>
                      <w:rFonts w:ascii="Cambria Math" w:hAnsi="Cambria Math"/>
                    </w:rPr>
                    <m:t>o</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 xml:space="preserve"> </m:t>
              </m:r>
              <m:r>
                <w:rPr>
                  <w:rFonts w:ascii="Cambria Math" w:hAnsi="Cambria Math"/>
                </w:rPr>
                <m:t>[</m:t>
              </m:r>
              <m:r>
                <m:rPr>
                  <m:sty m:val="p"/>
                </m:rPr>
                <w:rPr>
                  <w:rFonts w:ascii="Cambria Math" w:hAnsi="Cambria Math"/>
                </w:rPr>
                <m:t>W</m:t>
              </m:r>
              <m:r>
                <w:rPr>
                  <w:rFonts w:ascii="Cambria Math" w:hAnsi="Cambria Math"/>
                </w:rPr>
                <m:t>]</m:t>
              </m:r>
            </m:e>
          </m:nary>
        </m:oMath>
      </m:oMathPara>
    </w:p>
    <w:p>
      <w:pPr>
        <w:pStyle w:val="Formelblock"/>
      </w:pPr>
      <m:oMathPara xmlns:m="http://schemas.openxmlformats.org/officeDocument/2006/math">
        <m:oMathParaPr>
          <m:jc m:val="center"/>
        </m:oMathParaPr>
        <m:oMath>
          <m:r>
            <m:rPr>
              <m:nor m:val="1"/>
            </m:rPr>
            <w:rPr>
              <w:rFonts w:ascii="Cambria Math" w:hAnsi="Cambria Math"/>
            </w:rPr>
            <m:t xml:space="preserve">mit </m:t>
          </m:r>
          <m:sSub>
            <m:e>
              <m:r>
                <w:rPr>
                  <w:rFonts w:ascii="Cambria Math" w:hAnsi="Cambria Math"/>
                </w:rPr>
                <m:t>F</m:t>
              </m:r>
            </m:e>
            <m:sub>
              <m:r>
                <m:rPr>
                  <m:sty m:val="p"/>
                </m:rPr>
                <w:rPr>
                  <w:rFonts w:ascii="Cambria Math" w:hAnsi="Cambria Math"/>
                </w:rPr>
                <m:t>F</m:t>
              </m:r>
            </m:sub>
          </m:sSub>
          <m:r>
            <w:rPr>
              <w:rFonts w:ascii="Cambria Math" w:hAnsi="Cambria Math"/>
            </w:rPr>
            <m:t>=</m:t>
          </m:r>
          <m:r>
            <w:rPr>
              <w:rFonts w:ascii="Cambria Math" w:hAnsi="Cambria Math"/>
            </w:rPr>
            <m:t>1</m:t>
          </m:r>
          <m:r>
            <w:rPr>
              <w:rFonts w:ascii="Cambria Math" w:hAnsi="Cambria Math"/>
            </w:rPr>
            <m:t>-</m:t>
          </m:r>
          <m:r>
            <m:rPr>
              <m:nor m:val="1"/>
            </m:rPr>
            <w:rPr>
              <w:rFonts w:ascii="Cambria Math" w:hAnsi="Cambria Math"/>
            </w:rPr>
            <m:t>Rahmenanteil</m:t>
          </m:r>
          <m:r>
            <w:rPr>
              <w:rFonts w:ascii="Cambria Math" w:hAnsi="Cambria Math"/>
            </w:rPr>
            <m:t>,</m:t>
          </m:r>
          <m:r>
            <w:rPr>
              <w:rFonts w:ascii="Cambria Math" w:hAnsi="Cambria Math"/>
            </w:rPr>
            <m:t xml:space="preserve"> </m:t>
          </m:r>
          <m:sSub>
            <m:e>
              <m:r>
                <w:rPr>
                  <w:rFonts w:ascii="Cambria Math" w:hAnsi="Cambria Math"/>
                </w:rPr>
                <m:t>F</m:t>
              </m:r>
            </m:e>
            <m:sub>
              <m:r>
                <m:rPr>
                  <m:sty m:val="p"/>
                </m:rPr>
                <w:rPr>
                  <w:rFonts w:ascii="Cambria Math" w:hAnsi="Cambria Math"/>
                </w:rPr>
                <m:t>S</m:t>
              </m:r>
            </m:sub>
          </m:sSub>
          <m:r>
            <w:rPr>
              <w:rFonts w:ascii="Cambria Math" w:hAnsi="Cambria Math"/>
            </w:rPr>
            <m:t>=</m:t>
          </m:r>
          <m:r>
            <m:rPr>
              <m:nor m:val="1"/>
            </m:rPr>
            <w:rPr>
              <w:rFonts w:ascii="Cambria Math" w:hAnsi="Cambria Math"/>
            </w:rPr>
            <m:t>Verschattungsfaktor</m:t>
          </m:r>
          <m:r>
            <w:rPr>
              <w:rFonts w:ascii="Cambria Math" w:hAnsi="Cambria Math"/>
            </w:rPr>
            <m:t>,</m:t>
          </m:r>
          <m:r>
            <w:rPr>
              <w:rFonts w:ascii="Cambria Math" w:hAnsi="Cambria Math"/>
            </w:rPr>
            <m:t xml:space="preserve"> </m:t>
          </m:r>
          <m:sSub>
            <m:e>
              <m:r>
                <w:rPr>
                  <w:rFonts w:ascii="Cambria Math" w:hAnsi="Cambria Math"/>
                </w:rPr>
                <m:t>F</m:t>
              </m:r>
            </m:e>
            <m:sub>
              <m:r>
                <m:rPr>
                  <m:sty m:val="p"/>
                </m:rPr>
                <w:rPr>
                  <w:rFonts w:ascii="Cambria Math" w:hAnsi="Cambria Math"/>
                </w:rPr>
                <m:t>W</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9</m:t>
          </m:r>
        </m:oMath>
      </m:oMathPara>
    </w:p>
    <w:p>
      <w:pPr>
        <w:pStyle w:val="Formelblock"/>
      </w:pPr>
      <m:oMathPara xmlns:m="http://schemas.openxmlformats.org/officeDocument/2006/math">
        <m:oMathParaPr>
          <m:jc m:val="center"/>
        </m:oMathParaPr>
        <m:oMath>
          <m:sSub>
            <m:e>
              <m:r>
                <w:rPr>
                  <w:rFonts w:ascii="Cambria Math" w:hAnsi="Cambria Math"/>
                </w:rPr>
                <m:t>A</m:t>
              </m:r>
            </m:e>
            <m:sub>
              <m:r>
                <m:rPr>
                  <m:sty m:val="p"/>
                </m:rPr>
                <w:rPr>
                  <w:rFonts w:ascii="Cambria Math" w:hAnsi="Cambria Math"/>
                </w:rPr>
                <m:t>AW,opak</m:t>
              </m:r>
            </m:sub>
          </m:sSub>
          <m:r>
            <w:rPr>
              <w:rFonts w:ascii="Cambria Math" w:hAnsi="Cambria Math"/>
            </w:rPr>
            <m:t>=</m:t>
          </m:r>
          <m:sSub>
            <m:e>
              <m:r>
                <w:rPr>
                  <w:rFonts w:ascii="Cambria Math" w:hAnsi="Cambria Math"/>
                </w:rPr>
                <m:t>A</m:t>
              </m:r>
            </m:e>
            <m:sub>
              <m:r>
                <m:rPr>
                  <m:sty m:val="p"/>
                </m:rPr>
                <w:rPr>
                  <w:rFonts w:ascii="Cambria Math" w:hAnsi="Cambria Math"/>
                </w:rPr>
                <m:t>AW</m:t>
              </m:r>
            </m:sub>
          </m:sSub>
          <m:r>
            <w:rPr>
              <w:rFonts w:ascii="Cambria Math" w:hAnsi="Cambria Math"/>
            </w:rPr>
            <m:t>+</m:t>
          </m:r>
          <m:sSub>
            <m:e>
              <m:r>
                <w:rPr>
                  <w:rFonts w:ascii="Cambria Math" w:hAnsi="Cambria Math"/>
                </w:rPr>
                <m:t>A</m:t>
              </m:r>
            </m:e>
            <m:sub>
              <m:r>
                <m:rPr>
                  <m:sty m:val="p"/>
                </m:rPr>
                <w:rPr>
                  <w:rFonts w:ascii="Cambria Math" w:hAnsi="Cambria Math"/>
                </w:rPr>
                <m:t>D</m:t>
              </m:r>
            </m:sub>
          </m:sSub>
          <m:r>
            <w:rPr>
              <w:rFonts w:ascii="Cambria Math" w:hAnsi="Cambria Math"/>
            </w:rPr>
            <m:t>+</m:t>
          </m:r>
          <m:sSub>
            <m:e>
              <m:r>
                <w:rPr>
                  <w:rFonts w:ascii="Cambria Math" w:hAnsi="Cambria Math"/>
                </w:rPr>
                <m:t>A</m:t>
              </m:r>
            </m:e>
            <m:sub>
              <m:r>
                <m:rPr>
                  <m:sty m:val="p"/>
                </m:rPr>
                <w:rPr>
                  <w:rFonts w:ascii="Cambria Math" w:hAnsi="Cambria Math"/>
                </w:rPr>
                <m:t>G</m:t>
              </m:r>
            </m:sub>
          </m:sSub>
          <m:r>
            <w:rPr>
              <w:rFonts w:ascii="Cambria Math" w:hAnsi="Cambria Math"/>
            </w:rPr>
            <m:t>+</m:t>
          </m:r>
          <m:sSub>
            <m:e>
              <m:r>
                <w:rPr>
                  <w:rFonts w:ascii="Cambria Math" w:hAnsi="Cambria Math"/>
                </w:rPr>
                <m:t>A</m:t>
              </m:r>
            </m:e>
            <m:sub>
              <m:r>
                <m:rPr>
                  <m:sty m:val="p"/>
                </m:rPr>
                <w:rPr>
                  <w:rFonts w:ascii="Cambria Math" w:hAnsi="Cambria Math"/>
                </w:rPr>
                <m:t>So</m:t>
              </m:r>
            </m:sub>
          </m:sSub>
          <m:r>
            <w:rPr>
              <w:rFonts w:ascii="Cambria Math" w:hAnsi="Cambria Math"/>
            </w:rPr>
            <m:t xml:space="preserve"> </m:t>
          </m:r>
          <m:r>
            <w:rPr>
              <w:rFonts w:ascii="Cambria Math" w:hAnsi="Cambria Math"/>
            </w:rPr>
            <m:t>[</m:t>
          </m:r>
          <m:sSup>
            <m:e>
              <m:r>
                <m:rPr>
                  <m:sty m:val="p"/>
                </m:rPr>
                <w:rPr>
                  <w:rFonts w:ascii="Cambria Math" w:hAnsi="Cambria Math"/>
                </w:rPr>
                <m:t>m</m:t>
              </m:r>
            </m:e>
            <m:sup>
              <m:r>
                <w:rPr>
                  <w:rFonts w:ascii="Cambria Math" w:hAnsi="Cambria Math"/>
                </w:rPr>
                <m:t>2</m:t>
              </m:r>
            </m:sup>
          </m:sSup>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A</m:t>
              </m:r>
            </m:e>
            <m:sub>
              <m:r>
                <m:rPr>
                  <m:sty m:val="p"/>
                </m:rPr>
                <w:rPr>
                  <w:rFonts w:ascii="Cambria Math" w:hAnsi="Cambria Math"/>
                </w:rPr>
                <m:t>Raum</m:t>
              </m:r>
            </m:sub>
          </m:sSub>
          <m:r>
            <w:rPr>
              <w:rFonts w:ascii="Cambria Math" w:hAnsi="Cambria Math"/>
            </w:rPr>
            <m:t>=</m:t>
          </m:r>
          <m:sSub>
            <m:e>
              <m:r>
                <w:rPr>
                  <w:rFonts w:ascii="Cambria Math" w:hAnsi="Cambria Math"/>
                </w:rPr>
                <m:t>A</m:t>
              </m:r>
            </m:e>
            <m:sub>
              <m:r>
                <m:rPr>
                  <m:sty m:val="p"/>
                </m:rPr>
                <w:rPr>
                  <w:rFonts w:ascii="Cambria Math" w:hAnsi="Cambria Math"/>
                </w:rPr>
                <m:t>AW,opak</m:t>
              </m:r>
            </m:sub>
          </m:sSub>
          <m:r>
            <w:rPr>
              <w:rFonts w:ascii="Cambria Math" w:hAnsi="Cambria Math"/>
            </w:rPr>
            <m:t>+</m:t>
          </m:r>
          <m:sSub>
            <m:e>
              <m:r>
                <w:rPr>
                  <w:rFonts w:ascii="Cambria Math" w:hAnsi="Cambria Math"/>
                </w:rPr>
                <m:t>A</m:t>
              </m:r>
            </m:e>
            <m:sub>
              <m:r>
                <m:rPr>
                  <m:sty m:val="p"/>
                </m:rPr>
                <w:rPr>
                  <w:rFonts w:ascii="Cambria Math" w:hAnsi="Cambria Math"/>
                </w:rPr>
                <m:t>IW</m:t>
              </m:r>
            </m:sub>
          </m:sSub>
          <m:r>
            <w:rPr>
              <w:rFonts w:ascii="Cambria Math" w:hAnsi="Cambria Math"/>
            </w:rPr>
            <m:t xml:space="preserve"> </m:t>
          </m:r>
          <m:r>
            <w:rPr>
              <w:rFonts w:ascii="Cambria Math" w:hAnsi="Cambria Math"/>
            </w:rPr>
            <m:t>[</m:t>
          </m:r>
          <m:sSup>
            <m:e>
              <m:r>
                <m:rPr>
                  <m:sty m:val="p"/>
                </m:rP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 xml:space="preserve"> </m:t>
          </m:r>
          <m:r>
            <m:rPr>
              <m:nor m:val="1"/>
            </m:rPr>
            <w:rPr>
              <w:rFonts w:ascii="Cambria Math" w:hAnsi="Cambria Math"/>
            </w:rPr>
            <m:t xml:space="preserve">ohne die Fensterflaeche</m:t>
          </m:r>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sol,Luft</m:t>
              </m:r>
            </m:sub>
          </m:sSub>
          <m:r>
            <w:rPr>
              <w:rFonts w:ascii="Cambria Math" w:hAnsi="Cambria Math"/>
            </w:rPr>
            <m:t>=</m:t>
          </m:r>
          <m:sSub>
            <m:e>
              <m:r>
                <w:rPr>
                  <w:rFonts w:ascii="Cambria Math" w:hAnsi="Cambria Math"/>
                </w:rPr>
                <m:t>a</m:t>
              </m:r>
            </m:e>
            <m:sub>
              <m:r>
                <m:rPr>
                  <m:sty m:val="p"/>
                </m:rPr>
                <w:rPr>
                  <w:rFonts w:ascii="Cambria Math" w:hAnsi="Cambria Math"/>
                </w:rPr>
                <m:t>kon</m:t>
              </m:r>
            </m:sub>
          </m:sSub>
          <m:r>
            <w:rPr>
              <w:rFonts w:ascii="Cambria Math" w:hAnsi="Cambria Math"/>
            </w:rPr>
            <m:t>⋅</m:t>
          </m:r>
          <m:sSub>
            <m:e>
              <m:r>
                <w:rPr>
                  <w:rFonts w:ascii="Cambria Math" w:hAnsi="Cambria Math"/>
                </w:rPr>
                <m:t>Φ</m:t>
              </m:r>
            </m:e>
            <m:sub>
              <m:r>
                <m:rPr>
                  <m:sty m:val="p"/>
                </m:rPr>
                <w:rPr>
                  <w:rFonts w:ascii="Cambria Math" w:hAnsi="Cambria Math"/>
                </w:rPr>
                <m:t>sol</m:t>
              </m:r>
            </m:sub>
          </m:sSub>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sol,AW</m:t>
              </m:r>
            </m:sub>
          </m:sSub>
          <m:r>
            <w:rPr>
              <w:rFonts w:ascii="Cambria Math" w:hAnsi="Cambria Math"/>
            </w:rPr>
            <m:t>=</m:t>
          </m:r>
          <m:r>
            <w:rPr>
              <w:rFonts w:ascii="Cambria Math" w:hAnsi="Cambria Math"/>
            </w:rPr>
            <m:t>(</m:t>
          </m:r>
          <m:r>
            <w:rPr>
              <w:rFonts w:ascii="Cambria Math" w:hAnsi="Cambria Math"/>
            </w:rPr>
            <m:t>1</m:t>
          </m:r>
          <m:r>
            <w:rPr>
              <w:rFonts w:ascii="Cambria Math" w:hAnsi="Cambria Math"/>
            </w:rPr>
            <m:t>-</m:t>
          </m:r>
          <m:sSub>
            <m:e>
              <m:r>
                <w:rPr>
                  <w:rFonts w:ascii="Cambria Math" w:hAnsi="Cambria Math"/>
                </w:rPr>
                <m:t>a</m:t>
              </m:r>
            </m:e>
            <m:sub>
              <m:r>
                <m:rPr>
                  <m:sty m:val="p"/>
                </m:rPr>
                <w:rPr>
                  <w:rFonts w:ascii="Cambria Math" w:hAnsi="Cambria Math"/>
                </w:rPr>
                <m:t>kon</m:t>
              </m:r>
            </m:sub>
          </m:sSub>
          <m:r>
            <w:rPr>
              <w:rFonts w:ascii="Cambria Math" w:hAnsi="Cambria Math"/>
            </w:rPr>
            <m:t>)</m:t>
          </m:r>
          <m:r>
            <w:rPr>
              <w:rFonts w:ascii="Cambria Math" w:hAnsi="Cambria Math"/>
            </w:rPr>
            <m:t>⋅</m:t>
          </m:r>
          <m:sSub>
            <m:e>
              <m:r>
                <w:rPr>
                  <w:rFonts w:ascii="Cambria Math" w:hAnsi="Cambria Math"/>
                </w:rPr>
                <m:t>Φ</m:t>
              </m:r>
            </m:e>
            <m:sub>
              <m:r>
                <m:rPr>
                  <m:sty m:val="p"/>
                </m:rPr>
                <w:rPr>
                  <w:rFonts w:ascii="Cambria Math" w:hAnsi="Cambria Math"/>
                </w:rPr>
                <m:t>sol</m:t>
              </m:r>
            </m:sub>
          </m:sSub>
          <m:r>
            <w:rPr>
              <w:rFonts w:ascii="Cambria Math" w:hAnsi="Cambria Math"/>
            </w:rPr>
            <m:t>⋅</m:t>
          </m:r>
          <m:f>
            <m:num>
              <m:sSub>
                <m:e>
                  <m:r>
                    <w:rPr>
                      <w:rFonts w:ascii="Cambria Math" w:hAnsi="Cambria Math"/>
                    </w:rPr>
                    <m:t>A</m:t>
                  </m:r>
                </m:e>
                <m:sub>
                  <m:r>
                    <m:rPr>
                      <m:sty m:val="p"/>
                    </m:rPr>
                    <w:rPr>
                      <w:rFonts w:ascii="Cambria Math" w:hAnsi="Cambria Math"/>
                    </w:rPr>
                    <m:t>AW,opak</m:t>
                  </m:r>
                </m:sub>
              </m:sSub>
            </m:num>
            <m:den>
              <m:sSub>
                <m:e>
                  <m:r>
                    <w:rPr>
                      <w:rFonts w:ascii="Cambria Math" w:hAnsi="Cambria Math"/>
                    </w:rPr>
                    <m:t>A</m:t>
                  </m:r>
                </m:e>
                <m:sub>
                  <m:r>
                    <m:rPr>
                      <m:sty m:val="p"/>
                    </m:rPr>
                    <w:rPr>
                      <w:rFonts w:ascii="Cambria Math" w:hAnsi="Cambria Math"/>
                    </w:rPr>
                    <m:t>Raum</m:t>
                  </m:r>
                </m:sub>
              </m:sSub>
            </m:den>
          </m:f>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sol,IW</m:t>
              </m:r>
            </m:sub>
          </m:sSub>
          <m:r>
            <w:rPr>
              <w:rFonts w:ascii="Cambria Math" w:hAnsi="Cambria Math"/>
            </w:rPr>
            <m:t>=</m:t>
          </m:r>
          <m:r>
            <w:rPr>
              <w:rFonts w:ascii="Cambria Math" w:hAnsi="Cambria Math"/>
            </w:rPr>
            <m:t>(</m:t>
          </m:r>
          <m:r>
            <w:rPr>
              <w:rFonts w:ascii="Cambria Math" w:hAnsi="Cambria Math"/>
            </w:rPr>
            <m:t>1</m:t>
          </m:r>
          <m:r>
            <w:rPr>
              <w:rFonts w:ascii="Cambria Math" w:hAnsi="Cambria Math"/>
            </w:rPr>
            <m:t>-</m:t>
          </m:r>
          <m:sSub>
            <m:e>
              <m:r>
                <w:rPr>
                  <w:rFonts w:ascii="Cambria Math" w:hAnsi="Cambria Math"/>
                </w:rPr>
                <m:t>a</m:t>
              </m:r>
            </m:e>
            <m:sub>
              <m:r>
                <m:rPr>
                  <m:sty m:val="p"/>
                </m:rPr>
                <w:rPr>
                  <w:rFonts w:ascii="Cambria Math" w:hAnsi="Cambria Math"/>
                </w:rPr>
                <m:t>kon</m:t>
              </m:r>
            </m:sub>
          </m:sSub>
          <m:r>
            <w:rPr>
              <w:rFonts w:ascii="Cambria Math" w:hAnsi="Cambria Math"/>
            </w:rPr>
            <m:t>)</m:t>
          </m:r>
          <m:r>
            <w:rPr>
              <w:rFonts w:ascii="Cambria Math" w:hAnsi="Cambria Math"/>
            </w:rPr>
            <m:t>⋅</m:t>
          </m:r>
          <m:sSub>
            <m:e>
              <m:r>
                <w:rPr>
                  <w:rFonts w:ascii="Cambria Math" w:hAnsi="Cambria Math"/>
                </w:rPr>
                <m:t>Φ</m:t>
              </m:r>
            </m:e>
            <m:sub>
              <m:r>
                <m:rPr>
                  <m:sty m:val="p"/>
                </m:rPr>
                <w:rPr>
                  <w:rFonts w:ascii="Cambria Math" w:hAnsi="Cambria Math"/>
                </w:rPr>
                <m:t>sol</m:t>
              </m:r>
            </m:sub>
          </m:sSub>
          <m:r>
            <w:rPr>
              <w:rFonts w:ascii="Cambria Math" w:hAnsi="Cambria Math"/>
            </w:rPr>
            <m:t>⋅</m:t>
          </m:r>
          <m:f>
            <m:num>
              <m:sSub>
                <m:e>
                  <m:r>
                    <w:rPr>
                      <w:rFonts w:ascii="Cambria Math" w:hAnsi="Cambria Math"/>
                    </w:rPr>
                    <m:t>A</m:t>
                  </m:r>
                </m:e>
                <m:sub>
                  <m:r>
                    <m:rPr>
                      <m:sty m:val="p"/>
                    </m:rPr>
                    <w:rPr>
                      <w:rFonts w:ascii="Cambria Math" w:hAnsi="Cambria Math"/>
                    </w:rPr>
                    <m:t>IW</m:t>
                  </m:r>
                </m:sub>
              </m:sSub>
            </m:num>
            <m:den>
              <m:sSub>
                <m:e>
                  <m:r>
                    <w:rPr>
                      <w:rFonts w:ascii="Cambria Math" w:hAnsi="Cambria Math"/>
                    </w:rPr>
                    <m:t>A</m:t>
                  </m:r>
                </m:e>
                <m:sub>
                  <m:r>
                    <m:rPr>
                      <m:sty m:val="p"/>
                    </m:rPr>
                    <w:rPr>
                      <w:rFonts w:ascii="Cambria Math" w:hAnsi="Cambria Math"/>
                    </w:rPr>
                    <m:t>Raum</m:t>
                  </m:r>
                </m:sub>
              </m:sSub>
            </m:den>
          </m:f>
        </m:oMath>
      </m:oMathPara>
    </w:p>
    <w:p>
      <w:r>
        <w:t xml:space="preserve">Die Fenster tragen im 2-K-Netz </w:t>
      </w:r>
      <w:r>
        <w:rPr>
          <w:b/>
        </w:rPr>
        <w:t xml:space="preserve">keinen</w:t>
      </w:r>
      <w:r>
        <w:t xml:space="preserve"> Oberflächenknoten. Die Richtlinie verteilt nach (45)/(46) mit der Fläche der bestrahlten Orientierung; diese Fläche ist im Klassenweg nicht rechenbar, weil </w:t>
      </w:r>
      <w:r>
        <w:rPr>
          <w:rFonts w:ascii="Consolas" w:hAnsi="Consolas" w:cs="Consolas"/>
          <w:noProof/>
          <w:sz w:val="20"/>
          <w:szCs w:val="20"/>
          <w:shd w:val="clear" w:color="auto" w:fill="EFEFEF"/>
        </w:rPr>
        <w:t xml:space="preserve">Tab_Gebaeude</w:t>
      </w:r>
      <w:r>
        <w:t xml:space="preserve"> nur die Summe der Außenwandfläche führt. In G1 gilt sie deshalb als null, und die Verteilung ist flächenproportional; mit dem Bauteilkatalog wird auf (45)/(46) umgestellt.</w:t>
      </w:r>
    </w:p>
    <w:p>
      <w:r>
        <w:rPr>
          <w:b/>
        </w:rPr>
        <w:t xml:space="preserve">E4 — innere Lasten</w:t>
      </w:r>
      <w:r>
        <w:t xml:space="preserve"> aus </w:t>
      </w:r>
      <w:r>
        <w:rPr>
          <w:rFonts w:ascii="Consolas" w:hAnsi="Consolas" w:cs="Consolas"/>
          <w:noProof/>
          <w:sz w:val="20"/>
          <w:szCs w:val="20"/>
          <w:shd w:val="clear" w:color="auto" w:fill="EFEFEF"/>
        </w:rPr>
        <w:t xml:space="preserve">Interne_Waermegewinne</w:t>
      </w:r>
      <w:r>
        <w:t xml:space="preserve"> (Verteilung nach (43)/(44), flächenproportional wie E3)</w:t>
      </w:r>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int,conv</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5</m:t>
          </m:r>
          <m:r>
            <w:rPr>
              <w:rFonts w:ascii="Cambria Math" w:hAnsi="Cambria Math"/>
            </w:rPr>
            <m:t>⋅</m:t>
          </m:r>
          <m:sSub>
            <m:e>
              <m:r>
                <w:rPr>
                  <w:rFonts w:ascii="Cambria Math" w:hAnsi="Cambria Math"/>
                </w:rPr>
                <m:t>Φ</m:t>
              </m:r>
            </m:e>
            <m:sub>
              <m:r>
                <m:rPr>
                  <m:sty m:val="p"/>
                </m:rPr>
                <w:rPr>
                  <w:rFonts w:ascii="Cambria Math" w:hAnsi="Cambria Math"/>
                </w:rPr>
                <m:t>int</m:t>
              </m:r>
            </m:sub>
          </m:sSub>
          <m:r>
            <w:rPr>
              <w:rFonts w:ascii="Cambria Math" w:hAnsi="Cambria Math"/>
            </w:rPr>
            <m:t xml:space="preserve"> </m:t>
          </m:r>
          <m:r>
            <w:rPr>
              <w:rFonts w:ascii="Cambria Math" w:hAnsi="Cambria Math"/>
            </w:rPr>
            <m:t>[</m:t>
          </m:r>
          <m:r>
            <m:rPr>
              <m:sty m:val="p"/>
            </m:rPr>
            <w:rPr>
              <w:rFonts w:ascii="Cambria Math" w:hAnsi="Cambria Math"/>
            </w:rPr>
            <m:t>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int,rad</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5</m:t>
          </m:r>
          <m:r>
            <w:rPr>
              <w:rFonts w:ascii="Cambria Math" w:hAnsi="Cambria Math"/>
            </w:rPr>
            <m:t>⋅</m:t>
          </m:r>
          <m:sSub>
            <m:e>
              <m:r>
                <w:rPr>
                  <w:rFonts w:ascii="Cambria Math" w:hAnsi="Cambria Math"/>
                </w:rPr>
                <m:t>Φ</m:t>
              </m:r>
            </m:e>
            <m:sub>
              <m:r>
                <m:rPr>
                  <m:sty m:val="p"/>
                </m:rPr>
                <w:rPr>
                  <w:rFonts w:ascii="Cambria Math" w:hAnsi="Cambria Math"/>
                </w:rPr>
                <m:t>int</m:t>
              </m:r>
            </m:sub>
          </m:sSub>
          <m:r>
            <w:rPr>
              <w:rFonts w:ascii="Cambria Math" w:hAnsi="Cambria Math"/>
            </w:rPr>
            <m:t xml:space="preserve"> </m:t>
          </m:r>
          <m:r>
            <w:rPr>
              <w:rFonts w:ascii="Cambria Math" w:hAnsi="Cambria Math"/>
            </w:rPr>
            <m:t>[</m:t>
          </m:r>
          <m:r>
            <m:rPr>
              <m:sty m:val="p"/>
            </m:rPr>
            <w:rPr>
              <w:rFonts w:ascii="Cambria Math" w:hAnsi="Cambria Math"/>
            </w:rPr>
            <m:t>W</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int,AW</m:t>
              </m:r>
            </m:sub>
          </m:sSub>
          <m:r>
            <w:rPr>
              <w:rFonts w:ascii="Cambria Math" w:hAnsi="Cambria Math"/>
            </w:rPr>
            <m:t>=</m:t>
          </m:r>
          <m:sSub>
            <m:e>
              <m:r>
                <w:rPr>
                  <w:rFonts w:ascii="Cambria Math" w:hAnsi="Cambria Math"/>
                </w:rPr>
                <m:t>Φ</m:t>
              </m:r>
            </m:e>
            <m:sub>
              <m:r>
                <m:rPr>
                  <m:sty m:val="p"/>
                </m:rPr>
                <w:rPr>
                  <w:rFonts w:ascii="Cambria Math" w:hAnsi="Cambria Math"/>
                </w:rPr>
                <m:t>int,rad</m:t>
              </m:r>
            </m:sub>
          </m:sSub>
          <m:r>
            <w:rPr>
              <w:rFonts w:ascii="Cambria Math" w:hAnsi="Cambria Math"/>
            </w:rPr>
            <m:t>⋅</m:t>
          </m:r>
          <m:f>
            <m:num>
              <m:sSub>
                <m:e>
                  <m:r>
                    <w:rPr>
                      <w:rFonts w:ascii="Cambria Math" w:hAnsi="Cambria Math"/>
                    </w:rPr>
                    <m:t>A</m:t>
                  </m:r>
                </m:e>
                <m:sub>
                  <m:r>
                    <m:rPr>
                      <m:sty m:val="p"/>
                    </m:rPr>
                    <w:rPr>
                      <w:rFonts w:ascii="Cambria Math" w:hAnsi="Cambria Math"/>
                    </w:rPr>
                    <m:t>AW,opak</m:t>
                  </m:r>
                </m:sub>
              </m:sSub>
            </m:num>
            <m:den>
              <m:sSub>
                <m:e>
                  <m:r>
                    <w:rPr>
                      <w:rFonts w:ascii="Cambria Math" w:hAnsi="Cambria Math"/>
                    </w:rPr>
                    <m:t>A</m:t>
                  </m:r>
                </m:e>
                <m:sub>
                  <m:r>
                    <m:rPr>
                      <m:sty m:val="p"/>
                    </m:rPr>
                    <w:rPr>
                      <w:rFonts w:ascii="Cambria Math" w:hAnsi="Cambria Math"/>
                    </w:rPr>
                    <m:t>Raum</m:t>
                  </m:r>
                </m:sub>
              </m:sSub>
            </m:den>
          </m:f>
        </m:oMath>
      </m:oMathPara>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int,IW</m:t>
              </m:r>
            </m:sub>
          </m:sSub>
          <m:r>
            <w:rPr>
              <w:rFonts w:ascii="Cambria Math" w:hAnsi="Cambria Math"/>
            </w:rPr>
            <m:t>=</m:t>
          </m:r>
          <m:sSub>
            <m:e>
              <m:r>
                <w:rPr>
                  <w:rFonts w:ascii="Cambria Math" w:hAnsi="Cambria Math"/>
                </w:rPr>
                <m:t>Φ</m:t>
              </m:r>
            </m:e>
            <m:sub>
              <m:r>
                <m:rPr>
                  <m:sty m:val="p"/>
                </m:rPr>
                <w:rPr>
                  <w:rFonts w:ascii="Cambria Math" w:hAnsi="Cambria Math"/>
                </w:rPr>
                <m:t>int,rad</m:t>
              </m:r>
            </m:sub>
          </m:sSub>
          <m:r>
            <w:rPr>
              <w:rFonts w:ascii="Cambria Math" w:hAnsi="Cambria Math"/>
            </w:rPr>
            <m:t>⋅</m:t>
          </m:r>
          <m:f>
            <m:num>
              <m:sSub>
                <m:e>
                  <m:r>
                    <w:rPr>
                      <w:rFonts w:ascii="Cambria Math" w:hAnsi="Cambria Math"/>
                    </w:rPr>
                    <m:t>A</m:t>
                  </m:r>
                </m:e>
                <m:sub>
                  <m:r>
                    <m:rPr>
                      <m:sty m:val="p"/>
                    </m:rPr>
                    <w:rPr>
                      <w:rFonts w:ascii="Cambria Math" w:hAnsi="Cambria Math"/>
                    </w:rPr>
                    <m:t>IW</m:t>
                  </m:r>
                </m:sub>
              </m:sSub>
            </m:num>
            <m:den>
              <m:sSub>
                <m:e>
                  <m:r>
                    <w:rPr>
                      <w:rFonts w:ascii="Cambria Math" w:hAnsi="Cambria Math"/>
                    </w:rPr>
                    <m:t>A</m:t>
                  </m:r>
                </m:e>
                <m:sub>
                  <m:r>
                    <m:rPr>
                      <m:sty m:val="p"/>
                    </m:rPr>
                    <w:rPr>
                      <w:rFonts w:ascii="Cambria Math" w:hAnsi="Cambria Math"/>
                    </w:rPr>
                    <m:t>Raum</m:t>
                  </m:r>
                </m:sub>
              </m:sSub>
            </m:den>
          </m:f>
        </m:oMath>
      </m:oMathPara>
    </w:p>
    <w:p>
      <w:r>
        <w:t xml:space="preserve">Für den Löser wird je Oberflächenknoten die </w:t>
      </w:r>
      <w:r>
        <w:rPr>
          <w:b/>
        </w:rPr>
        <w:t xml:space="preserve">Summe</w:t>
      </w:r>
      <w:r>
        <w:t xml:space="preserve"> aus solarem und innerem Strahlungsanteil gebraucht.</w:t>
      </w:r>
    </w:p>
    <w:p>
      <w:r>
        <w:rPr>
          <w:b/>
        </w:rPr>
        <w:t xml:space="preserve">E5 — äquivalente Außentemperatur je Fläche</w:t>
      </w:r>
      <w:r>
        <w:t xml:space="preserve"> (32)–(40)</w:t>
      </w:r>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A,eq</m:t>
              </m:r>
              <m:r>
                <w:rPr>
                  <w:rFonts w:ascii="Cambria Math" w:hAnsi="Cambria Math"/>
                </w:rPr>
                <m:t>,</m:t>
              </m:r>
              <m:r>
                <w:rPr>
                  <w:rFonts w:ascii="Cambria Math" w:hAnsi="Cambria Math"/>
                </w:rPr>
                <m:t>k</m:t>
              </m:r>
            </m:sub>
          </m:sSub>
          <m:r>
            <w:rPr>
              <w:rFonts w:ascii="Cambria Math" w:hAnsi="Cambria Math"/>
            </w:rPr>
            <m:t>=</m:t>
          </m:r>
          <m:sSub>
            <m:e>
              <m:r>
                <w:rPr>
                  <w:rFonts w:ascii="Cambria Math" w:hAnsi="Cambria Math"/>
                </w:rPr>
                <m:t>θ</m:t>
              </m:r>
            </m:e>
            <m:sub>
              <m:r>
                <m:rPr>
                  <m:sty m:val="p"/>
                </m:rPr>
                <w:rPr>
                  <w:rFonts w:ascii="Cambria Math" w:hAnsi="Cambria Math"/>
                </w:rPr>
                <m:t>out</m:t>
              </m:r>
            </m:sub>
          </m:sSub>
          <m:r>
            <w:rPr>
              <w:rFonts w:ascii="Cambria Math" w:hAnsi="Cambria Math"/>
            </w:rPr>
            <m:t>+</m:t>
          </m:r>
          <m:r>
            <w:rPr>
              <w:rFonts w:ascii="Cambria Math" w:hAnsi="Cambria Math"/>
            </w:rPr>
            <m:t>Δ</m:t>
          </m:r>
          <m:sSub>
            <m:e>
              <m:r>
                <w:rPr>
                  <w:rFonts w:ascii="Cambria Math" w:hAnsi="Cambria Math"/>
                </w:rPr>
                <m:t>θ</m:t>
              </m:r>
            </m:e>
            <m:sub>
              <m:r>
                <m:rPr>
                  <m:sty m:val="p"/>
                </m:rPr>
                <w:rPr>
                  <w:rFonts w:ascii="Cambria Math" w:hAnsi="Cambria Math"/>
                </w:rPr>
                <m:t>lw</m:t>
              </m:r>
              <m:r>
                <w:rPr>
                  <w:rFonts w:ascii="Cambria Math" w:hAnsi="Cambria Math"/>
                </w:rPr>
                <m:t>,</m:t>
              </m:r>
              <m:r>
                <w:rPr>
                  <w:rFonts w:ascii="Cambria Math" w:hAnsi="Cambria Math"/>
                </w:rPr>
                <m:t>k</m:t>
              </m:r>
            </m:sub>
          </m:sSub>
          <m:r>
            <w:rPr>
              <w:rFonts w:ascii="Cambria Math" w:hAnsi="Cambria Math"/>
            </w:rPr>
            <m:t>+</m:t>
          </m:r>
          <m:r>
            <w:rPr>
              <w:rFonts w:ascii="Cambria Math" w:hAnsi="Cambria Math"/>
            </w:rPr>
            <m:t>Δ</m:t>
          </m:r>
          <m:sSub>
            <m:e>
              <m:r>
                <w:rPr>
                  <w:rFonts w:ascii="Cambria Math" w:hAnsi="Cambria Math"/>
                </w:rPr>
                <m:t>θ</m:t>
              </m:r>
            </m:e>
            <m:sub>
              <m:r>
                <m:rPr>
                  <m:sty m:val="p"/>
                </m:rPr>
                <w:rPr>
                  <w:rFonts w:ascii="Cambria Math" w:hAnsi="Cambria Math"/>
                </w:rPr>
                <m:t>kw</m:t>
              </m:r>
              <m:r>
                <w:rPr>
                  <w:rFonts w:ascii="Cambria Math" w:hAnsi="Cambria Math"/>
                </w:rPr>
                <m:t>,</m:t>
              </m:r>
              <m:r>
                <w:rPr>
                  <w:rFonts w:ascii="Cambria Math" w:hAnsi="Cambria Math"/>
                </w:rPr>
                <m:t>k</m:t>
              </m:r>
            </m:sub>
          </m:sSub>
          <m:r>
            <w:rPr>
              <w:rFonts w:ascii="Cambria Math" w:hAnsi="Cambria Math"/>
            </w:rPr>
            <m:t xml:space="preserve"> </m:t>
          </m:r>
          <m:r>
            <w:rPr>
              <w:rFonts w:ascii="Cambria Math" w:hAnsi="Cambria Math"/>
            </w:rPr>
            <m:t>[</m:t>
          </m:r>
          <m:r>
            <w:rPr>
              <w:rFonts w:ascii="Cambria Math" w:hAnsi="Cambria Math"/>
            </w:rPr>
            <m:t>°</m:t>
          </m:r>
          <m:r>
            <m:rPr>
              <m:sty m:val="p"/>
            </m:rPr>
            <w:rPr>
              <w:rFonts w:ascii="Cambria Math" w:hAnsi="Cambria Math"/>
            </w:rPr>
            <m:t>C</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Δ</m:t>
          </m:r>
          <m:sSub>
            <m:e>
              <m:r>
                <w:rPr>
                  <w:rFonts w:ascii="Cambria Math" w:hAnsi="Cambria Math"/>
                </w:rPr>
                <m:t>θ</m:t>
              </m:r>
            </m:e>
            <m:sub>
              <m:r>
                <m:rPr>
                  <m:sty m:val="p"/>
                </m:rPr>
                <w:rPr>
                  <w:rFonts w:ascii="Cambria Math" w:hAnsi="Cambria Math"/>
                </w:rPr>
                <m:t>kw</m:t>
              </m:r>
              <m:r>
                <w:rPr>
                  <w:rFonts w:ascii="Cambria Math" w:hAnsi="Cambria Math"/>
                </w:rPr>
                <m:t>,</m:t>
              </m:r>
              <m:r>
                <w:rPr>
                  <w:rFonts w:ascii="Cambria Math" w:hAnsi="Cambria Math"/>
                </w:rPr>
                <m:t>k</m:t>
              </m:r>
            </m:sub>
          </m:sSub>
          <m:r>
            <w:rPr>
              <w:rFonts w:ascii="Cambria Math" w:hAnsi="Cambria Math"/>
            </w:rPr>
            <m:t>=</m:t>
          </m:r>
          <m:f>
            <m:num>
              <m:r>
                <w:rPr>
                  <w:rFonts w:ascii="Cambria Math" w:hAnsi="Cambria Math"/>
                </w:rPr>
                <m:t>(</m:t>
              </m:r>
              <m:sSub>
                <m:e>
                  <m:r>
                    <w:rPr>
                      <w:rFonts w:ascii="Cambria Math" w:hAnsi="Cambria Math"/>
                    </w:rPr>
                    <m:t>I</m:t>
                  </m:r>
                </m:e>
                <m:sub>
                  <m:r>
                    <m:rPr>
                      <m:sty m:val="p"/>
                    </m:rPr>
                    <w:rPr>
                      <w:rFonts w:ascii="Cambria Math" w:hAnsi="Cambria Math"/>
                    </w:rPr>
                    <m:t>dir</m:t>
                  </m:r>
                  <m:r>
                    <w:rPr>
                      <w:rFonts w:ascii="Cambria Math" w:hAnsi="Cambria Math"/>
                    </w:rPr>
                    <m:t>,</m:t>
                  </m:r>
                  <m:r>
                    <w:rPr>
                      <w:rFonts w:ascii="Cambria Math" w:hAnsi="Cambria Math"/>
                    </w:rPr>
                    <m:t>k</m:t>
                  </m:r>
                </m:sub>
              </m:sSub>
              <m:r>
                <w:rPr>
                  <w:rFonts w:ascii="Cambria Math" w:hAnsi="Cambria Math"/>
                </w:rPr>
                <m:t>+</m:t>
              </m:r>
              <m:sSub>
                <m:e>
                  <m:r>
                    <w:rPr>
                      <w:rFonts w:ascii="Cambria Math" w:hAnsi="Cambria Math"/>
                    </w:rPr>
                    <m:t>I</m:t>
                  </m:r>
                </m:e>
                <m:sub>
                  <m:r>
                    <m:rPr>
                      <m:sty m:val="p"/>
                    </m:rPr>
                    <w:rPr>
                      <w:rFonts w:ascii="Cambria Math" w:hAnsi="Cambria Math"/>
                    </w:rPr>
                    <m:t>diff</m:t>
                  </m:r>
                  <m:r>
                    <w:rPr>
                      <w:rFonts w:ascii="Cambria Math" w:hAnsi="Cambria Math"/>
                    </w:rPr>
                    <m:t>,</m:t>
                  </m:r>
                  <m:r>
                    <w:rPr>
                      <w:rFonts w:ascii="Cambria Math" w:hAnsi="Cambria Math"/>
                    </w:rPr>
                    <m:t>k</m:t>
                  </m:r>
                </m:sub>
              </m:sSub>
              <m:r>
                <w:rPr>
                  <w:rFonts w:ascii="Cambria Math" w:hAnsi="Cambria Math"/>
                </w:rPr>
                <m:t>)</m:t>
              </m:r>
              <m:r>
                <w:rPr>
                  <w:rFonts w:ascii="Cambria Math" w:hAnsi="Cambria Math"/>
                </w:rPr>
                <m:t>⋅</m:t>
              </m:r>
              <m:sSub>
                <m:e>
                  <m:r>
                    <w:rPr>
                      <w:rFonts w:ascii="Cambria Math" w:hAnsi="Cambria Math"/>
                    </w:rPr>
                    <m:t>a</m:t>
                  </m:r>
                </m:e>
                <m:sub>
                  <m:r>
                    <m:rPr>
                      <m:sty m:val="p"/>
                    </m:rPr>
                    <w:rPr>
                      <w:rFonts w:ascii="Cambria Math" w:hAnsi="Cambria Math"/>
                    </w:rPr>
                    <m:t>F</m:t>
                  </m:r>
                </m:sub>
              </m:sSub>
            </m:num>
            <m:den>
              <m:sSub>
                <m:e>
                  <m:r>
                    <w:rPr>
                      <w:rFonts w:ascii="Cambria Math" w:hAnsi="Cambria Math"/>
                    </w:rPr>
                    <m:t>α</m:t>
                  </m:r>
                </m:e>
                <m:sub>
                  <m:r>
                    <m:rPr>
                      <m:sty m:val="p"/>
                    </m:rPr>
                    <w:rPr>
                      <w:rFonts w:ascii="Cambria Math" w:hAnsi="Cambria Math"/>
                    </w:rPr>
                    <m:t>A</m:t>
                  </m:r>
                </m:sub>
              </m:sSub>
            </m:den>
          </m:f>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2</m:t>
          </m:r>
          <m:r>
            <w:rPr>
              <w:rFonts w:ascii="Cambria Math" w:hAnsi="Cambria Math"/>
            </w:rPr>
            <m:t>)</m:t>
          </m:r>
          <m:r>
            <w:rPr>
              <w:rFonts w:ascii="Cambria Math" w:hAnsi="Cambria Math"/>
            </w:rPr>
            <m:t>,</m:t>
          </m:r>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8</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Δ</m:t>
          </m:r>
          <m:sSub>
            <m:e>
              <m:r>
                <w:rPr>
                  <w:rFonts w:ascii="Cambria Math" w:hAnsi="Cambria Math"/>
                </w:rPr>
                <m:t>θ</m:t>
              </m:r>
            </m:e>
            <m:sub>
              <m:r>
                <m:rPr>
                  <m:sty m:val="p"/>
                </m:rPr>
                <w:rPr>
                  <w:rFonts w:ascii="Cambria Math" w:hAnsi="Cambria Math"/>
                </w:rPr>
                <m:t>lw</m:t>
              </m:r>
              <m:r>
                <w:rPr>
                  <w:rFonts w:ascii="Cambria Math" w:hAnsi="Cambria Math"/>
                </w:rPr>
                <m:t>,</m:t>
              </m:r>
              <m:r>
                <w:rPr>
                  <w:rFonts w:ascii="Cambria Math" w:hAnsi="Cambria Math"/>
                </w:rPr>
                <m:t>k</m:t>
              </m:r>
            </m:sub>
          </m:sSub>
          <m:r>
            <w:rPr>
              <w:rFonts w:ascii="Cambria Math" w:hAnsi="Cambria Math"/>
            </w:rPr>
            <m:t>=</m:t>
          </m:r>
          <m:f>
            <m:num>
              <m:sSub>
                <m:e>
                  <m:r>
                    <w:rPr>
                      <w:rFonts w:ascii="Cambria Math" w:hAnsi="Cambria Math"/>
                    </w:rPr>
                    <m:t>φ</m:t>
                  </m:r>
                </m:e>
                <m:sub>
                  <m:r>
                    <w:rPr>
                      <w:rFonts w:ascii="Cambria Math" w:hAnsi="Cambria Math"/>
                    </w:rPr>
                    <m:t>k</m:t>
                  </m:r>
                </m:sub>
              </m:sSub>
              <m:r>
                <w:rPr>
                  <w:rFonts w:ascii="Cambria Math" w:hAnsi="Cambria Math"/>
                </w:rPr>
                <m:t>⋅</m:t>
              </m:r>
              <m:sSub>
                <m:e>
                  <m:r>
                    <w:rPr>
                      <w:rFonts w:ascii="Cambria Math" w:hAnsi="Cambria Math"/>
                    </w:rPr>
                    <m:t>ε</m:t>
                  </m:r>
                </m:e>
                <m:sub>
                  <m:r>
                    <m:rPr>
                      <m:sty m:val="p"/>
                    </m:rPr>
                    <w:rPr>
                      <w:rFonts w:ascii="Cambria Math" w:hAnsi="Cambria Math"/>
                    </w:rPr>
                    <m:t>F</m:t>
                  </m:r>
                </m:sub>
              </m:sSub>
              <m:r>
                <w:rPr>
                  <w:rFonts w:ascii="Cambria Math" w:hAnsi="Cambria Math"/>
                </w:rPr>
                <m:t>⋅</m:t>
              </m:r>
              <m:r>
                <w:rPr>
                  <w:rFonts w:ascii="Cambria Math" w:hAnsi="Cambria Math"/>
                </w:rPr>
                <m:t>(</m:t>
              </m:r>
              <m:sSub>
                <m:e>
                  <m:r>
                    <w:rPr>
                      <w:rFonts w:ascii="Cambria Math" w:hAnsi="Cambria Math"/>
                    </w:rPr>
                    <m:t>E</m:t>
                  </m:r>
                </m:e>
                <m:sub>
                  <m:r>
                    <m:rPr>
                      <m:sty m:val="p"/>
                    </m:rPr>
                    <w:rPr>
                      <w:rFonts w:ascii="Cambria Math" w:hAnsi="Cambria Math"/>
                    </w:rPr>
                    <m:t>A</m:t>
                  </m:r>
                </m:sub>
              </m:sSub>
              <m:r>
                <w:rPr>
                  <w:rFonts w:ascii="Cambria Math" w:hAnsi="Cambria Math"/>
                </w:rPr>
                <m:t>-</m:t>
              </m:r>
              <m:sSub>
                <m:e>
                  <m:r>
                    <w:rPr>
                      <w:rFonts w:ascii="Cambria Math" w:hAnsi="Cambria Math"/>
                    </w:rPr>
                    <m:t>E</m:t>
                  </m:r>
                </m:e>
                <m:sub>
                  <m:r>
                    <m:rPr>
                      <m:sty m:val="p"/>
                    </m:rPr>
                    <w:rPr>
                      <w:rFonts w:ascii="Cambria Math" w:hAnsi="Cambria Math"/>
                    </w:rPr>
                    <m:t>E</m:t>
                  </m:r>
                </m:sub>
              </m:sSub>
              <m:r>
                <w:rPr>
                  <w:rFonts w:ascii="Cambria Math" w:hAnsi="Cambria Math"/>
                </w:rPr>
                <m:t>)</m:t>
              </m:r>
            </m:num>
            <m:den>
              <m:sSub>
                <m:e>
                  <m:r>
                    <w:rPr>
                      <w:rFonts w:ascii="Cambria Math" w:hAnsi="Cambria Math"/>
                    </w:rPr>
                    <m:t>α</m:t>
                  </m:r>
                </m:e>
                <m:sub>
                  <m:r>
                    <m:rPr>
                      <m:sty m:val="p"/>
                    </m:rPr>
                    <w:rPr>
                      <w:rFonts w:ascii="Cambria Math" w:hAnsi="Cambria Math"/>
                    </w:rPr>
                    <m:t>A</m:t>
                  </m:r>
                </m:sub>
              </m:sSub>
            </m:den>
          </m:f>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3</m:t>
          </m:r>
          <m:r>
            <w:rPr>
              <w:rFonts w:ascii="Cambria Math" w:hAnsi="Cambria Math"/>
            </w:rPr>
            <m:t>)</m:t>
          </m:r>
          <m:r>
            <w:rPr>
              <w:rFonts w:ascii="Cambria Math" w:hAnsi="Cambria Math"/>
            </w:rPr>
            <m:t>-</m:t>
          </m:r>
          <m:r>
            <w:rPr>
              <w:rFonts w:ascii="Cambria Math" w:hAnsi="Cambria Math"/>
            </w:rPr>
            <m:t>(</m:t>
          </m:r>
          <m:r>
            <w:rPr>
              <w:rFonts w:ascii="Cambria Math" w:hAnsi="Cambria Math"/>
            </w:rPr>
            <m:t>3</m:t>
          </m:r>
          <m:r>
            <w:rPr>
              <w:rFonts w:ascii="Cambria Math" w:hAnsi="Cambria Math"/>
            </w:rPr>
            <m:t>7</m:t>
          </m:r>
          <m:r>
            <w:rPr>
              <w:rFonts w:ascii="Cambria Math" w:hAnsi="Cambria Math"/>
            </w:rPr>
            <m:t>)</m:t>
          </m:r>
        </m:oMath>
      </m:oMathPara>
    </w:p>
    <w:p>
      <w:pPr>
        <w:pStyle w:val="Formelblock"/>
      </w:pPr>
      <m:oMathPara xmlns:m="http://schemas.openxmlformats.org/officeDocument/2006/math">
        <m:oMathParaPr>
          <m:jc m:val="center"/>
        </m:oMathParaPr>
        <m:oMath>
          <m:r>
            <m:rPr>
              <m:nor m:val="1"/>
            </m:rPr>
            <w:rPr>
              <w:rFonts w:ascii="Cambria Math" w:hAnsi="Cambria Math"/>
            </w:rPr>
            <m:t xml:space="preserve">mit </m:t>
          </m:r>
          <m:sSub>
            <m:e>
              <m:r>
                <w:rPr>
                  <w:rFonts w:ascii="Cambria Math" w:hAnsi="Cambria Math"/>
                </w:rPr>
                <m:t>φ</m:t>
              </m:r>
            </m:e>
            <m:sub>
              <m:r>
                <w:rPr>
                  <w:rFonts w:ascii="Cambria Math" w:hAnsi="Cambria Math"/>
                </w:rPr>
                <m:t>k</m:t>
              </m:r>
            </m:sub>
          </m:sSub>
          <m:r>
            <w:rPr>
              <w:rFonts w:ascii="Cambria Math" w:hAnsi="Cambria Math"/>
            </w:rPr>
            <m:t>=</m:t>
          </m:r>
          <m:f>
            <m:num>
              <m:r>
                <w:rPr>
                  <w:rFonts w:ascii="Cambria Math" w:hAnsi="Cambria Math"/>
                </w:rPr>
                <m:t>1</m:t>
              </m:r>
              <m:r>
                <w:rPr>
                  <w:rFonts w:ascii="Cambria Math" w:hAnsi="Cambria Math"/>
                </w:rPr>
                <m:t>+</m:t>
              </m:r>
              <m:func>
                <m:fName>
                  <m:r>
                    <m:rPr>
                      <m:sty m:val="p"/>
                    </m:rPr>
                    <w:rPr>
                      <w:rFonts w:ascii="Cambria Math" w:hAnsi="Cambria Math"/>
                    </w:rPr>
                    <m:t>cos</m:t>
                  </m:r>
                </m:fName>
                <m:e>
                  <m:sSub>
                    <m:e>
                      <m:r>
                        <w:rPr>
                          <w:rFonts w:ascii="Cambria Math" w:hAnsi="Cambria Math"/>
                        </w:rPr>
                        <m:t>γ</m:t>
                      </m:r>
                    </m:e>
                    <m:sub>
                      <m:r>
                        <m:rPr>
                          <m:sty m:val="p"/>
                        </m:rPr>
                        <w:rPr>
                          <w:rFonts w:ascii="Cambria Math" w:hAnsi="Cambria Math"/>
                        </w:rPr>
                        <m:t>F</m:t>
                      </m:r>
                      <m:r>
                        <w:rPr>
                          <w:rFonts w:ascii="Cambria Math" w:hAnsi="Cambria Math"/>
                        </w:rPr>
                        <m:t>,</m:t>
                      </m:r>
                      <m:r>
                        <w:rPr>
                          <w:rFonts w:ascii="Cambria Math" w:hAnsi="Cambria Math"/>
                        </w:rPr>
                        <m:t>k</m:t>
                      </m:r>
                    </m:sub>
                  </m:sSub>
                </m:e>
              </m:func>
            </m:num>
            <m:den>
              <m:r>
                <w:rPr>
                  <w:rFonts w:ascii="Cambria Math" w:hAnsi="Cambria Math"/>
                </w:rPr>
                <m:t>2</m:t>
              </m:r>
            </m:den>
          </m:f>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6</m:t>
          </m:r>
          <m:r>
            <m:rPr>
              <m:sty m:val="p"/>
            </m:rPr>
            <w:rPr>
              <w:rFonts w:ascii="Cambria Math" w:hAnsi="Cambria Math"/>
            </w:rPr>
            <m:t>a</m:t>
          </m:r>
          <m:r>
            <w:rPr>
              <w:rFonts w:ascii="Cambria Math" w:hAnsi="Cambria Math"/>
            </w:rPr>
            <m:t>)</m:t>
          </m:r>
        </m:oMath>
      </m:oMathPara>
    </w:p>
    <w:p>
      <w:pPr>
        <w:pStyle w:val="Formelblock"/>
      </w:pPr>
      <m:oMathPara xmlns:m="http://schemas.openxmlformats.org/officeDocument/2006/math">
        <m:oMathParaPr>
          <m:jc m:val="center"/>
        </m:oMathParaPr>
        <m:oMath>
          <m:sSub>
            <m:e>
              <m:r>
                <w:rPr>
                  <w:rFonts w:ascii="Cambria Math" w:hAnsi="Cambria Math"/>
                </w:rPr>
                <m:t>α</m:t>
              </m:r>
            </m:e>
            <m:sub>
              <m:r>
                <m:rPr>
                  <m:sty m:val="p"/>
                </m:rPr>
                <w:rPr>
                  <w:rFonts w:ascii="Cambria Math" w:hAnsi="Cambria Math"/>
                </w:rPr>
                <m:t>str,A</m:t>
              </m:r>
            </m:sub>
          </m:sSub>
          <m:r>
            <w:rPr>
              <w:rFonts w:ascii="Cambria Math" w:hAnsi="Cambria Math"/>
            </w:rPr>
            <m:t>=</m:t>
          </m:r>
          <m:f>
            <m:num>
              <m:sSub>
                <m:e>
                  <m:r>
                    <w:rPr>
                      <w:rFonts w:ascii="Cambria Math" w:hAnsi="Cambria Math"/>
                    </w:rPr>
                    <m:t>E</m:t>
                  </m:r>
                </m:e>
                <m:sub>
                  <m:r>
                    <m:rPr>
                      <m:sty m:val="p"/>
                    </m:rPr>
                    <w:rPr>
                      <w:rFonts w:ascii="Cambria Math" w:hAnsi="Cambria Math"/>
                    </w:rPr>
                    <m:t>A</m:t>
                  </m:r>
                </m:sub>
              </m:sSub>
              <m:r>
                <w:rPr>
                  <w:rFonts w:ascii="Cambria Math" w:hAnsi="Cambria Math"/>
                </w:rPr>
                <m:t>+</m:t>
              </m:r>
              <m:sSub>
                <m:e>
                  <m:r>
                    <w:rPr>
                      <w:rFonts w:ascii="Cambria Math" w:hAnsi="Cambria Math"/>
                    </w:rPr>
                    <m:t>E</m:t>
                  </m:r>
                </m:e>
                <m:sub>
                  <m:r>
                    <m:rPr>
                      <m:sty m:val="p"/>
                    </m:rPr>
                    <w:rPr>
                      <w:rFonts w:ascii="Cambria Math" w:hAnsi="Cambria Math"/>
                    </w:rPr>
                    <m:t>E</m:t>
                  </m:r>
                </m:sub>
              </m:sSub>
            </m:num>
            <m:den>
              <m:sSub>
                <m:e>
                  <m:r>
                    <w:rPr>
                      <w:rFonts w:ascii="Cambria Math" w:hAnsi="Cambria Math"/>
                    </w:rPr>
                    <m:t>θ</m:t>
                  </m:r>
                </m:e>
                <m:sub>
                  <m:r>
                    <m:rPr>
                      <m:sty m:val="p"/>
                    </m:rPr>
                    <w:rPr>
                      <w:rFonts w:ascii="Cambria Math" w:hAnsi="Cambria Math"/>
                    </w:rPr>
                    <m:t>Atm</m:t>
                  </m:r>
                </m:sub>
              </m:sSub>
              <m:r>
                <w:rPr>
                  <w:rFonts w:ascii="Cambria Math" w:hAnsi="Cambria Math"/>
                </w:rPr>
                <m:t>-</m:t>
              </m:r>
              <m:sSub>
                <m:e>
                  <m:r>
                    <w:rPr>
                      <w:rFonts w:ascii="Cambria Math" w:hAnsi="Cambria Math"/>
                    </w:rPr>
                    <m:t>θ</m:t>
                  </m:r>
                </m:e>
                <m:sub>
                  <m:r>
                    <m:rPr>
                      <m:sty m:val="p"/>
                    </m:rPr>
                    <w:rPr>
                      <w:rFonts w:ascii="Cambria Math" w:hAnsi="Cambria Math"/>
                    </w:rPr>
                    <m:t>Erd</m:t>
                  </m:r>
                </m:sub>
              </m:sSub>
            </m:den>
          </m:f>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7</m:t>
          </m:r>
          <m:r>
            <w:rPr>
              <w:rFonts w:ascii="Cambria Math" w:hAnsi="Cambria Math"/>
            </w:rPr>
            <m:t>)</m:t>
          </m:r>
          <m:r>
            <w:rPr>
              <w:rFonts w:ascii="Cambria Math" w:hAnsi="Cambria Math"/>
            </w:rPr>
            <m:t xml:space="preserve"> </m:t>
          </m:r>
          <m:r>
            <m:rPr>
              <m:nor m:val="1"/>
            </m:rPr>
            <w:rPr>
              <w:rFonts w:ascii="Cambria Math" w:hAnsi="Cambria Math"/>
            </w:rPr>
            <m:t xml:space="preserve">Rueckfallwert </m:t>
          </m:r>
          <m:r>
            <w:rPr>
              <w:rFonts w:ascii="Cambria Math" w:hAnsi="Cambria Math"/>
            </w:rPr>
            <m:t>5</m:t>
          </m:r>
          <m:r>
            <w:rPr>
              <w:rFonts w:ascii="Cambria Math" w:hAnsi="Cambria Math"/>
            </w:rPr>
            <m:t>,</m:t>
          </m:r>
          <m:r>
            <w:rPr>
              <w:rFonts w:ascii="Cambria Math" w:hAnsi="Cambria Math"/>
            </w:rPr>
            <m:t>0</m:t>
          </m:r>
          <m:r>
            <w:rPr>
              <w:rFonts w:ascii="Cambria Math" w:hAnsi="Cambria Math"/>
            </w:rPr>
            <m:t xml:space="preserve"> </m:t>
          </m:r>
          <m:sSup>
            <m:e>
              <m:r>
                <m:rPr>
                  <m:sty m:val="p"/>
                </m:rPr>
                <w:rPr>
                  <w:rFonts w:ascii="Cambria Math" w:hAnsi="Cambria Math"/>
                </w:rPr>
                <m:t>W/(m</m:t>
              </m:r>
            </m:e>
            <m:sup>
              <m:r>
                <w:rPr>
                  <w:rFonts w:ascii="Cambria Math" w:hAnsi="Cambria Math"/>
                </w:rPr>
                <m:t>2</m:t>
              </m:r>
            </m:sup>
          </m:sSup>
          <m:r>
            <m:rPr>
              <m:sty m:val="p"/>
            </m:rPr>
            <w:rPr>
              <w:rFonts w:ascii="Cambria Math" w:hAnsi="Cambria Math"/>
            </w:rPr>
            <m:t>K)</m:t>
          </m:r>
        </m:oMath>
      </m:oMathPara>
    </w:p>
    <w:p>
      <w:pPr>
        <w:pStyle w:val="Formelblock"/>
      </w:pPr>
      <m:oMathPara xmlns:m="http://schemas.openxmlformats.org/officeDocument/2006/math">
        <m:oMathParaPr>
          <m:jc m:val="center"/>
        </m:oMathParaPr>
        <m:oMath>
          <m:sSub>
            <m:e>
              <m:r>
                <w:rPr>
                  <w:rFonts w:ascii="Cambria Math" w:hAnsi="Cambria Math"/>
                </w:rPr>
                <m:t>α</m:t>
              </m:r>
            </m:e>
            <m:sub>
              <m:r>
                <m:rPr>
                  <m:sty m:val="p"/>
                </m:rPr>
                <w:rPr>
                  <w:rFonts w:ascii="Cambria Math" w:hAnsi="Cambria Math"/>
                </w:rPr>
                <m:t>A</m:t>
              </m:r>
            </m:sub>
          </m:sSub>
          <m:r>
            <w:rPr>
              <w:rFonts w:ascii="Cambria Math" w:hAnsi="Cambria Math"/>
            </w:rPr>
            <m:t>=</m:t>
          </m:r>
          <m:sSub>
            <m:e>
              <m:r>
                <w:rPr>
                  <w:rFonts w:ascii="Cambria Math" w:hAnsi="Cambria Math"/>
                </w:rPr>
                <m:t>α</m:t>
              </m:r>
            </m:e>
            <m:sub>
              <m:r>
                <m:rPr>
                  <m:sty m:val="p"/>
                </m:rPr>
                <w:rPr>
                  <w:rFonts w:ascii="Cambria Math" w:hAnsi="Cambria Math"/>
                </w:rPr>
                <m:t>kon,A</m:t>
              </m:r>
            </m:sub>
          </m:sSub>
          <m:r>
            <w:rPr>
              <w:rFonts w:ascii="Cambria Math" w:hAnsi="Cambria Math"/>
            </w:rPr>
            <m:t>+</m:t>
          </m:r>
          <m:sSub>
            <m:e>
              <m:r>
                <w:rPr>
                  <w:rFonts w:ascii="Cambria Math" w:hAnsi="Cambria Math"/>
                </w:rPr>
                <m:t>α</m:t>
              </m:r>
            </m:e>
            <m:sub>
              <m:r>
                <m:rPr>
                  <m:sty m:val="p"/>
                </m:rPr>
                <w:rPr>
                  <w:rFonts w:ascii="Cambria Math" w:hAnsi="Cambria Math"/>
                </w:rPr>
                <m:t>str,A</m:t>
              </m:r>
            </m:sub>
          </m:sSub>
          <m:r>
            <w:rPr>
              <w:rFonts w:ascii="Cambria Math" w:hAnsi="Cambria Math"/>
            </w:rPr>
            <m:t xml:space="preserve"> </m:t>
          </m:r>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8</m:t>
          </m:r>
          <m:r>
            <w:rPr>
              <w:rFonts w:ascii="Cambria Math" w:hAnsi="Cambria Math"/>
            </w:rPr>
            <m:t>)</m:t>
          </m:r>
          <m:r>
            <w:rPr>
              <w:rFonts w:ascii="Cambria Math" w:hAnsi="Cambria Math"/>
            </w:rPr>
            <m:t xml:space="preserve"> </m:t>
          </m:r>
          <m:r>
            <m:rPr>
              <m:nor m:val="1"/>
            </m:rPr>
            <w:rPr>
              <w:rFonts w:ascii="Cambria Math" w:hAnsi="Cambria Math"/>
            </w:rPr>
            <m:t xml:space="preserve">mit </m:t>
          </m:r>
          <m:sSub>
            <m:e>
              <m:r>
                <w:rPr>
                  <w:rFonts w:ascii="Cambria Math" w:hAnsi="Cambria Math"/>
                </w:rPr>
                <m:t>α</m:t>
              </m:r>
            </m:e>
            <m:sub>
              <m:r>
                <m:rPr>
                  <m:sty m:val="p"/>
                </m:rPr>
                <w:rPr>
                  <w:rFonts w:ascii="Cambria Math" w:hAnsi="Cambria Math"/>
                </w:rPr>
                <m:t>kon,A</m:t>
              </m:r>
            </m:sub>
          </m:sSub>
          <m:r>
            <w:rPr>
              <w:rFonts w:ascii="Cambria Math" w:hAnsi="Cambria Math"/>
            </w:rPr>
            <m:t>=</m:t>
          </m:r>
          <m:r>
            <w:rPr>
              <w:rFonts w:ascii="Cambria Math" w:hAnsi="Cambria Math"/>
            </w:rPr>
            <m:t>2</m:t>
          </m:r>
          <m:r>
            <w:rPr>
              <w:rFonts w:ascii="Cambria Math" w:hAnsi="Cambria Math"/>
            </w:rPr>
            <m:t>0</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2</m:t>
          </m:r>
          <m:r>
            <w:rPr>
              <w:rFonts w:ascii="Cambria Math" w:hAnsi="Cambria Math"/>
            </w:rPr>
            <m:t>5</m:t>
          </m:r>
          <m:r>
            <w:rPr>
              <w:rFonts w:ascii="Cambria Math" w:hAnsi="Cambria Math"/>
            </w:rPr>
            <m:t xml:space="preserve"> </m:t>
          </m:r>
          <m:sSup>
            <m:e>
              <m:r>
                <m:rPr>
                  <m:sty m:val="p"/>
                </m:rPr>
                <w:rPr>
                  <w:rFonts w:ascii="Cambria Math" w:hAnsi="Cambria Math"/>
                </w:rPr>
                <m:t>W/(m</m:t>
              </m:r>
            </m:e>
            <m:sup>
              <m:r>
                <w:rPr>
                  <w:rFonts w:ascii="Cambria Math" w:hAnsi="Cambria Math"/>
                </w:rPr>
                <m:t>2</m:t>
              </m:r>
            </m:sup>
          </m:sSup>
          <m:r>
            <m:rPr>
              <m:sty m:val="p"/>
            </m:rPr>
            <w:rPr>
              <w:rFonts w:ascii="Cambria Math" w:hAnsi="Cambria Math"/>
            </w:rPr>
            <m:t>K)</m:t>
          </m:r>
        </m:oMath>
      </m:oMathPara>
    </w:p>
    <w:p>
      <m:oMath xmlns:m="http://schemas.openxmlformats.org/officeDocument/2006/math">
        <m:r>
          <w:rPr>
            <w:rFonts w:ascii="Cambria Math" w:hAnsi="Cambria Math"/>
          </w:rPr>
          <m:t>φ</m:t>
        </m:r>
      </m:oMath>
      <w:r>
        <w:t xml:space="preserve"> ist der </w:t>
      </w:r>
      <w:r>
        <w:rPr>
          <w:b/>
        </w:rPr>
        <w:t xml:space="preserve">geometrische</w:t>
      </w:r>
      <w:r>
        <w:t xml:space="preserve"> Sichtfaktor — 0,5 für die senkrechte Wand, 1,0 für das waagerechte Dach —; die Bewölkung steckt allein in der Gegenstrahlung. Für transparente Flächen entfällt der kurzwellige Term. Fehlt die Gegenstrahlung, ist der langwellige Term gar nicht rechenbar; dann gilt er als null und </w:t>
      </w:r>
      <m:oMath xmlns:m="http://schemas.openxmlformats.org/officeDocument/2006/math">
        <m:sSub>
          <m:e>
            <m:r>
              <w:rPr>
                <w:rFonts w:ascii="Cambria Math" w:hAnsi="Cambria Math"/>
              </w:rPr>
              <m:t>α</m:t>
            </m:r>
          </m:e>
          <m:sub>
            <m:r>
              <m:rPr>
                <m:sty m:val="p"/>
              </m:rPr>
              <w:rPr>
                <w:rFonts w:ascii="Cambria Math" w:hAnsi="Cambria Math"/>
              </w:rPr>
              <m:t>A</m:t>
            </m:r>
          </m:sub>
        </m:sSub>
      </m:oMath>
      <w:r>
        <w:t xml:space="preserve"> bleibt bei 25 W/(m²K). </w:t>
      </w:r>
      <w:r>
        <w:rPr>
          <w:b/>
        </w:rPr>
        <w:t xml:space="preserve">In Stufe G1 steht der Schalter auf aus</w:t>
      </w:r>
      <w:r>
        <w:t xml:space="preserve">, also </w:t>
      </w:r>
      <m:oMath xmlns:m="http://schemas.openxmlformats.org/officeDocument/2006/math">
        <m:sSub>
          <m:e>
            <m:r>
              <w:rPr>
                <w:rFonts w:ascii="Cambria Math" w:hAnsi="Cambria Math"/>
              </w:rPr>
              <m:t>θ</m:t>
            </m:r>
          </m:e>
          <m:sub>
            <m:r>
              <m:rPr>
                <m:sty m:val="p"/>
              </m:rPr>
              <w:rPr>
                <w:rFonts w:ascii="Cambria Math" w:hAnsi="Cambria Math"/>
              </w:rPr>
              <m:t>A,eq</m:t>
            </m:r>
          </m:sub>
        </m:sSub>
        <m:r>
          <w:rPr>
            <w:rFonts w:ascii="Cambria Math" w:hAnsi="Cambria Math"/>
          </w:rPr>
          <m:t>=</m:t>
        </m:r>
        <m:sSub>
          <m:e>
            <m:r>
              <w:rPr>
                <w:rFonts w:ascii="Cambria Math" w:hAnsi="Cambria Math"/>
              </w:rPr>
              <m:t>θ</m:t>
            </m:r>
          </m:e>
          <m:sub>
            <m:r>
              <m:rPr>
                <m:sty m:val="p"/>
              </m:rPr>
              <w:rPr>
                <w:rFonts w:ascii="Cambria Math" w:hAnsi="Cambria Math"/>
              </w:rPr>
              <m:t>out</m:t>
            </m:r>
          </m:sub>
        </m:sSub>
      </m:oMath>
      <w:r>
        <w:t xml:space="preserve"> für Wand, Dach und Sonstiges — Parität mit dem Tagesbilanz-Weg; mit G2 wird der Schalter mit der Normformel gefüllt.</w:t>
      </w:r>
    </w:p>
    <w:p>
      <w:r>
        <w:rPr>
          <w:b/>
        </w:rPr>
        <w:t xml:space="preserve">E6 — Grundfläche: Erdreich, Keller oder Außenluft</w:t>
      </w:r>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grund</m:t>
              </m:r>
            </m:sub>
          </m:sSub>
          <m:r>
            <w:rPr>
              <w:rFonts w:ascii="Cambria Math" w:hAnsi="Cambria Math"/>
            </w:rPr>
            <m:t>(</m:t>
          </m:r>
          <m:r>
            <w:rPr>
              <w:rFonts w:ascii="Cambria Math" w:hAnsi="Cambria Math"/>
            </w:rPr>
            <m:t>d</m:t>
          </m:r>
          <m:r>
            <w:rPr>
              <w:rFonts w:ascii="Cambria Math" w:hAnsi="Cambria Math"/>
            </w:rPr>
            <m:t>)</m:t>
          </m:r>
          <m:r>
            <w:rPr>
              <w:rFonts w:ascii="Cambria Math" w:hAnsi="Cambria Math"/>
            </w:rPr>
            <m:t>=</m:t>
          </m:r>
          <m:sSub>
            <m:e>
              <m:acc>
                <m:accPr>
                  <m:chr m:val="̅"/>
                </m:accPr>
                <m:e>
                  <m:r>
                    <w:rPr>
                      <w:rFonts w:ascii="Cambria Math" w:hAnsi="Cambria Math"/>
                    </w:rPr>
                    <m:t>θ</m:t>
                  </m:r>
                </m:e>
              </m:acc>
            </m:e>
            <m:sub>
              <m:r>
                <m:rPr>
                  <m:sty m:val="p"/>
                </m:rPr>
                <w:rPr>
                  <w:rFonts w:ascii="Cambria Math" w:hAnsi="Cambria Math"/>
                </w:rPr>
                <m:t>a</m:t>
              </m:r>
            </m:sub>
          </m:sSub>
          <m:r>
            <w:rPr>
              <w:rFonts w:ascii="Cambria Math" w:hAnsi="Cambria Math"/>
            </w:rPr>
            <m:t>-</m:t>
          </m:r>
          <m:sSub>
            <m:e>
              <m:acc>
                <m:accPr>
                  <m:chr m:val="̂"/>
                </m:accPr>
                <m:e>
                  <m:r>
                    <w:rPr>
                      <w:rFonts w:ascii="Cambria Math" w:hAnsi="Cambria Math"/>
                    </w:rPr>
                    <m:t>A</m:t>
                  </m:r>
                </m:e>
              </m:acc>
            </m:e>
            <m:sub>
              <m:r>
                <m:rPr>
                  <m:sty m:val="p"/>
                </m:rPr>
                <w:rPr>
                  <w:rFonts w:ascii="Cambria Math" w:hAnsi="Cambria Math"/>
                </w:rPr>
                <m:t>a</m:t>
              </m:r>
            </m:sub>
          </m:sSub>
          <m:r>
            <w:rPr>
              <w:rFonts w:ascii="Cambria Math" w:hAnsi="Cambria Math"/>
            </w:rPr>
            <m:t>⋅</m:t>
          </m:r>
          <m:r>
            <w:rPr>
              <w:rFonts w:ascii="Cambria Math" w:hAnsi="Cambria Math"/>
            </w:rPr>
            <m:t>D</m:t>
          </m:r>
          <m:r>
            <w:rPr>
              <w:rFonts w:ascii="Cambria Math" w:hAnsi="Cambria Math"/>
            </w:rPr>
            <m:t>⋅</m:t>
          </m:r>
          <m:func>
            <m:fName>
              <m:r>
                <m:rPr>
                  <m:sty m:val="p"/>
                </m:rPr>
                <w:rPr>
                  <w:rFonts w:ascii="Cambria Math" w:hAnsi="Cambria Math"/>
                </w:rPr>
                <m:t>cos</m:t>
              </m:r>
            </m:fName>
            <m:e>
              <m:d>
                <m:dPr>
                  <m:begChr m:val="("/>
                  <m:endChr m:val=")"/>
                  <m:grow m:val="1"/>
                </m:dPr>
                <m:e>
                  <m:f>
                    <m:num>
                      <m:r>
                        <w:rPr>
                          <w:rFonts w:ascii="Cambria Math" w:hAnsi="Cambria Math"/>
                        </w:rPr>
                        <m:t>2</m:t>
                      </m:r>
                      <m:r>
                        <w:rPr>
                          <w:rFonts w:ascii="Cambria Math" w:hAnsi="Cambria Math"/>
                        </w:rPr>
                        <m:t>π</m:t>
                      </m:r>
                    </m:num>
                    <m:den>
                      <m:r>
                        <w:rPr>
                          <w:rFonts w:ascii="Cambria Math" w:hAnsi="Cambria Math"/>
                        </w:rPr>
                        <m:t>3</m:t>
                      </m:r>
                      <m:r>
                        <w:rPr>
                          <w:rFonts w:ascii="Cambria Math" w:hAnsi="Cambria Math"/>
                        </w:rPr>
                        <m:t>6</m:t>
                      </m:r>
                      <m:r>
                        <w:rPr>
                          <w:rFonts w:ascii="Cambria Math" w:hAnsi="Cambria Math"/>
                        </w:rPr>
                        <m:t>5</m:t>
                      </m:r>
                    </m:den>
                  </m:f>
                  <m:r>
                    <w:rPr>
                      <w:rFonts w:ascii="Cambria Math" w:hAnsi="Cambria Math"/>
                    </w:rPr>
                    <m:t>⋅</m:t>
                  </m:r>
                  <m:r>
                    <w:rPr>
                      <w:rFonts w:ascii="Cambria Math" w:hAnsi="Cambria Math"/>
                    </w:rPr>
                    <m:t>(</m:t>
                  </m:r>
                  <m:r>
                    <w:rPr>
                      <w:rFonts w:ascii="Cambria Math" w:hAnsi="Cambria Math"/>
                    </w:rPr>
                    <m:t>d</m:t>
                  </m:r>
                  <m:r>
                    <w:rPr>
                      <w:rFonts w:ascii="Cambria Math" w:hAnsi="Cambria Math"/>
                    </w:rPr>
                    <m:t>-</m:t>
                  </m:r>
                  <m:sSub>
                    <m:e>
                      <m:r>
                        <w:rPr>
                          <w:rFonts w:ascii="Cambria Math" w:hAnsi="Cambria Math"/>
                        </w:rPr>
                        <m:t>d</m:t>
                      </m:r>
                    </m:e>
                    <m:sub>
                      <m:r>
                        <m:rPr>
                          <m:sty m:val="p"/>
                        </m:rPr>
                        <w:rPr>
                          <w:rFonts w:ascii="Cambria Math" w:hAnsi="Cambria Math"/>
                        </w:rPr>
                        <m:t>min</m:t>
                      </m:r>
                    </m:sub>
                  </m:sSub>
                  <m:r>
                    <w:rPr>
                      <w:rFonts w:ascii="Cambria Math" w:hAnsi="Cambria Math"/>
                    </w:rPr>
                    <m:t>-</m:t>
                  </m:r>
                  <m:r>
                    <w:rPr>
                      <w:rFonts w:ascii="Cambria Math" w:hAnsi="Cambria Math"/>
                    </w:rPr>
                    <m:t>Δ</m:t>
                  </m:r>
                  <m:r>
                    <w:rPr>
                      <w:rFonts w:ascii="Cambria Math" w:hAnsi="Cambria Math"/>
                    </w:rPr>
                    <m:t>t</m:t>
                  </m:r>
                  <m:r>
                    <w:rPr>
                      <w:rFonts w:ascii="Cambria Math" w:hAnsi="Cambria Math"/>
                    </w:rPr>
                    <m:t>)</m:t>
                  </m:r>
                </m:e>
              </m:d>
            </m:e>
          </m:func>
          <m:r>
            <w:rPr>
              <w:rFonts w:ascii="Cambria Math" w:hAnsi="Cambria Math"/>
            </w:rPr>
            <m:t xml:space="preserve"> </m:t>
          </m:r>
          <m:r>
            <w:rPr>
              <w:rFonts w:ascii="Cambria Math" w:hAnsi="Cambria Math"/>
            </w:rPr>
            <m:t>[</m:t>
          </m:r>
          <m:r>
            <w:rPr>
              <w:rFonts w:ascii="Cambria Math" w:hAnsi="Cambria Math"/>
            </w:rPr>
            <m:t>°</m:t>
          </m:r>
          <m:r>
            <m:rPr>
              <m:sty m:val="p"/>
            </m:rPr>
            <w:rPr>
              <w:rFonts w:ascii="Cambria Math" w:hAnsi="Cambria Math"/>
            </w:rPr>
            <m:t>C</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D</m:t>
          </m:r>
          <m:r>
            <w:rPr>
              <w:rFonts w:ascii="Cambria Math" w:hAnsi="Cambria Math"/>
            </w:rPr>
            <m:t>=</m:t>
          </m:r>
          <m:func>
            <m:fName>
              <m:r>
                <m:rPr>
                  <m:sty m:val="p"/>
                </m:rPr>
                <w:rPr>
                  <w:rFonts w:ascii="Cambria Math" w:hAnsi="Cambria Math"/>
                </w:rPr>
                <m:t>exp</m:t>
              </m:r>
            </m:fName>
            <m:e>
              <m:d>
                <m:dPr>
                  <m:begChr m:val="("/>
                  <m:endChr m:val=")"/>
                  <m:grow m:val="1"/>
                </m:dPr>
                <m:e>
                  <m:r>
                    <w:rPr>
                      <w:rFonts w:ascii="Cambria Math" w:hAnsi="Cambria Math"/>
                    </w:rPr>
                    <m:t>-</m:t>
                  </m:r>
                  <m:r>
                    <w:rPr>
                      <w:rFonts w:ascii="Cambria Math" w:hAnsi="Cambria Math"/>
                    </w:rPr>
                    <m:t>z</m:t>
                  </m:r>
                  <m:r>
                    <w:rPr>
                      <w:rFonts w:ascii="Cambria Math" w:hAnsi="Cambria Math"/>
                    </w:rPr>
                    <m:t>⋅</m:t>
                  </m:r>
                  <m:rad>
                    <m:radPr>
                      <m:degHide m:val="1"/>
                    </m:radPr>
                    <m:deg/>
                    <m:e>
                      <m:f>
                        <m:num>
                          <m:r>
                            <w:rPr>
                              <w:rFonts w:ascii="Cambria Math" w:hAnsi="Cambria Math"/>
                            </w:rPr>
                            <m:t>π</m:t>
                          </m:r>
                        </m:num>
                        <m:den>
                          <m:r>
                            <w:rPr>
                              <w:rFonts w:ascii="Cambria Math" w:hAnsi="Cambria Math"/>
                            </w:rPr>
                            <m:t>3</m:t>
                          </m:r>
                          <m:r>
                            <w:rPr>
                              <w:rFonts w:ascii="Cambria Math" w:hAnsi="Cambria Math"/>
                            </w:rPr>
                            <m:t>6</m:t>
                          </m:r>
                          <m:r>
                            <w:rPr>
                              <w:rFonts w:ascii="Cambria Math" w:hAnsi="Cambria Math"/>
                            </w:rPr>
                            <m:t>5</m:t>
                          </m:r>
                          <m:r>
                            <w:rPr>
                              <w:rFonts w:ascii="Cambria Math" w:hAnsi="Cambria Math"/>
                            </w:rPr>
                            <m:t>⋅</m:t>
                          </m:r>
                          <m:sSub>
                            <m:e>
                              <m:r>
                                <w:rPr>
                                  <w:rFonts w:ascii="Cambria Math" w:hAnsi="Cambria Math"/>
                                </w:rPr>
                                <m:t>α</m:t>
                              </m:r>
                            </m:e>
                            <m:sub>
                              <m:r>
                                <m:rPr>
                                  <m:sty m:val="p"/>
                                </m:rPr>
                                <w:rPr>
                                  <w:rFonts w:ascii="Cambria Math" w:hAnsi="Cambria Math"/>
                                </w:rPr>
                                <m:t>Erd</m:t>
                              </m:r>
                            </m:sub>
                          </m:sSub>
                        </m:den>
                      </m:f>
                    </m:e>
                  </m:rad>
                </m:e>
              </m:d>
            </m:e>
          </m:func>
          <m:r>
            <w:rPr>
              <w:rFonts w:ascii="Cambria Math" w:hAnsi="Cambria Math"/>
            </w:rPr>
            <m:t>=</m:t>
          </m:r>
          <m:r>
            <w:rPr>
              <w:rFonts w:ascii="Cambria Math" w:hAnsi="Cambria Math"/>
            </w:rPr>
            <m:t>0</m:t>
          </m:r>
          <m:r>
            <w:rPr>
              <w:rFonts w:ascii="Cambria Math" w:hAnsi="Cambria Math"/>
            </w:rPr>
            <m:t>,</m:t>
          </m:r>
          <m:r>
            <w:rPr>
              <w:rFonts w:ascii="Cambria Math" w:hAnsi="Cambria Math"/>
            </w:rPr>
            <m:t>6</m:t>
          </m:r>
          <m:r>
            <w:rPr>
              <w:rFonts w:ascii="Cambria Math" w:hAnsi="Cambria Math"/>
            </w:rPr>
            <m:t>8</m:t>
          </m:r>
          <m:r>
            <w:rPr>
              <w:rFonts w:ascii="Cambria Math" w:hAnsi="Cambria Math"/>
            </w:rPr>
            <m:t xml:space="preserve"> </m:t>
          </m:r>
          <m:r>
            <m:rPr>
              <m:nor m:val="1"/>
            </m:rPr>
            <w:rPr>
              <w:rFonts w:ascii="Cambria Math" w:hAnsi="Cambria Math"/>
            </w:rPr>
            <m:t xml:space="preserve">bei </m:t>
          </m:r>
          <m:r>
            <w:rPr>
              <w:rFonts w:ascii="Cambria Math" w:hAnsi="Cambria Math"/>
            </w:rPr>
            <m:t>z</m:t>
          </m:r>
          <m:r>
            <w:rPr>
              <w:rFonts w:ascii="Cambria Math" w:hAnsi="Cambria Math"/>
            </w:rPr>
            <m:t>=</m:t>
          </m:r>
          <m:r>
            <w:rPr>
              <w:rFonts w:ascii="Cambria Math" w:hAnsi="Cambria Math"/>
            </w:rPr>
            <m:t>1</m:t>
          </m:r>
          <m:r>
            <w:rPr>
              <w:rFonts w:ascii="Cambria Math" w:hAnsi="Cambria Math"/>
            </w:rPr>
            <m:t xml:space="preserve"> </m:t>
          </m:r>
          <m:r>
            <m:rPr>
              <m:sty m:val="p"/>
            </m:rPr>
            <w:rPr>
              <w:rFonts w:ascii="Cambria Math" w:hAnsi="Cambria Math"/>
            </w:rPr>
            <m:t>m</m:t>
          </m:r>
          <m:r>
            <w:rPr>
              <w:rFonts w:ascii="Cambria Math" w:hAnsi="Cambria Math"/>
            </w:rPr>
            <m:t>,</m:t>
          </m:r>
          <m:r>
            <w:rPr>
              <w:rFonts w:ascii="Cambria Math" w:hAnsi="Cambria Math"/>
            </w:rPr>
            <m:t xml:space="preserve"> </m:t>
          </m:r>
          <m:sSub>
            <m:e>
              <m:r>
                <w:rPr>
                  <w:rFonts w:ascii="Cambria Math" w:hAnsi="Cambria Math"/>
                </w:rPr>
                <m:t>α</m:t>
              </m:r>
            </m:e>
            <m:sub>
              <m:r>
                <m:rPr>
                  <m:sty m:val="p"/>
                </m:rPr>
                <w:rPr>
                  <w:rFonts w:ascii="Cambria Math" w:hAnsi="Cambria Math"/>
                </w:rPr>
                <m:t>Erd</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0</m:t>
          </m:r>
          <m:r>
            <w:rPr>
              <w:rFonts w:ascii="Cambria Math" w:hAnsi="Cambria Math"/>
            </w:rPr>
            <m:t>6</m:t>
          </m:r>
          <m:r>
            <w:rPr>
              <w:rFonts w:ascii="Cambria Math" w:hAnsi="Cambria Math"/>
            </w:rPr>
            <m:t xml:space="preserve"> </m:t>
          </m:r>
          <m:sSup>
            <m:e>
              <m:r>
                <m:rPr>
                  <m:sty m:val="p"/>
                </m:rPr>
                <w:rPr>
                  <w:rFonts w:ascii="Cambria Math" w:hAnsi="Cambria Math"/>
                </w:rPr>
                <m:t>m</m:t>
              </m:r>
            </m:e>
            <m:sup>
              <m:r>
                <w:rPr>
                  <w:rFonts w:ascii="Cambria Math" w:hAnsi="Cambria Math"/>
                </w:rPr>
                <m:t>2</m:t>
              </m:r>
            </m:sup>
          </m:sSup>
          <m:r>
            <m:rPr>
              <m:sty m:val="p"/>
            </m:rPr>
            <w:rPr>
              <w:rFonts w:ascii="Cambria Math" w:hAnsi="Cambria Math"/>
            </w:rPr>
            <m:t>/d</m:t>
          </m:r>
        </m:oMath>
      </m:oMathPara>
    </w:p>
    <w:p>
      <w:pPr>
        <w:pStyle w:val="Formelblock"/>
      </w:pPr>
      <m:oMathPara xmlns:m="http://schemas.openxmlformats.org/officeDocument/2006/math">
        <m:oMathParaPr>
          <m:jc m:val="center"/>
        </m:oMathParaPr>
        <m:oMath>
          <m:r>
            <w:rPr>
              <w:rFonts w:ascii="Cambria Math" w:hAnsi="Cambria Math"/>
            </w:rPr>
            <m:t>Δ</m:t>
          </m:r>
          <m:r>
            <w:rPr>
              <w:rFonts w:ascii="Cambria Math" w:hAnsi="Cambria Math"/>
            </w:rPr>
            <m:t>t</m:t>
          </m:r>
          <m:r>
            <w:rPr>
              <w:rFonts w:ascii="Cambria Math" w:hAnsi="Cambria Math"/>
            </w:rPr>
            <m:t>=</m:t>
          </m:r>
          <m:f>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z</m:t>
          </m:r>
          <m:r>
            <w:rPr>
              <w:rFonts w:ascii="Cambria Math" w:hAnsi="Cambria Math"/>
            </w:rPr>
            <m:t>⋅</m:t>
          </m:r>
          <m:rad>
            <m:radPr>
              <m:degHide m:val="1"/>
            </m:radPr>
            <m:deg/>
            <m:e>
              <m:f>
                <m:num>
                  <m:r>
                    <w:rPr>
                      <w:rFonts w:ascii="Cambria Math" w:hAnsi="Cambria Math"/>
                    </w:rPr>
                    <m:t>3</m:t>
                  </m:r>
                  <m:r>
                    <w:rPr>
                      <w:rFonts w:ascii="Cambria Math" w:hAnsi="Cambria Math"/>
                    </w:rPr>
                    <m:t>6</m:t>
                  </m:r>
                  <m:r>
                    <w:rPr>
                      <w:rFonts w:ascii="Cambria Math" w:hAnsi="Cambria Math"/>
                    </w:rPr>
                    <m:t>5</m:t>
                  </m:r>
                </m:num>
                <m:den>
                  <m:r>
                    <w:rPr>
                      <w:rFonts w:ascii="Cambria Math" w:hAnsi="Cambria Math"/>
                    </w:rPr>
                    <m:t>π</m:t>
                  </m:r>
                  <m:r>
                    <w:rPr>
                      <w:rFonts w:ascii="Cambria Math" w:hAnsi="Cambria Math"/>
                    </w:rPr>
                    <m:t>⋅</m:t>
                  </m:r>
                  <m:sSub>
                    <m:e>
                      <m:r>
                        <w:rPr>
                          <w:rFonts w:ascii="Cambria Math" w:hAnsi="Cambria Math"/>
                        </w:rPr>
                        <m:t>α</m:t>
                      </m:r>
                    </m:e>
                    <m:sub>
                      <m:r>
                        <m:rPr>
                          <m:sty m:val="p"/>
                        </m:rPr>
                        <w:rPr>
                          <w:rFonts w:ascii="Cambria Math" w:hAnsi="Cambria Math"/>
                        </w:rPr>
                        <m:t>Erd</m:t>
                      </m:r>
                    </m:sub>
                  </m:sSub>
                </m:den>
              </m:f>
            </m:e>
          </m:rad>
          <m:r>
            <w:rPr>
              <w:rFonts w:ascii="Cambria Math" w:hAnsi="Cambria Math"/>
            </w:rPr>
            <m:t>=</m:t>
          </m:r>
          <m:r>
            <w:rPr>
              <w:rFonts w:ascii="Cambria Math" w:hAnsi="Cambria Math"/>
            </w:rPr>
            <m:t>2</m:t>
          </m:r>
          <m:r>
            <w:rPr>
              <w:rFonts w:ascii="Cambria Math" w:hAnsi="Cambria Math"/>
            </w:rPr>
            <m:t>2</m:t>
          </m:r>
          <m:r>
            <w:rPr>
              <w:rFonts w:ascii="Cambria Math" w:hAnsi="Cambria Math"/>
            </w:rPr>
            <m:t xml:space="preserve"> </m:t>
          </m:r>
          <m:r>
            <m:rPr>
              <m:sty m:val="p"/>
            </m:rPr>
            <w:rPr>
              <w:rFonts w:ascii="Cambria Math" w:hAnsi="Cambria Math"/>
            </w:rPr>
            <m:t>d</m:t>
          </m:r>
        </m:oMath>
      </m:oMathPara>
    </w:p>
    <w:p>
      <m:oMath xmlns:m="http://schemas.openxmlformats.org/officeDocument/2006/math">
        <m:sSub>
          <m:e>
            <m:acc>
              <m:accPr>
                <m:chr m:val="̅"/>
              </m:accPr>
              <m:e>
                <m:r>
                  <w:rPr>
                    <w:rFonts w:ascii="Cambria Math" w:hAnsi="Cambria Math"/>
                  </w:rPr>
                  <m:t>θ</m:t>
                </m:r>
              </m:e>
            </m:acc>
          </m:e>
          <m:sub>
            <m:r>
              <m:rPr>
                <m:sty m:val="p"/>
              </m:rPr>
              <w:rPr>
                <w:rFonts w:ascii="Cambria Math" w:hAnsi="Cambria Math"/>
              </w:rPr>
              <m:t>a</m:t>
            </m:r>
          </m:sub>
        </m:sSub>
      </m:oMath>
      <w:r>
        <w:t xml:space="preserve"> ist das Jahresmittel der Außenluft, </w:t>
      </w:r>
      <m:oMath xmlns:m="http://schemas.openxmlformats.org/officeDocument/2006/math">
        <m:sSub>
          <m:e>
            <m:acc>
              <m:accPr>
                <m:chr m:val="̂"/>
              </m:accPr>
              <m:e>
                <m:r>
                  <w:rPr>
                    <w:rFonts w:ascii="Cambria Math" w:hAnsi="Cambria Math"/>
                  </w:rPr>
                  <m:t>A</m:t>
                </m:r>
              </m:e>
            </m:acc>
          </m:e>
          <m:sub>
            <m:r>
              <m:rPr>
                <m:sty m:val="p"/>
              </m:rPr>
              <w:rPr>
                <w:rFonts w:ascii="Cambria Math" w:hAnsi="Cambria Math"/>
              </w:rPr>
              <m:t>a</m:t>
            </m:r>
          </m:sub>
        </m:sSub>
      </m:oMath>
      <w:r>
        <w:t xml:space="preserve"> die Amplitude der </w:t>
      </w:r>
      <w:r>
        <w:rPr>
          <w:b/>
        </w:rPr>
        <w:t xml:space="preserve">ersten Harmonischen</w:t>
      </w:r>
      <w:r>
        <w:t xml:space="preserve"> der Tagesmittel im Ausgleich nach kleinsten Quadraten, </w:t>
      </w:r>
      <m:oMath xmlns:m="http://schemas.openxmlformats.org/officeDocument/2006/math">
        <m:sSub>
          <m:e>
            <m:r>
              <w:rPr>
                <w:rFonts w:ascii="Cambria Math" w:hAnsi="Cambria Math"/>
              </w:rPr>
              <m:t>d</m:t>
            </m:r>
          </m:e>
          <m:sub>
            <m:r>
              <m:rPr>
                <m:sty m:val="p"/>
              </m:rPr>
              <w:rPr>
                <w:rFonts w:ascii="Cambria Math" w:hAnsi="Cambria Math"/>
              </w:rPr>
              <m:t>min</m:t>
            </m:r>
          </m:sub>
        </m:sSub>
      </m:oMath>
      <w:r>
        <w:t xml:space="preserve"> der Tag ihres Minimums. </w:t>
      </w:r>
      <w:r>
        <w:rPr>
          <w:b/>
        </w:rPr>
        <w:t xml:space="preserve">Die Amplitude darf nicht als halbe Spannweite gebildet werden</w:t>
      </w:r>
      <w:r>
        <w:t xml:space="preserve"> — das ergäbe eine etwa doppelt so große Schwankung. Bei </w:t>
      </w:r>
      <w:r>
        <w:rPr>
          <w:rFonts w:ascii="Consolas" w:hAnsi="Consolas" w:cs="Consolas"/>
          <w:noProof/>
          <w:sz w:val="20"/>
          <w:szCs w:val="20"/>
          <w:shd w:val="clear" w:color="auto" w:fill="EFEFEF"/>
        </w:rPr>
        <w:t xml:space="preserve">KELLER</w:t>
      </w:r>
      <w:r>
        <w:t xml:space="preserve"> geht die vorgegebene Kellertemperatur nach Gl. (40) ein, bei </w:t>
      </w:r>
      <w:r>
        <w:rPr>
          <w:rFonts w:ascii="Consolas" w:hAnsi="Consolas" w:cs="Consolas"/>
          <w:noProof/>
          <w:sz w:val="20"/>
          <w:szCs w:val="20"/>
          <w:shd w:val="clear" w:color="auto" w:fill="EFEFEF"/>
        </w:rPr>
        <w:t xml:space="preserve">AUSSENLUFT</w:t>
      </w:r>
      <w:r>
        <w:t xml:space="preserve"> die Außenluft. Gerechnet wird mit der vorhandenen Erdreichklasse, aber mit den eigenen Parametern </w:t>
      </w:r>
      <m:oMath xmlns:m="http://schemas.openxmlformats.org/officeDocument/2006/math">
        <m:r>
          <w:rPr>
            <w:rFonts w:ascii="Cambria Math" w:hAnsi="Cambria Math"/>
          </w:rPr>
          <m:t>z</m:t>
        </m:r>
        <m:r>
          <w:rPr>
            <w:rFonts w:ascii="Cambria Math" w:hAnsi="Cambria Math"/>
          </w:rPr>
          <m:t>=</m:t>
        </m:r>
        <m:r>
          <w:rPr>
            <w:rFonts w:ascii="Cambria Math" w:hAnsi="Cambria Math"/>
          </w:rPr>
          <m:t>1</m:t>
        </m:r>
        <m:r>
          <w:rPr>
            <w:rFonts w:ascii="Cambria Math" w:hAnsi="Cambria Math"/>
          </w:rPr>
          <m:t>,</m:t>
        </m:r>
        <m:r>
          <w:rPr>
            <w:rFonts w:ascii="Cambria Math" w:hAnsi="Cambria Math"/>
          </w:rPr>
          <m:t>0</m:t>
        </m:r>
      </m:oMath>
      <w:r>
        <w:t xml:space="preserve"> m und </w:t>
      </w:r>
      <m:oMath xmlns:m="http://schemas.openxmlformats.org/officeDocument/2006/math">
        <m:sSub>
          <m:e>
            <m:r>
              <w:rPr>
                <w:rFonts w:ascii="Cambria Math" w:hAnsi="Cambria Math"/>
              </w:rPr>
              <m:t>α</m:t>
            </m:r>
          </m:e>
          <m:sub>
            <m:r>
              <m:rPr>
                <m:sty m:val="p"/>
              </m:rPr>
              <w:rPr>
                <w:rFonts w:ascii="Cambria Math" w:hAnsi="Cambria Math"/>
              </w:rPr>
              <m:t>Erd</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0</m:t>
        </m:r>
        <m:r>
          <w:rPr>
            <w:rFonts w:ascii="Cambria Math" w:hAnsi="Cambria Math"/>
          </w:rPr>
          <m:t>6</m:t>
        </m:r>
      </m:oMath>
      <w:r>
        <w:t xml:space="preserve"> m²/d; ihre Vorgaben gelten dem Erdkollektor der Wärmepumpe, nicht der Bodenplatte, und der Unterschied ist bei der Umsetzung auszuweisen.</w:t>
      </w:r>
    </w:p>
    <w:p>
      <w:r>
        <w:rPr>
          <w:b/>
        </w:rPr>
        <w:t xml:space="preserve">E7 — U·A-gewichtete äquivalente Außentemperatur</w:t>
      </w:r>
      <w:r>
        <w:t xml:space="preserve"> (41)/(42)</w:t>
      </w:r>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eq</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f>
            <m:num>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AW</m:t>
                  </m:r>
                </m:sub>
              </m:sSub>
              <m:r>
                <w:rPr>
                  <w:rFonts w:ascii="Cambria Math" w:hAnsi="Cambria Math"/>
                </w:rPr>
                <m:t>⋅</m:t>
              </m:r>
              <m:sSub>
                <m:e>
                  <m:r>
                    <w:rPr>
                      <w:rFonts w:ascii="Cambria Math" w:hAnsi="Cambria Math"/>
                    </w:rPr>
                    <m:t>θ</m:t>
                  </m:r>
                </m:e>
                <m:sub>
                  <m:r>
                    <m:rPr>
                      <m:sty m:val="p"/>
                    </m:rPr>
                    <w:rPr>
                      <w:rFonts w:ascii="Cambria Math" w:hAnsi="Cambria Math"/>
                    </w:rPr>
                    <m:t>A,eq,AW</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D</m:t>
                  </m:r>
                </m:sub>
              </m:sSub>
              <m:r>
                <w:rPr>
                  <w:rFonts w:ascii="Cambria Math" w:hAnsi="Cambria Math"/>
                </w:rPr>
                <m:t>⋅</m:t>
              </m:r>
              <m:sSub>
                <m:e>
                  <m:r>
                    <w:rPr>
                      <w:rFonts w:ascii="Cambria Math" w:hAnsi="Cambria Math"/>
                    </w:rPr>
                    <m:t>θ</m:t>
                  </m:r>
                </m:e>
                <m:sub>
                  <m:r>
                    <m:rPr>
                      <m:sty m:val="p"/>
                    </m:rPr>
                    <w:rPr>
                      <w:rFonts w:ascii="Cambria Math" w:hAnsi="Cambria Math"/>
                    </w:rPr>
                    <m:t>A,eq,D</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So</m:t>
                  </m:r>
                </m:sub>
              </m:sSub>
              <m:r>
                <w:rPr>
                  <w:rFonts w:ascii="Cambria Math" w:hAnsi="Cambria Math"/>
                </w:rPr>
                <m:t>⋅</m:t>
              </m:r>
              <m:sSub>
                <m:e>
                  <m:r>
                    <w:rPr>
                      <w:rFonts w:ascii="Cambria Math" w:hAnsi="Cambria Math"/>
                    </w:rPr>
                    <m:t>θ</m:t>
                  </m:r>
                </m:e>
                <m:sub>
                  <m:r>
                    <m:rPr>
                      <m:sty m:val="p"/>
                    </m:rPr>
                    <w:rPr>
                      <w:rFonts w:ascii="Cambria Math" w:hAnsi="Cambria Math"/>
                    </w:rPr>
                    <m:t>A,eq,So</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G</m:t>
                  </m:r>
                </m:sub>
              </m:sSub>
              <m:r>
                <w:rPr>
                  <w:rFonts w:ascii="Cambria Math" w:hAnsi="Cambria Math"/>
                </w:rPr>
                <m:t>⋅</m:t>
              </m:r>
              <m:sSub>
                <m:e>
                  <m:r>
                    <w:rPr>
                      <w:rFonts w:ascii="Cambria Math" w:hAnsi="Cambria Math"/>
                    </w:rPr>
                    <m:t>θ</m:t>
                  </m:r>
                </m:e>
                <m:sub>
                  <m:r>
                    <m:rPr>
                      <m:sty m:val="p"/>
                    </m:rPr>
                    <w:rPr>
                      <w:rFonts w:ascii="Cambria Math" w:hAnsi="Cambria Math"/>
                    </w:rPr>
                    <m:t>grund</m:t>
                  </m:r>
                </m:sub>
              </m:sSub>
            </m:num>
            <m:den>
              <m:r>
                <w:rPr>
                  <w:rFonts w:ascii="Cambria Math" w:hAnsi="Cambria Math"/>
                </w:rPr>
                <m:t>Σ</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opak</m:t>
                  </m:r>
                </m:sub>
              </m:sSub>
            </m:den>
          </m:f>
          <m:r>
            <w:rPr>
              <w:rFonts w:ascii="Cambria Math" w:hAnsi="Cambria Math"/>
            </w:rPr>
            <m:t xml:space="preserve"> </m:t>
          </m:r>
          <m:r>
            <w:rPr>
              <w:rFonts w:ascii="Cambria Math" w:hAnsi="Cambria Math"/>
            </w:rPr>
            <m:t>[</m:t>
          </m:r>
          <m:r>
            <w:rPr>
              <w:rFonts w:ascii="Cambria Math" w:hAnsi="Cambria Math"/>
            </w:rPr>
            <m:t>°</m:t>
          </m:r>
          <m:r>
            <m:rPr>
              <m:sty m:val="p"/>
            </m:rPr>
            <w:rPr>
              <w:rFonts w:ascii="Cambria Math" w:hAnsi="Cambria Math"/>
            </w:rPr>
            <m:t>C</m:t>
          </m:r>
          <m:r>
            <w:rPr>
              <w:rFonts w:ascii="Cambria Math" w:hAnsi="Cambria Math"/>
            </w:rPr>
            <m:t>]</m:t>
          </m:r>
        </m:oMath>
      </m:oMathPara>
    </w:p>
    <w:p>
      <w:r>
        <w:rPr>
          <w:b/>
        </w:rPr>
        <w:t xml:space="preserve">E8 — Sollwertfahrplan</w:t>
      </w:r>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soll</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soll,Fer</m:t>
              </m:r>
            </m:sub>
          </m:sSub>
          <m:r>
            <w:rPr>
              <w:rFonts w:ascii="Cambria Math" w:hAnsi="Cambria Math"/>
            </w:rPr>
            <m:t xml:space="preserve"> </m:t>
          </m:r>
          <m:r>
            <m:rPr>
              <m:nor m:val="1"/>
            </m:rPr>
            <w:rPr>
              <w:rFonts w:ascii="Cambria Math" w:hAnsi="Cambria Math"/>
            </w:rPr>
            <m:t xml:space="preserve">wenn Tag in einem Ferienzeitraum und Ferien aktiv</m:t>
          </m:r>
        </m:oMath>
      </m:oMathPara>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soll</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soll,WE</m:t>
              </m:r>
            </m:sub>
          </m:sSub>
          <m:r>
            <w:rPr>
              <w:rFonts w:ascii="Cambria Math" w:hAnsi="Cambria Math"/>
            </w:rPr>
            <m:t xml:space="preserve"> </m:t>
          </m:r>
          <m:r>
            <m:rPr>
              <m:nor m:val="1"/>
            </m:rPr>
            <w:rPr>
              <w:rFonts w:ascii="Cambria Math" w:hAnsi="Cambria Math"/>
            </w:rPr>
            <m:t xml:space="preserve">wenn Wochenendtag und </m:t>
          </m:r>
          <m:sSub>
            <m:e>
              <m:r>
                <w:rPr>
                  <w:rFonts w:ascii="Cambria Math" w:hAnsi="Cambria Math"/>
                </w:rPr>
                <m:t>θ</m:t>
              </m:r>
            </m:e>
            <m:sub>
              <m:r>
                <m:rPr>
                  <m:sty m:val="p"/>
                </m:rPr>
                <w:rPr>
                  <w:rFonts w:ascii="Cambria Math" w:hAnsi="Cambria Math"/>
                </w:rPr>
                <m:t>soll,WE</m:t>
              </m:r>
            </m:sub>
          </m:sSub>
          <m:r>
            <w:rPr>
              <w:rFonts w:ascii="Cambria Math" w:hAnsi="Cambria Math"/>
            </w:rPr>
            <m:t>&gt;</m:t>
          </m:r>
          <m:r>
            <w:rPr>
              <w:rFonts w:ascii="Cambria Math" w:hAnsi="Cambria Math"/>
            </w:rPr>
            <m:t>5</m:t>
          </m:r>
        </m:oMath>
      </m:oMathPara>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soll</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soll,Tag</m:t>
              </m:r>
            </m:sub>
          </m:sSub>
          <m:r>
            <w:rPr>
              <w:rFonts w:ascii="Cambria Math" w:hAnsi="Cambria Math"/>
            </w:rPr>
            <m:t xml:space="preserve"> </m:t>
          </m:r>
          <m:r>
            <m:rPr>
              <m:nor m:val="1"/>
            </m:rPr>
            <w:rPr>
              <w:rFonts w:ascii="Cambria Math" w:hAnsi="Cambria Math"/>
            </w:rPr>
            <m:t xml:space="preserve">wenn Stunde des Tages </m:t>
          </m:r>
          <m:r>
            <w:rPr>
              <w:rFonts w:ascii="Cambria Math" w:hAnsi="Cambria Math"/>
            </w:rPr>
            <m:t>7</m:t>
          </m:r>
          <m:r>
            <w:rPr>
              <w:rFonts w:ascii="Cambria Math" w:hAnsi="Cambria Math"/>
            </w:rPr>
            <m:t>…</m:t>
          </m:r>
          <m:r>
            <w:rPr>
              <w:rFonts w:ascii="Cambria Math" w:hAnsi="Cambria Math"/>
            </w:rPr>
            <m:t>2</m:t>
          </m:r>
          <m:r>
            <w:rPr>
              <w:rFonts w:ascii="Cambria Math" w:hAnsi="Cambria Math"/>
            </w:rPr>
            <m:t>2</m:t>
          </m:r>
        </m:oMath>
      </m:oMathPara>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soll</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sSub>
            <m:e>
              <m:r>
                <w:rPr>
                  <w:rFonts w:ascii="Cambria Math" w:hAnsi="Cambria Math"/>
                </w:rPr>
                <m:t>θ</m:t>
              </m:r>
            </m:e>
            <m:sub>
              <m:r>
                <m:rPr>
                  <m:sty m:val="p"/>
                </m:rPr>
                <w:rPr>
                  <w:rFonts w:ascii="Cambria Math" w:hAnsi="Cambria Math"/>
                </w:rPr>
                <m:t>soll,Nacht</m:t>
              </m:r>
            </m:sub>
          </m:sSub>
          <m:r>
            <w:rPr>
              <w:rFonts w:ascii="Cambria Math" w:hAnsi="Cambria Math"/>
            </w:rPr>
            <m:t xml:space="preserve"> </m:t>
          </m:r>
          <m:r>
            <m:rPr>
              <m:nor m:val="1"/>
            </m:rPr>
            <w:rPr>
              <w:rFonts w:ascii="Cambria Math" w:hAnsi="Cambria Math"/>
            </w:rPr>
            <m:t>sonst</m:t>
          </m:r>
        </m:oMath>
      </m:oMathPara>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max</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r>
            <m:rPr>
              <m:nor m:val="1"/>
            </m:rPr>
            <w:rPr>
              <w:rFonts w:ascii="Cambria Math" w:hAnsi="Cambria Math"/>
            </w:rPr>
            <m:t>Maximaleraumtemperatur</m:t>
          </m:r>
        </m:oMath>
      </m:oMathPara>
    </w:p>
    <w:p>
      <w:r>
        <w:rPr>
          <w:b/>
        </w:rPr>
        <w:t xml:space="preserve">Stundenkonvention:</w:t>
      </w:r>
      <w:r>
        <w:t xml:space="preserve"> die Stunde des Tages ist </w:t>
      </w:r>
      <w:r>
        <w:rPr>
          <w:b/>
        </w:rPr>
        <w:t xml:space="preserve">1-basiert</w:t>
      </w:r>
      <w:r>
        <w:t xml:space="preserve"> — dieselbe Zählung wie der Bestandsweg, damit beide Wege denselben Fahrplan rechnen; mit 0-basiertem Index verschöbe sich der ganze Fahrplan um eine Stunde. Ferien haben Vorrang vor dem Wochenende; </w:t>
      </w:r>
      <w:r>
        <w:rPr>
          <w:b/>
        </w:rPr>
        <w:t xml:space="preserve">0 und 366 heißen „aus"</w:t>
      </w:r>
      <w:r>
        <w:t xml:space="preserve"> und laufen still durch, benannt abgelehnt wird nur ein Tag außerhalb 1…365 in einem </w:t>
      </w:r>
      <w:r>
        <w:rPr>
          <w:b/>
        </w:rPr>
        <w:t xml:space="preserve">aktiven</w:t>
      </w:r>
      <w:r>
        <w:t xml:space="preserve"> Fahrplan.</w:t>
      </w:r>
    </w:p>
    <w:p>
      <w:r>
        <w:rPr>
          <w:b/>
        </w:rPr>
        <w:t xml:space="preserve">Ausgabe.</w:t>
      </w:r>
      <w:r>
        <w:t xml:space="preserve"> Acht Reihen zu 8 760 Werten: Außentemperatur, äquivalente Außentemperatur, drei Solaranteile, innere Last, Sollwert, obere Grenze. Die innere Last führt die </w:t>
      </w:r>
      <w:r>
        <w:rPr>
          <w:b/>
        </w:rPr>
        <w:t xml:space="preserve">konstante Gesamtleistung</w:t>
      </w:r>
      <w:r>
        <w:t xml:space="preserve">; die Aufteilung und die Flächengewichte bildet erst der Löser.</w:t>
      </w:r>
    </w:p>
    <w:p>
      <w:pPr>
        <w:pStyle w:val="Heading2"/>
      </w:pPr>
      <w:r>
        <w:t xml:space="preserve">10.8 Schritt F — die Stundenschleife</w:t>
      </w:r>
    </w:p>
    <w:p>
      <w:pPr>
        <w:pStyle w:val="Codeblock"/>
      </w:pPr>
      <w:r>
        <w:t xml:space="preserve">Eingang:  ErsatzparameterRC p, acht Randreihen, Vorlauflaenge 30 Tage</w:t>
      </w:r>
      <w:r>
        <w:br/>
        <w:t xml:space="preserve">Zustand:  x = (theta_m,AW, theta_m,IW), Startwert theta_soll der ersten Stunde</w:t>
      </w:r>
      <w:r>
        <w:br/>
        <w:t xml:space="preserve"/>
      </w:r>
      <w:r>
        <w:br/>
        <w:t xml:space="preserve">Einheiten: Q und Phi_h in W, Phi_h_max = 1000 * Heizleistung_Max [kW] -&gt; W</w:t>
      </w:r>
      <w:r>
        <w:br/>
        <w:t xml:space="preserve">           Temperaturen in K bzw. Grad C</w:t>
      </w:r>
      <w:r>
        <w:br/>
        <w:t xml:space="preserve"/>
      </w:r>
      <w:r>
        <w:br/>
        <w:t xml:space="preserve">Loeser aufbauen:</w:t>
      </w:r>
      <w:r>
        <w:br/>
        <w:t xml:space="preserve">    A_frei, b-Struktur   aus p und dem Lueftungsleitwert          (Schritt C, Fall 1)</w:t>
      </w:r>
      <w:r>
        <w:br/>
        <w:t xml:space="preserve">    A_regel              aus p                                    (Schritt C, Fall 2)</w:t>
      </w:r>
      <w:r>
        <w:br/>
        <w:t xml:space="preserve">    Phi, Gamma, Psi      je Fall und Lueftungszustand, h = 3600 s (Schritt D)</w:t>
      </w:r>
      <w:r>
        <w:br/>
        <w:t xml:space="preserve"/>
      </w:r>
      <w:r>
        <w:br/>
        <w:t xml:space="preserve">Vorlauf:</w:t>
      </w:r>
      <w:r>
        <w:br/>
        <w:t xml:space="preserve">    fuer h = 8760-720 bis 8759:  Stundenschritt(h);  Ergebnisse verwerfen</w:t>
      </w:r>
      <w:r>
        <w:br/>
        <w:t xml:space="preserve"/>
      </w:r>
      <w:r>
        <w:br/>
        <w:t xml:space="preserve">Jahr:</w:t>
      </w:r>
      <w:r>
        <w:br/>
        <w:t xml:space="preserve">    fuer h = 0 bis 8759:</w:t>
      </w:r>
      <w:r>
        <w:br/>
        <w:t xml:space="preserve">        (Q[h], theta_air[h], theta_op[h], Kuehl[h]) = Stundenschritt(h)</w:t>
      </w:r>
      <w:r>
        <w:br/>
        <w:t xml:space="preserve"/>
      </w:r>
      <w:r>
        <w:br/>
        <w:t xml:space="preserve">Stundenschritt(h):</w:t>
      </w:r>
      <w:r>
        <w:br/>
        <w:t xml:space="preserve">    t = 0;  akkQ = 0;  akkAir = 0;  akkS = (0, 0);  Abschnitte = 0</w:t>
      </w:r>
      <w:r>
        <w:br/>
        <w:t xml:space="preserve">    solange t &lt; 3600 s und Abschnitte &lt; 60:</w:t>
      </w:r>
      <w:r>
        <w:br/>
        <w:t xml:space="preserve">        Abschnitte = Abschnitte + 1</w:t>
      </w:r>
      <w:r>
        <w:br/>
        <w:t xml:space="preserve">        rest = 3600 - t</w:t>
      </w:r>
      <w:r>
        <w:br/>
        <w:t xml:space="preserve">        Lasten und Sollwert der Stunde h einsetzen</w:t>
      </w:r>
      <w:r>
        <w:br/>
        <w:t xml:space="preserve"/>
      </w:r>
      <w:r>
        <w:br/>
        <w:t xml:space="preserve">        Betriebsfall waehlen:</w:t>
      </w:r>
      <w:r>
        <w:br/>
        <w:t xml:space="preserve">            Q0 = Phi_h(x)   im geregelten System</w:t>
      </w:r>
      <w:r>
        <w:br/>
        <w:t xml:space="preserve">            wenn Q0 &gt; Phi_h_max:  Fall = Grenze oben, Q_fest = Phi_h_max</w:t>
      </w:r>
      <w:r>
        <w:br/>
        <w:t xml:space="preserve">            sonst wenn Q0 &lt; 0:</w:t>
      </w:r>
      <w:r>
        <w:br/>
        <w:t xml:space="preserve">                wenn theta_air im freien Lauf &gt; theta_max:  Fall = Kuehlung, Sollwert = theta_max</w:t>
      </w:r>
      <w:r>
        <w:br/>
        <w:t xml:space="preserve">                sonst:                                      Fall = frei,     Q_fest = 0</w:t>
      </w:r>
      <w:r>
        <w:br/>
        <w:t xml:space="preserve">            sonst:                                          Fall = geregelt</w:t>
      </w:r>
      <w:r>
        <w:br/>
        <w:t xml:space="preserve"/>
      </w:r>
      <w:r>
        <w:br/>
        <w:t xml:space="preserve">        Gueltigkeit am Ende des Restintervalls pruefen:</w:t>
      </w:r>
      <w:r>
        <w:br/>
        <w:t xml:space="preserve">            geregelt:                       gueltig solange 0 &lt;= Phi_h(x) &lt;= Phi_h_max</w:t>
      </w:r>
      <w:r>
        <w:br/>
        <w:t xml:space="preserve">            Grenze oben (Q_fest &gt; 0):       gueltig solange theta_air(x) &lt;= theta_soll</w:t>
      </w:r>
      <w:r>
        <w:br/>
        <w:t xml:space="preserve">            frei, Heizfall (Q = 0):         gueltig solange theta_air(x) &gt;= theta_soll</w:t>
      </w:r>
      <w:r>
        <w:br/>
        <w:t xml:space="preserve">            Kuehlfall (Sollwert theta_max): gueltig solange theta_air(x) &lt;= theta_max</w:t>
      </w:r>
      <w:r>
        <w:br/>
        <w:t xml:space="preserve"/>
      </w:r>
      <w:r>
        <w:br/>
        <w:t xml:space="preserve">        wenn am Ende verletzt:</w:t>
      </w:r>
      <w:r>
        <w:br/>
        <w:t xml:space="preserve">            tau = Bisektion der ersten Nullstelle des Verletzungsmasses, 60 Halbierungen</w:t>
      </w:r>
      <w:r>
        <w:br/>
        <w:t xml:space="preserve">        sonst:</w:t>
      </w:r>
      <w:r>
        <w:br/>
        <w:t xml:space="preserve">            tau = rest</w:t>
      </w:r>
      <w:r>
        <w:br/>
        <w:t xml:space="preserve"/>
      </w:r>
      <w:r>
        <w:br/>
        <w:t xml:space="preserve">        x_mittel = (Gamma(tau)*x + Psi(tau)*b) / tau</w:t>
      </w:r>
      <w:r>
        <w:br/>
        <w:t xml:space="preserve">        akkQ   += Q(x_mittel) * tau        (bzw. Q_fest * tau in den Grenzfaellen)</w:t>
      </w:r>
      <w:r>
        <w:br/>
        <w:t xml:space="preserve">        akkAir += theta_air(x_mittel) * tau</w:t>
      </w:r>
      <w:r>
        <w:br/>
        <w:t xml:space="preserve">        akkS   += (S_C*x_mittel + S_D) * tau</w:t>
      </w:r>
      <w:r>
        <w:br/>
        <w:t xml:space="preserve">        x       = Phi(tau)*x + Gamma(tau)*b</w:t>
      </w:r>
      <w:r>
        <w:br/>
        <w:t xml:space="preserve">        t      += tau</w:t>
      </w:r>
      <w:r>
        <w:br/>
        <w:t xml:space="preserve"/>
      </w:r>
      <w:r>
        <w:br/>
        <w:t xml:space="preserve">    Q_Stunde        = akkQ / 3600                      (Blockmittel, W)</w:t>
      </w:r>
      <w:r>
        <w:br/>
        <w:t xml:space="preserve">    theta_air_Std   = akkAir / 3600                    (Blockmittel, Grad C)</w:t>
      </w:r>
      <w:r>
        <w:br/>
        <w:t xml:space="preserve">    theta_s_Std     = akkS / 3600                      (Blockmittel der Oberflaechen)</w:t>
      </w:r>
      <w:r>
        <w:br/>
        <w:t xml:space="preserve">    theta_op_Std    = 0,5*theta_air_Std + 0,5*flaechengewichtetes Mittel von theta_s_Std</w:t>
      </w:r>
    </w:p>
    <w:p>
      <w:r>
        <w:rPr>
          <w:b/>
        </w:rPr>
        <w:t xml:space="preserve">Zeitbezug aller drei Prüfgrößen.</w:t>
      </w:r>
      <w:r>
        <w:t xml:space="preserve"> Heiz- und Kühllast, Raumluft- </w:t>
      </w:r>
      <w:r>
        <w:rPr>
          <w:b/>
        </w:rPr>
        <w:t xml:space="preserve">und</w:t>
      </w:r>
      <w:r>
        <w:t xml:space="preserve"> operative Temperatur sind Blockmittel; Momentanwerte am Schrittende bilden die Verhältnisse nicht korrekt ab. Deshalb geht auch die Oberflächentemperatur als Blockmittel in die operative Temperatur ein und wird bei mehreren Abschnitten je Stunde abschnittsweise akkumuliert. Der Unterschied ist nicht vernachlässigbar: in der unten gerechneten Beispielstunde sind es 0,054 K, mehr als ein Drittel des Prüfbandes von ± 0,15 K.</w:t>
      </w:r>
    </w:p>
    <w:p>
      <w:r>
        <w:rPr>
          <w:b/>
        </w:rPr>
        <w:t xml:space="preserve">Die Regeln dahinter.</w:t>
      </w:r>
      <w:r>
        <w:t xml:space="preserve"> Der </w:t>
      </w:r>
      <w:r>
        <w:rPr>
          <w:b/>
        </w:rPr>
        <w:t xml:space="preserve">Vorlauf</w:t>
      </w:r>
      <w:r>
        <w:t xml:space="preserve"> rechnet die letzten 30 Tage des Jahres vor dem 1. Januar und verwirft ihre Ergebnisse; für die Referenzgebäude mit Zeitkonstanten von 7,5 bis 24,8 h deckt er die Anfangsabweichung auf unter 0,1 K ab, für die langsameren Normtesträume mit bis zu rund 264 h reicht er nicht und ist je Fall zu prüfen. Die </w:t>
      </w:r>
      <w:r>
        <w:rPr>
          <w:b/>
        </w:rPr>
        <w:t xml:space="preserve">ideale Regelung</w:t>
      </w:r>
      <w:r>
        <w:t xml:space="preserve"> hält den Sollwert zu jedem Zeitpunkt der Stunde, weil der Luftknoten kapazitätslos ist; eine Variante „Sollwert am Schrittende" ergäbe andere Stundenmittel und widerspräche der Richtlinie. Die </w:t>
      </w:r>
      <w:r>
        <w:rPr>
          <w:b/>
        </w:rPr>
        <w:t xml:space="preserve">Bisektion</w:t>
      </w:r>
      <w:r>
        <w:t xml:space="preserve"> ist die einzige Iteration, höchstens 60 Halbierungen, deterministisch. Die </w:t>
      </w:r>
      <w:r>
        <w:rPr>
          <w:b/>
        </w:rPr>
        <w:t xml:space="preserve">Kühlung</w:t>
      </w:r>
      <w:r>
        <w:t xml:space="preserve"> wird als Kappung an der oberen Raumtemperatur gerechnet; mit E12 wird aus der bisher informativen Reihe eine Bedarfsgröße mit eigenem Sollwert und eigener Leistungsgrenze (Kapitel 8a). Mit einem </w:t>
      </w:r>
      <w:r>
        <w:rPr>
          <w:b/>
        </w:rPr>
        <w:t xml:space="preserve">Strahlungsanteil der Heizung</w:t>
      </w:r>
      <w:r>
        <w:t xml:space="preserve"> größer null wird die Heizleistung nach (49)–(54) auf Luft und Oberflächen aufgeteilt; das ändert die Koeffizienten, nicht die Struktur. </w:t>
      </w:r>
      <w:r>
        <w:rPr>
          <w:b/>
        </w:rPr>
        <w:t xml:space="preserve">Kein Totband, keine Reglerdynamik</w:t>
      </w:r>
      <w:r>
        <w:t xml:space="preserve"> — das Modell liefert den Bedarf, die Deckung rechnet die Simulationssteuerung wie bisher. </w:t>
      </w:r>
      <w:r>
        <w:rPr>
          <w:b/>
        </w:rPr>
        <w:t xml:space="preserve">Nachtrag E22:</w:t>
      </w:r>
      <w:r>
        <w:t xml:space="preserve"> Mit der Anlagenkopplung tritt ein </w:t>
      </w:r>
      <w:r>
        <w:rPr>
          <w:b/>
        </w:rPr>
        <w:t xml:space="preserve">P-Regler mit Proportionalband</w:t>
      </w:r>
      <w:r>
        <w:t xml:space="preserve"> neben die ideale Regelung — als benannte Erweiterung, je Gebäude wählbar, mit Vorgabe „aus" und mit dem Band null bitgleich zum Bestandsverhalten (Kapitel 8b).</w:t>
      </w:r>
    </w:p>
    <w:p>
      <w:pPr>
        <w:pStyle w:val="Diagrammbild"/>
      </w:pPr>
      <w:r>
        <w:drawing>
          <wp:inline xmlns:wp="http://schemas.openxmlformats.org/drawingml/2006/wordprocessingDrawing" distT="0" distB="0" distL="0" distR="0">
            <wp:extent cx="4569780" cy="7920000"/>
            <wp:effectExtent l="0" t="0" r="0" b="0"/>
            <wp:docPr id="15"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15.png"/>
                    <pic:cNvPicPr/>
                  </pic:nvPicPr>
                  <pic:blipFill>
                    <a:blip xmlns:r="http://schemas.openxmlformats.org/officeDocument/2006/relationships" r:embed="R246d066ceaaa41f8"/>
                    <a:stretch>
                      <a:fillRect/>
                    </a:stretch>
                  </pic:blipFill>
                  <pic:spPr>
                    <a:xfrm>
                      <a:off x="0" y="0"/>
                      <a:ext cx="4569780" cy="7920000"/>
                    </a:xfrm>
                    <a:prstGeom prst="rect">
                      <a:avLst/>
                    </a:prstGeom>
                  </pic:spPr>
                </pic:pic>
              </a:graphicData>
            </a:graphic>
          </wp:inline>
        </w:drawing>
      </w:r>
    </w:p>
    <w:p>
      <w:pPr>
        <w:pStyle w:val="Bildunterschrift"/>
      </w:pPr>
      <w:r>
        <w:rPr>
          <w:i/>
          <w:iCs/>
        </w:rPr>
        <w:t xml:space="preserve">Bild 15: 10.8 Schritt F — die Stundenschleife</w:t>
      </w:r>
    </w:p>
    <w:p>
      <w:pPr>
        <w:pStyle w:val="Heading2"/>
      </w:pPr>
      <w:r>
        <w:t xml:space="preserve">10.9 Schritt G — Ergebnisse</w:t>
      </w:r>
    </w:p>
    <w:p>
      <w:r>
        <w:rPr>
          <w:b/>
        </w:rPr>
        <w:t xml:space="preserve">Vier Reihen je Gebäude, aus einem Lauf.</w:t>
      </w:r>
      <w:r>
        <w:t xml:space="preserve"> Die Heizlast läuft in </w:t>
      </w:r>
      <w:r>
        <w:rPr>
          <w:b/>
        </w:rPr>
        <w:t xml:space="preserve">Watt</w:t>
      </w:r>
      <w:r>
        <w:t xml:space="preserve"> in den vorhandenen Puffer und von dort in den Heizkanal, die Kühllast derselben Stunde in den Kältekanal (E21); Raumluft- und operative Temperatur sowie der Kühlbedarf gehen als je eine neue Vektordatei in den Referenzlauf-Export, die Temperaturen in °C, der Kühlbedarf in kWh. </w:t>
      </w:r>
      <w:r>
        <w:rPr>
          <w:b/>
        </w:rPr>
        <w:t xml:space="preserve">Die drei neuen Dateien entstehen nur für Gebäude auf dem VDI-Weg</w:t>
      </w:r>
      <w:r>
        <w:t xml:space="preserve"> — für Gebäude auf dem Altweg dürfen sie gar nicht erst angelegt werden, nicht „mit Nullen gefüllt".</w:t>
      </w:r>
    </w:p>
    <w:p>
      <w:r>
        <w:t xml:space="preserve">Die operative Temperatur nach Gl. (103), als </w:t>
      </w:r>
      <w:r>
        <w:rPr>
          <w:b/>
        </w:rPr>
        <w:t xml:space="preserve">Blockmittel</w:t>
      </w:r>
      <w:r>
        <w:t xml:space="preserve"> beider Anteile:</w:t>
      </w:r>
    </w:p>
    <w:p>
      <w:pPr>
        <w:pStyle w:val="Formelblock"/>
      </w:pPr>
      <m:oMathPara xmlns:m="http://schemas.openxmlformats.org/officeDocument/2006/math">
        <m:oMathParaPr>
          <m:jc m:val="center"/>
        </m:oMathParaPr>
        <m:oMath>
          <m:sSub>
            <m:e>
              <m:r>
                <w:rPr>
                  <w:rFonts w:ascii="Cambria Math" w:hAnsi="Cambria Math"/>
                </w:rPr>
                <m:t>θ</m:t>
              </m:r>
            </m:e>
            <m:sub>
              <m:r>
                <m:rPr>
                  <m:sty m:val="p"/>
                </m:rPr>
                <w:rPr>
                  <w:rFonts w:ascii="Cambria Math" w:hAnsi="Cambria Math"/>
                </w:rPr>
                <m:t>op</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5</m:t>
          </m:r>
          <m:r>
            <w:rPr>
              <w:rFonts w:ascii="Cambria Math" w:hAnsi="Cambria Math"/>
            </w:rPr>
            <m:t>⋅</m:t>
          </m:r>
          <m:sSub>
            <m:e>
              <m:r>
                <w:rPr>
                  <w:rFonts w:ascii="Cambria Math" w:hAnsi="Cambria Math"/>
                </w:rPr>
                <m:t>θ</m:t>
              </m:r>
            </m:e>
            <m:sub>
              <m:r>
                <m:rPr>
                  <m:sty m:val="p"/>
                </m:rPr>
                <w:rPr>
                  <w:rFonts w:ascii="Cambria Math" w:hAnsi="Cambria Math"/>
                </w:rPr>
                <m:t>air</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5</m:t>
          </m:r>
          <m:r>
            <w:rPr>
              <w:rFonts w:ascii="Cambria Math" w:hAnsi="Cambria Math"/>
            </w:rPr>
            <m:t>⋅</m:t>
          </m:r>
          <m:f>
            <m:num>
              <m:nary>
                <m:naryPr>
                  <m:chr m:val="∑"/>
                  <m:limLoc m:val="undOvr"/>
                  <m:grow m:val="1"/>
                  <m:subHide m:val="0"/>
                  <m:supHide m:val="1"/>
                </m:naryPr>
                <m:sub>
                  <m:r>
                    <w:rPr>
                      <w:rFonts w:ascii="Cambria Math" w:hAnsi="Cambria Math"/>
                    </w:rPr>
                    <m:t>k</m:t>
                  </m:r>
                </m:sub>
                <m:sup>
                  <m:r>
                    <w:rPr>
                      <w:rFonts w:ascii="Cambria Math" w:hAnsi="Cambria Math"/>
                    </w:rPr>
                    <m:t/>
                  </m:r>
                </m:sup>
                <m:e>
                  <m:sSub>
                    <m:e>
                      <m:r>
                        <w:rPr>
                          <w:rFonts w:ascii="Cambria Math" w:hAnsi="Cambria Math"/>
                        </w:rPr>
                        <m:t>A</m:t>
                      </m:r>
                    </m:e>
                    <m:sub>
                      <m:r>
                        <w:rPr>
                          <w:rFonts w:ascii="Cambria Math" w:hAnsi="Cambria Math"/>
                        </w:rPr>
                        <m:t>k</m:t>
                      </m:r>
                    </m:sub>
                  </m:sSub>
                  <m:r>
                    <w:rPr>
                      <w:rFonts w:ascii="Cambria Math" w:hAnsi="Cambria Math"/>
                    </w:rPr>
                    <m:t>⋅</m:t>
                  </m:r>
                  <m:sSub>
                    <m:e>
                      <m:r>
                        <w:rPr>
                          <w:rFonts w:ascii="Cambria Math" w:hAnsi="Cambria Math"/>
                        </w:rPr>
                        <m:t>θ</m:t>
                      </m:r>
                    </m:e>
                    <m:sub>
                      <m:r>
                        <m:rPr>
                          <m:sty m:val="p"/>
                        </m:rPr>
                        <w:rPr>
                          <w:rFonts w:ascii="Cambria Math" w:hAnsi="Cambria Math"/>
                        </w:rPr>
                        <m:t>s</m:t>
                      </m:r>
                      <m:r>
                        <w:rPr>
                          <w:rFonts w:ascii="Cambria Math" w:hAnsi="Cambria Math"/>
                        </w:rPr>
                        <m:t>,</m:t>
                      </m:r>
                      <m:r>
                        <w:rPr>
                          <w:rFonts w:ascii="Cambria Math" w:hAnsi="Cambria Math"/>
                        </w:rPr>
                        <m:t>k</m:t>
                      </m:r>
                    </m:sub>
                  </m:sSub>
                </m:e>
              </m:nary>
            </m:num>
            <m:den>
              <m:nary>
                <m:naryPr>
                  <m:chr m:val="∑"/>
                  <m:limLoc m:val="undOvr"/>
                  <m:grow m:val="1"/>
                  <m:subHide m:val="0"/>
                  <m:supHide m:val="1"/>
                </m:naryPr>
                <m:sub>
                  <m:r>
                    <w:rPr>
                      <w:rFonts w:ascii="Cambria Math" w:hAnsi="Cambria Math"/>
                    </w:rPr>
                    <m:t>k</m:t>
                  </m:r>
                </m:sub>
                <m:sup>
                  <m:r>
                    <w:rPr>
                      <w:rFonts w:ascii="Cambria Math" w:hAnsi="Cambria Math"/>
                    </w:rPr>
                    <m:t/>
                  </m:r>
                </m:sup>
                <m:e>
                  <m:sSub>
                    <m:e>
                      <m:r>
                        <w:rPr>
                          <w:rFonts w:ascii="Cambria Math" w:hAnsi="Cambria Math"/>
                        </w:rPr>
                        <m:t>A</m:t>
                      </m:r>
                    </m:e>
                    <m:sub>
                      <m:r>
                        <w:rPr>
                          <w:rFonts w:ascii="Cambria Math" w:hAnsi="Cambria Math"/>
                        </w:rPr>
                        <m:t>k</m:t>
                      </m:r>
                    </m:sub>
                  </m:sSub>
                </m:e>
              </m:nary>
            </m:den>
          </m:f>
          <m:r>
            <w:rPr>
              <w:rFonts w:ascii="Cambria Math" w:hAnsi="Cambria Math"/>
            </w:rPr>
            <m:t xml:space="preserve"> </m:t>
          </m:r>
          <m:r>
            <w:rPr>
              <w:rFonts w:ascii="Cambria Math" w:hAnsi="Cambria Math"/>
            </w:rPr>
            <m:t>[</m:t>
          </m:r>
          <m:r>
            <w:rPr>
              <w:rFonts w:ascii="Cambria Math" w:hAnsi="Cambria Math"/>
            </w:rPr>
            <m:t>°</m:t>
          </m:r>
          <m:r>
            <m:rPr>
              <m:sty m:val="p"/>
            </m:rPr>
            <w:rPr>
              <w:rFonts w:ascii="Cambria Math" w:hAnsi="Cambria Math"/>
            </w:rPr>
            <m:t>C</m:t>
          </m:r>
          <m:r>
            <w:rPr>
              <w:rFonts w:ascii="Cambria Math" w:hAnsi="Cambria Math"/>
            </w:rPr>
            <m:t>]</m:t>
          </m:r>
        </m:oMath>
      </m:oMathPara>
    </w:p>
    <w:p>
      <w:pPr>
        <w:pStyle w:val="Formelblock"/>
      </w:pPr>
      <m:oMathPara xmlns:m="http://schemas.openxmlformats.org/officeDocument/2006/math">
        <m:oMathParaPr>
          <m:jc m:val="center"/>
        </m:oMathParaPr>
        <m:oMath>
          <m:r>
            <m:rPr>
              <m:nor m:val="1"/>
            </m:rPr>
            <w:rPr>
              <w:rFonts w:ascii="Cambria Math" w:hAnsi="Cambria Math"/>
            </w:rPr>
            <m:t xml:space="preserve">mit den Flaechen </m:t>
          </m:r>
          <m:sSub>
            <m:e>
              <m:r>
                <w:rPr>
                  <w:rFonts w:ascii="Cambria Math" w:hAnsi="Cambria Math"/>
                </w:rPr>
                <m:t>A</m:t>
              </m:r>
            </m:e>
            <m:sub>
              <m:r>
                <m:rPr>
                  <m:sty m:val="p"/>
                </m:rPr>
                <w:rPr>
                  <w:rFonts w:ascii="Cambria Math" w:hAnsi="Cambria Math"/>
                </w:rPr>
                <m:t>AW,opak</m:t>
              </m:r>
            </m:sub>
          </m:sSub>
          <m:r>
            <m:rPr>
              <m:nor m:val="1"/>
            </m:rPr>
            <w:rPr>
              <w:rFonts w:ascii="Cambria Math" w:hAnsi="Cambria Math"/>
            </w:rPr>
            <m:t xml:space="preserve"> und </m:t>
          </m:r>
          <m:sSub>
            <m:e>
              <m:r>
                <w:rPr>
                  <w:rFonts w:ascii="Cambria Math" w:hAnsi="Cambria Math"/>
                </w:rPr>
                <m:t>A</m:t>
              </m:r>
            </m:e>
            <m:sub>
              <m:r>
                <m:rPr>
                  <m:sty m:val="p"/>
                </m:rPr>
                <w:rPr>
                  <w:rFonts w:ascii="Cambria Math" w:hAnsi="Cambria Math"/>
                </w:rPr>
                <m:t>IW</m:t>
              </m:r>
            </m:sub>
          </m:sSub>
          <m:r>
            <w:rPr>
              <w:rFonts w:ascii="Cambria Math" w:hAnsi="Cambria Math"/>
            </w:rPr>
            <m:t>,</m:t>
          </m:r>
          <m:r>
            <w:rPr>
              <w:rFonts w:ascii="Cambria Math" w:hAnsi="Cambria Math"/>
            </w:rPr>
            <m:t xml:space="preserve"> </m:t>
          </m:r>
          <m:nary>
            <m:naryPr>
              <m:chr m:val="∑"/>
              <m:limLoc m:val="undOvr"/>
              <m:grow m:val="1"/>
              <m:subHide m:val="0"/>
              <m:supHide m:val="1"/>
            </m:naryPr>
            <m:sub>
              <m:r>
                <w:rPr>
                  <w:rFonts w:ascii="Cambria Math" w:hAnsi="Cambria Math"/>
                </w:rPr>
                <m:t>k</m:t>
              </m:r>
            </m:sub>
            <m:sup>
              <m:r>
                <w:rPr>
                  <w:rFonts w:ascii="Cambria Math" w:hAnsi="Cambria Math"/>
                </w:rPr>
                <m:t/>
              </m:r>
            </m:sup>
            <m:e>
              <m:sSub>
                <m:e>
                  <m:r>
                    <w:rPr>
                      <w:rFonts w:ascii="Cambria Math" w:hAnsi="Cambria Math"/>
                    </w:rPr>
                    <m:t>A</m:t>
                  </m:r>
                </m:e>
                <m:sub>
                  <m:r>
                    <w:rPr>
                      <w:rFonts w:ascii="Cambria Math" w:hAnsi="Cambria Math"/>
                    </w:rPr>
                    <m:t>k</m:t>
                  </m:r>
                </m:sub>
              </m:sSub>
              <m:r>
                <w:rPr>
                  <w:rFonts w:ascii="Cambria Math" w:hAnsi="Cambria Math"/>
                </w:rPr>
                <m:t>=</m:t>
              </m:r>
              <m:sSub>
                <m:e>
                  <m:r>
                    <w:rPr>
                      <w:rFonts w:ascii="Cambria Math" w:hAnsi="Cambria Math"/>
                    </w:rPr>
                    <m:t>A</m:t>
                  </m:r>
                </m:e>
                <m:sub>
                  <m:r>
                    <m:rPr>
                      <m:sty m:val="p"/>
                    </m:rPr>
                    <w:rPr>
                      <w:rFonts w:ascii="Cambria Math" w:hAnsi="Cambria Math"/>
                    </w:rPr>
                    <m:t>Raum</m:t>
                  </m:r>
                </m:sub>
              </m:sSub>
              <m:r>
                <w:rPr>
                  <w:rFonts w:ascii="Cambria Math" w:hAnsi="Cambria Math"/>
                </w:rPr>
                <m:t xml:space="preserve"> </m:t>
              </m:r>
              <m:r>
                <m:rPr>
                  <m:nor m:val="1"/>
                </m:rPr>
                <w:rPr>
                  <w:rFonts w:ascii="Cambria Math" w:hAnsi="Cambria Math"/>
                </w:rPr>
                <m:t xml:space="preserve">(ohne die Fensterflaeche)</m:t>
              </m:r>
            </m:e>
          </m:nary>
        </m:oMath>
      </m:oMathPara>
    </w:p>
    <w:p>
      <w:r>
        <w:rPr>
          <w:b/>
        </w:rPr>
        <w:t xml:space="preserve">Sieben Kennzahlen je Gebäude:</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Kennzahl</w:t>
            </w:r>
          </w:p>
        </w:tc>
        <w:tc>
          <w:tcPr>
            <w:tcW w:w="0" w:type="auto"/>
            <w:shd w:val="clear" w:color="auto" w:fill="D9D9D9"/>
          </w:tcPr>
          <w:p>
            <w:pPr>
              <w:spacing w:after="0" w:line="240" w:lineRule="auto"/>
              <w:rPr>
                <w:b/>
              </w:rPr>
            </w:pPr>
            <w:r>
              <w:rPr>
                <w:b/>
              </w:rPr>
              <w:t xml:space="preserve">Einheit</w:t>
            </w:r>
          </w:p>
        </w:tc>
        <w:tc>
          <w:tcPr>
            <w:tcW w:w="0" w:type="auto"/>
            <w:shd w:val="clear" w:color="auto" w:fill="D9D9D9"/>
          </w:tcPr>
          <w:p>
            <w:pPr>
              <w:spacing w:after="0" w:line="240" w:lineRule="auto"/>
              <w:rPr>
                <w:b/>
              </w:rPr>
            </w:pPr>
            <w:r>
              <w:rPr>
                <w:b/>
              </w:rPr>
              <w:t xml:space="preserve">Bildung</w:t>
            </w:r>
          </w:p>
        </w:tc>
      </w:tr>
      <w:tr>
        <w:tc>
          <w:tcPr>
            <w:tcW w:w="0" w:type="auto"/>
          </w:tcPr>
          <w:p>
            <w:pPr>
              <w:spacing w:after="0" w:line="240" w:lineRule="auto"/>
            </w:pPr>
            <w:r>
              <w:t xml:space="preserve">Jahresheizwärme</w:t>
            </w:r>
          </w:p>
        </w:tc>
        <w:tc>
          <w:tcPr>
            <w:tcW w:w="0" w:type="auto"/>
          </w:tcPr>
          <w:p>
            <w:pPr>
              <w:spacing w:after="0" w:line="240" w:lineRule="auto"/>
            </w:pPr>
            <w:r>
              <w:t xml:space="preserve">MWh</w:t>
            </w:r>
          </w:p>
        </w:tc>
        <w:tc>
          <w:tcPr>
            <w:tcW w:w="0" w:type="auto"/>
          </w:tcPr>
          <w:p>
            <w:pPr>
              <w:spacing w:after="0" w:line="240" w:lineRule="auto"/>
            </w:pPr>
            <w:r>
              <w:t xml:space="preserve">Summe der Heizlastreihe</w:t>
            </w:r>
          </w:p>
        </w:tc>
      </w:tr>
      <w:tr>
        <w:tc>
          <w:tcPr>
            <w:tcW w:w="0" w:type="auto"/>
          </w:tcPr>
          <w:p>
            <w:pPr>
              <w:spacing w:after="0" w:line="240" w:lineRule="auto"/>
            </w:pPr>
            <w:r>
              <w:t xml:space="preserve">Spitze</w:t>
            </w:r>
          </w:p>
        </w:tc>
        <w:tc>
          <w:tcPr>
            <w:tcW w:w="0" w:type="auto"/>
          </w:tcPr>
          <w:p>
            <w:pPr>
              <w:spacing w:after="0" w:line="240" w:lineRule="auto"/>
            </w:pPr>
            <w:r>
              <w:t xml:space="preserve">kW</w:t>
            </w:r>
          </w:p>
        </w:tc>
        <w:tc>
          <w:tcPr>
            <w:tcW w:w="0" w:type="auto"/>
          </w:tcPr>
          <w:p>
            <w:pPr>
              <w:spacing w:after="0" w:line="240" w:lineRule="auto"/>
            </w:pPr>
            <w:r>
              <w:t xml:space="preserve">Maximum der Stundenreihe</w:t>
            </w:r>
          </w:p>
        </w:tc>
      </w:tr>
      <w:tr>
        <w:tc>
          <w:tcPr>
            <w:tcW w:w="0" w:type="auto"/>
          </w:tcPr>
          <w:p>
            <w:pPr>
              <w:spacing w:after="0" w:line="240" w:lineRule="auto"/>
            </w:pPr>
            <w:r>
              <w:t xml:space="preserve">Spitze im Tagesmittel</w:t>
            </w:r>
          </w:p>
        </w:tc>
        <w:tc>
          <w:tcPr>
            <w:tcW w:w="0" w:type="auto"/>
          </w:tcPr>
          <w:p>
            <w:pPr>
              <w:spacing w:after="0" w:line="240" w:lineRule="auto"/>
            </w:pPr>
            <w:r>
              <w:t xml:space="preserve">kW</w:t>
            </w:r>
          </w:p>
        </w:tc>
        <w:tc>
          <w:tcPr>
            <w:tcW w:w="0" w:type="auto"/>
          </w:tcPr>
          <w:p>
            <w:pPr>
              <w:spacing w:after="0" w:line="240" w:lineRule="auto"/>
            </w:pPr>
            <w:r>
              <w:t xml:space="preserve">größtes </w:t>
            </w:r>
            <w:r>
              <w:rPr>
                <w:b/>
              </w:rPr>
              <w:t xml:space="preserve">gleitendes</w:t>
            </w:r>
            <w:r>
              <w:t xml:space="preserve"> Mittel über 24 aufeinanderfolgende Blockstunden (8 737 Fenster)</w:t>
            </w:r>
          </w:p>
        </w:tc>
      </w:tr>
      <w:tr>
        <w:tc>
          <w:tcPr>
            <w:tcW w:w="0" w:type="auto"/>
          </w:tcPr>
          <w:p>
            <w:pPr>
              <w:spacing w:after="0" w:line="240" w:lineRule="auto"/>
            </w:pPr>
            <w:r>
              <w:t xml:space="preserve">95-%-Quantil</w:t>
            </w:r>
          </w:p>
        </w:tc>
        <w:tc>
          <w:tcPr>
            <w:tcW w:w="0" w:type="auto"/>
          </w:tcPr>
          <w:p>
            <w:pPr>
              <w:spacing w:after="0" w:line="240" w:lineRule="auto"/>
            </w:pPr>
            <w:r>
              <w:t xml:space="preserve">kW</w:t>
            </w:r>
          </w:p>
        </w:tc>
        <w:tc>
          <w:tcPr>
            <w:tcW w:w="0" w:type="auto"/>
          </w:tcPr>
          <w:p>
            <w:pPr>
              <w:spacing w:after="0" w:line="240" w:lineRule="auto"/>
            </w:pPr>
            <w:r>
              <w:t xml:space="preserve">nach nächstgelegenem Rang über die 8 760 sortierten Stundenwerte</w:t>
            </w:r>
          </w:p>
        </w:tc>
      </w:tr>
      <w:tr>
        <w:tc>
          <w:tcPr>
            <w:tcW w:w="0" w:type="auto"/>
          </w:tcPr>
          <w:p>
            <w:pPr>
              <w:spacing w:after="0" w:line="240" w:lineRule="auto"/>
            </w:pPr>
            <w:r>
              <w:t xml:space="preserve">Kühlenergie</w:t>
            </w:r>
          </w:p>
        </w:tc>
        <w:tc>
          <w:tcPr>
            <w:tcW w:w="0" w:type="auto"/>
          </w:tcPr>
          <w:p>
            <w:pPr>
              <w:spacing w:after="0" w:line="240" w:lineRule="auto"/>
            </w:pPr>
            <w:r>
              <w:t xml:space="preserve">MWh</w:t>
            </w:r>
          </w:p>
        </w:tc>
        <w:tc>
          <w:tcPr>
            <w:tcW w:w="0" w:type="auto"/>
          </w:tcPr>
          <w:p>
            <w:pPr>
              <w:spacing w:after="0" w:line="240" w:lineRule="auto"/>
            </w:pPr>
            <w:r>
              <w:t xml:space="preserve">Summe der Kühlbedarfsreihe</w:t>
            </w:r>
          </w:p>
        </w:tc>
      </w:tr>
      <w:tr>
        <w:tc>
          <w:tcPr>
            <w:tcW w:w="0" w:type="auto"/>
          </w:tcPr>
          <w:p>
            <w:pPr>
              <w:spacing w:after="0" w:line="240" w:lineRule="auto"/>
            </w:pPr>
            <w:r>
              <w:t xml:space="preserve">Stunden mit Kühlbedarf</w:t>
            </w:r>
          </w:p>
        </w:tc>
        <w:tc>
          <w:tcPr>
            <w:tcW w:w="0" w:type="auto"/>
          </w:tcPr>
          <w:p>
            <w:pPr>
              <w:spacing w:after="0" w:line="240" w:lineRule="auto"/>
            </w:pPr>
            <w:r>
              <w:t xml:space="preserve">h</w:t>
            </w:r>
          </w:p>
        </w:tc>
        <w:tc>
          <w:tcPr>
            <w:tcW w:w="0" w:type="auto"/>
          </w:tcPr>
          <w:p>
            <w:pPr>
              <w:spacing w:after="0" w:line="240" w:lineRule="auto"/>
            </w:pPr>
            <w:r>
              <w:t xml:space="preserve">Anzahl Stunden mit Kühlleistung größer null</w:t>
            </w:r>
          </w:p>
        </w:tc>
      </w:tr>
      <w:tr>
        <w:tc>
          <w:tcPr>
            <w:tcW w:w="0" w:type="auto"/>
          </w:tcPr>
          <w:p>
            <w:pPr>
              <w:spacing w:after="0" w:line="240" w:lineRule="auto"/>
            </w:pPr>
            <w:r>
              <w:t xml:space="preserve">mittlere Raumtemperatur der Heizzeit</w:t>
            </w:r>
          </w:p>
        </w:tc>
        <w:tc>
          <w:tcPr>
            <w:tcW w:w="0" w:type="auto"/>
          </w:tcPr>
          <w:p>
            <w:pPr>
              <w:spacing w:after="0" w:line="240" w:lineRule="auto"/>
            </w:pPr>
            <w:r>
              <w:t xml:space="preserve">°C</w:t>
            </w:r>
          </w:p>
        </w:tc>
        <w:tc>
          <w:tcPr>
            <w:tcW w:w="0" w:type="auto"/>
          </w:tcPr>
          <w:p>
            <w:pPr>
              <w:spacing w:after="0" w:line="240" w:lineRule="auto"/>
            </w:pPr>
            <w:r>
              <w:t xml:space="preserve">Mittel über die Stunden mit Heizleistung größer null</w:t>
            </w:r>
          </w:p>
        </w:tc>
      </w:tr>
    </w:tbl>
    <w:p>
      <w:pPr>
        <w:spacing w:after="120"/>
      </w:pPr>
    </w:p>
    <w:p>
      <w:r>
        <w:t xml:space="preserve">Die Kennzahlen gehen </w:t>
      </w:r>
      <w:r>
        <w:rPr>
          <w:b/>
        </w:rPr>
        <w:t xml:space="preserve">nicht</w:t>
      </w:r>
      <w:r>
        <w:t xml:space="preserve"> in die Datenbank — die Ergebnistabelle ist einzeilig je Lauf, die Kennzahlen sind je Gebäude; sie reisen als Skalare mit Gebäudepräfix in der Sammeldatei des Referenzlaufs.</w:t>
      </w:r>
    </w:p>
    <w:p>
      <w:r>
        <w:rPr>
          <w:b/>
        </w:rPr>
        <w:t xml:space="preserve">Skalierung und Verbrauchs-Rückrechnung</w:t>
      </w:r>
      <w:r>
        <w:t xml:space="preserve"> laufen </w:t>
      </w:r>
      <w:r>
        <w:rPr>
          <w:b/>
        </w:rPr>
        <w:t xml:space="preserve">nach</w:t>
      </w:r>
      <w:r>
        <w:t xml:space="preserve"> der Simulation. Die Simulation rechnet mit den Katalogdaten; erst danach wird skaliert. </w:t>
      </w:r>
      <w:r>
        <w:rPr>
          <w:b/>
        </w:rPr>
        <w:t xml:space="preserve">Die Bewohnerzahl aus der Nutzfläche und der Skalierungsfaktor nach E8 entstehen dagegen vor der Weiche</w:t>
      </w:r>
      <w:r>
        <w:t xml:space="preserve"> — im modellfreien Vorbereitungsschritt der Fassade (E20); beide Rechenwege bekommen damit dieselben Zahlen, und die Verhältnisrechnung selbst führt das VDI-Modul, sie fällt ihm nicht zu:</w:t>
      </w:r>
    </w:p>
    <w:p>
      <w:pPr>
        <w:pStyle w:val="Formelblock"/>
      </w:pPr>
      <m:oMathPara xmlns:m="http://schemas.openxmlformats.org/officeDocument/2006/math">
        <m:oMathParaPr>
          <m:jc m:val="center"/>
        </m:oMathParaPr>
        <m:oMath>
          <m:sSub>
            <m:e>
              <m:r>
                <w:rPr>
                  <w:rFonts w:ascii="Cambria Math" w:hAnsi="Cambria Math"/>
                </w:rPr>
                <m:t>Φ</m:t>
              </m:r>
            </m:e>
            <m:sub>
              <m:r>
                <m:rPr>
                  <m:sty m:val="p"/>
                </m:rPr>
                <w:rPr>
                  <w:rFonts w:ascii="Cambria Math" w:hAnsi="Cambria Math"/>
                </w:rPr>
                <m:t>h,Projekt</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sSub>
            <m:e>
              <m:r>
                <w:rPr>
                  <w:rFonts w:ascii="Cambria Math" w:hAnsi="Cambria Math"/>
                </w:rPr>
                <m:t>Φ</m:t>
              </m:r>
            </m:e>
            <m:sub>
              <m:r>
                <m:rPr>
                  <m:sty m:val="p"/>
                </m:rPr>
                <w:rPr>
                  <w:rFonts w:ascii="Cambria Math" w:hAnsi="Cambria Math"/>
                </w:rPr>
                <m:t>h,Katalog</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t>
          </m:r>
          <m:f>
            <m:num>
              <m:sSub>
                <m:e>
                  <m:r>
                    <m:rPr>
                      <m:sty m:val="p"/>
                    </m:rPr>
                    <w:rPr>
                      <w:rFonts w:ascii="Cambria Math" w:hAnsi="Cambria Math"/>
                    </w:rPr>
                    <m:t>Z</m:t>
                  </m:r>
                </m:e>
                <m:sub>
                  <m:r>
                    <m:rPr>
                      <m:sty m:val="p"/>
                    </m:rPr>
                    <w:rPr>
                      <w:rFonts w:ascii="Cambria Math" w:hAnsi="Cambria Math"/>
                    </w:rPr>
                    <m:t>AuswahlWohnflaeche</m:t>
                  </m:r>
                </m:sub>
              </m:sSub>
            </m:num>
            <m:den>
              <m:r>
                <m:rPr>
                  <m:sty m:val="p"/>
                </m:rPr>
                <w:rPr>
                  <w:rFonts w:ascii="Cambria Math" w:hAnsi="Cambria Math"/>
                </w:rPr>
                <m:t>Wohnflaeche</m:t>
              </m:r>
            </m:den>
          </m:f>
        </m:oMath>
      </m:oMathPara>
    </w:p>
    <w:p>
      <w:r>
        <w:t xml:space="preserve">Die Rückrechnung ist eine reine Verhältnisrechnung mit </w:t>
      </w:r>
      <w:r>
        <w:rPr>
          <w:b/>
        </w:rPr>
        <w:t xml:space="preserve">einem</w:t>
      </w:r>
      <w:r>
        <w:t xml:space="preserve"> Kataloglauf, und ihre Reihenfolge ist die des Bestands und </w:t>
      </w:r>
      <w:r>
        <w:rPr>
          <w:b/>
        </w:rPr>
        <w:t xml:space="preserve">nicht vertauschbar</w:t>
      </w:r>
      <w:r>
        <w:t xml:space="preserve">:</w:t>
      </w:r>
    </w:p>
    <w:p>
      <w:pPr>
        <w:pStyle w:val="Codeblock"/>
      </w:pPr>
      <w:r>
        <w:t xml:space="preserve">1.  VerbrauchNeu je Einheit der Verbrauchseingabe bilden [kWh]:</w:t>
      </w:r>
      <w:r>
        <w:br/>
        <w:t xml:space="preserve">        Oel        [l/a]        -&gt; Wert · η · 10,08</w:t>
      </w:r>
      <w:r>
        <w:br/>
        <w:t xml:space="preserve">        Gas        [m³/a]       -&gt; Wert · η · 11,48</w:t>
      </w:r>
      <w:r>
        <w:br/>
        <w:t xml:space="preserve">        Gas        [MWh/a] (Ho) -&gt; Wert · η / 1,1 · 1000</w:t>
      </w:r>
      <w:r>
        <w:br/>
        <w:t xml:space="preserve">        Brennstoff [MWh/a]      -&gt; Wert · η · 1000</w:t>
      </w:r>
      <w:r>
        <w:br/>
        <w:t xml:space="preserve">        Verbrauch  [MWh/a]      -&gt; Wert · 1000</w:t>
      </w:r>
      <w:r>
        <w:br/>
        <w:t xml:space="preserve">        Wohnflaeche[m²]         -&gt; keine Rueckrechnung, nur Bewohner = Flaeche / Flaeche_Nutzer</w:t>
      </w:r>
      <w:r>
        <w:br/>
        <w:t xml:space="preserve">2.  Auswahlflaeche auf die Katalogflaeche setzen;  FlaecheAlt = Katalogflaeche</w:t>
      </w:r>
      <w:r>
        <w:br/>
        <w:t xml:space="preserve">3.  Lauf 1  -&gt;  VerbrauchAlt = Summe der Heizlastreihe [Wh] / 1 000   [kWh]</w:t>
      </w:r>
      <w:r>
        <w:br/>
        <w:t xml:space="preserve">4.  FlaecheNeu = VerbrauchNeu / VerbrauchAlt · FlaecheAlt</w:t>
      </w:r>
      <w:r>
        <w:br/>
        <w:t xml:space="preserve">5.  Die Reihe aus Lauf 1 mit FlaecheNeu / FlaecheAlt nachmultiplizieren  -&gt;  Kanal</w:t>
      </w:r>
    </w:p>
    <w:p>
      <w:r>
        <w:rPr>
          <w:b/>
        </w:rPr>
        <w:t xml:space="preserve">Warum die Reihenfolge nicht vertauschbar ist:</w:t>
      </w:r>
      <w:r>
        <w:t xml:space="preserve"> </w:t>
      </w:r>
      <w:r>
        <w:rPr>
          <w:rFonts w:ascii="Consolas" w:hAnsi="Consolas" w:cs="Consolas"/>
          <w:noProof/>
          <w:sz w:val="20"/>
          <w:szCs w:val="20"/>
          <w:shd w:val="clear" w:color="auto" w:fill="EFEFEF"/>
        </w:rPr>
        <w:t xml:space="preserve">Z_AuswahlWohnflaeche</w:t>
      </w:r>
      <w:r>
        <w:t xml:space="preserve"> trägt bis Schritt 2 den </w:t>
      </w:r>
      <w:r>
        <w:rPr>
          <w:b/>
        </w:rPr>
        <w:t xml:space="preserve">eingegebenen Verbrauch</w:t>
      </w:r>
      <w:r>
        <w:t xml:space="preserve">, danach die </w:t>
      </w:r>
      <w:r>
        <w:rPr>
          <w:b/>
        </w:rPr>
        <w:t xml:space="preserve">Fläche</w:t>
      </w:r>
      <w:r>
        <w:t xml:space="preserve"> — dasselbe Feld, zwei Bedeutungen.</w:t>
      </w:r>
    </w:p>
    <w:p>
      <w:r>
        <w:rPr>
          <w:b/>
        </w:rPr>
        <w:t xml:space="preserve">Kein zweiter Simulationslauf:</w:t>
      </w:r>
      <w:r>
        <w:t xml:space="preserve"> die Reihe des zweiten Laufs wäre zeichengleich die Reihe des ersten mal dem Flächenverhältnis. Zwei harte Bedingungen bleiben: der Löser muss </w:t>
      </w:r>
      <w:r>
        <w:rPr>
          <w:b/>
        </w:rPr>
        <w:t xml:space="preserve">zustandsfrei zweimal hintereinander</w:t>
      </w:r>
      <w:r>
        <w:t xml:space="preserve"> laufen dürfen, und der Vorbereitungsschritt liegt </w:t>
      </w:r>
      <w:r>
        <w:rPr>
          <w:b/>
        </w:rPr>
        <w:t xml:space="preserve">vor</w:t>
      </w:r>
      <w:r>
        <w:t xml:space="preserve"> der einen Weiche (E20) — sonst käme der Vergleichswert aus dem Altweg und der Bedarf aus VDI 6007. Ein Vergleichsverbrauch von null wird im VDI-Weg benannt abgelehnt; im Altweg läuft er ungeschützt in eine Division durch null.</w:t>
      </w:r>
    </w:p>
    <w:p>
      <w:r>
        <w:rPr>
          <w:b/>
        </w:rPr>
        <w:t xml:space="preserve">Was unverändert bleibt:</w:t>
      </w:r>
      <w:r>
        <w:t xml:space="preserve"> die maximale Wärmelast des Projekts bleibt das Maximum des </w:t>
      </w:r>
      <w:r>
        <w:rPr>
          <w:b/>
        </w:rPr>
        <w:t xml:space="preserve">Kanalsummenvektors</w:t>
      </w:r>
      <w:r>
        <w:t xml:space="preserve"> über die Wärmekanäle, damit Dauerlinie, Deckung und Anzeige eine Basis behalten — die drei Spitzenkennzahlen treten zusätzlich je Gebäude daneben, und die Kälteseite führt mit </w:t>
      </w:r>
      <w:r>
        <w:rPr>
          <w:rFonts w:ascii="Consolas" w:hAnsi="Consolas" w:cs="Consolas"/>
          <w:noProof/>
          <w:sz w:val="20"/>
          <w:szCs w:val="20"/>
          <w:shd w:val="clear" w:color="auto" w:fill="EFEFEF"/>
        </w:rPr>
        <w:t xml:space="preserve">Kaeltebedarf_Max</w:t>
      </w:r>
      <w:r>
        <w:t xml:space="preserve"> ihr eigenes Maximum (E21). Addition in den Kanal, Energieprobe, Monatssummen, Dauerlinie und Mischfälle bleiben Zeichen für Zeichen der Bestandsweg. Der Tagesbilanz-Weg ändert sich nicht: Er wandert unverändert in das Modul </w:t>
      </w:r>
      <w:r>
        <w:rPr>
          <w:rFonts w:ascii="Consolas" w:hAnsi="Consolas" w:cs="Consolas"/>
          <w:noProof/>
          <w:sz w:val="20"/>
          <w:szCs w:val="20"/>
          <w:shd w:val="clear" w:color="auto" w:fill="EFEFEF"/>
        </w:rPr>
        <w:t xml:space="preserve">Altweg/</w:t>
      </w:r>
      <w:r>
        <w:t xml:space="preserve"> und bleibt dort dauerhaft (E23).</w:t>
      </w:r>
    </w:p>
    <w:p>
      <w:pPr>
        <w:pStyle w:val="Heading2"/>
      </w:pPr>
      <w:r>
        <w:t xml:space="preserve">10.10 Zahlenweg an einem EPOS-Gebäude (Kurzfassung)</w:t>
      </w:r>
    </w:p>
    <w:p>
      <w:r>
        <w:rPr>
          <w:b/>
        </w:rPr>
        <w:t xml:space="preserve">Gebäude.</w:t>
      </w:r>
      <w:r>
        <w:t xml:space="preserve"> Projekt 1045, ein Einfamilienhaus der Baualtersklasse A mit 201 m² Wohnfläche und 2,75 m Raumhöhe. Die Schritte A, C und D sind von Hand nachgerechnet; die Stunden 9.4 bis 9.6 des Rechenbuchs laufen im </w:t>
      </w:r>
      <w:r>
        <w:rPr>
          <w:b/>
        </w:rPr>
        <w:t xml:space="preserve">Prüfmodus</w:t>
      </w:r>
      <w:r>
        <w:t xml:space="preserve">, jenem Konventionsbündel, mit dem der Kern gegen den Prototyp gehalten werden kann — isotrope Fassadenstrahlung, äquivalente Temperatur ohne Absorptionsterm, UTC-Reihenfolge, kein konvektiver Anteil des Fenstersolars, Regelung ohne Kühlung und ohne Leistungsgrenze.</w:t>
      </w:r>
    </w:p>
    <w:p>
      <w:r>
        <w:rPr>
          <w:b/>
        </w:rPr>
        <w:t xml:space="preserve">Schritt A — Ersatzparameter (Auszug):</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Größe</w:t>
            </w:r>
          </w:p>
        </w:tc>
        <w:tc>
          <w:tcPr>
            <w:tcW w:w="0" w:type="auto"/>
            <w:shd w:val="clear" w:color="auto" w:fill="D9D9D9"/>
          </w:tcPr>
          <w:p>
            <w:pPr>
              <w:spacing w:after="0" w:line="240" w:lineRule="auto"/>
              <w:rPr>
                <w:b/>
              </w:rPr>
            </w:pPr>
            <w:r>
              <w:rPr>
                <w:b/>
              </w:rPr>
              <w:t xml:space="preserve">Wert</w:t>
            </w:r>
          </w:p>
        </w:tc>
        <w:tc>
          <w:tcPr>
            <w:tcW w:w="0" w:type="auto"/>
            <w:shd w:val="clear" w:color="auto" w:fill="D9D9D9"/>
          </w:tcPr>
          <w:p>
            <w:pPr>
              <w:spacing w:after="0" w:line="240" w:lineRule="auto"/>
              <w:rPr>
                <w:b/>
              </w:rPr>
            </w:pPr>
            <w:r>
              <w:rPr>
                <w:b/>
              </w:rPr>
              <w:t xml:space="preserve">Einheit</w:t>
            </w:r>
          </w:p>
        </w:tc>
      </w:tr>
      <w:tr>
        <w:tc>
          <w:tcPr>
            <w:tcW w:w="0" w:type="auto"/>
          </w:tcPr>
          <w:p>
            <w:pPr>
              <w:spacing w:after="0" w:line="240" w:lineRule="auto"/>
            </w:pPr>
            <w:r>
              <w:t xml:space="preserve">Volumen </w:t>
            </w:r>
            <m:oMath xmlns:m="http://schemas.openxmlformats.org/officeDocument/2006/math">
              <m:r>
                <w:rPr>
                  <w:rFonts w:ascii="Cambria Math" w:hAnsi="Cambria Math"/>
                </w:rPr>
                <m:t>V</m:t>
              </m:r>
              <m:r>
                <w:rPr>
                  <w:rFonts w:ascii="Cambria Math" w:hAnsi="Cambria Math"/>
                </w:rPr>
                <m:t>=</m:t>
              </m:r>
              <m:sSub>
                <m:e>
                  <m:r>
                    <w:rPr>
                      <w:rFonts w:ascii="Cambria Math" w:hAnsi="Cambria Math"/>
                    </w:rPr>
                    <m:t>A</m:t>
                  </m:r>
                </m:e>
                <m:sub>
                  <m:r>
                    <m:rPr>
                      <m:sty m:val="p"/>
                    </m:rPr>
                    <w:rPr>
                      <w:rFonts w:ascii="Cambria Math" w:hAnsi="Cambria Math"/>
                    </w:rPr>
                    <m:t>f</m:t>
                  </m:r>
                </m:sub>
              </m:sSub>
              <m:r>
                <w:rPr>
                  <w:rFonts w:ascii="Cambria Math" w:hAnsi="Cambria Math"/>
                </w:rPr>
                <m:t>⋅</m:t>
              </m:r>
              <m:r>
                <w:rPr>
                  <w:rFonts w:ascii="Cambria Math" w:hAnsi="Cambria Math"/>
                </w:rPr>
                <m:t>H</m:t>
              </m:r>
            </m:oMath>
          </w:p>
        </w:tc>
        <w:tc>
          <w:tcPr>
            <w:tcW w:w="0" w:type="auto"/>
          </w:tcPr>
          <w:p>
            <w:pPr>
              <w:spacing w:after="0" w:line="240" w:lineRule="auto"/>
            </w:pPr>
            <w:r>
              <w:t xml:space="preserve">552,75</w:t>
            </w:r>
          </w:p>
        </w:tc>
        <w:tc>
          <w:tcPr>
            <w:tcW w:w="0" w:type="auto"/>
          </w:tcPr>
          <w:p>
            <w:pPr>
              <w:spacing w:after="0" w:line="240" w:lineRule="auto"/>
            </w:pPr>
            <w:r>
              <w:t xml:space="preserve">m³</w:t>
            </w:r>
          </w:p>
        </w:tc>
      </w:tr>
      <w:tr>
        <w:tc>
          <w:tcPr>
            <w:tcW w:w="0" w:type="auto"/>
          </w:tcPr>
          <w:p>
            <w:pPr>
              <w:spacing w:after="0" w:line="240" w:lineRule="auto"/>
            </w:pPr>
            <w:r>
              <w:t xml:space="preserve">Bauweise je m²</w:t>
            </w:r>
          </w:p>
        </w:tc>
        <w:tc>
          <w:tcPr>
            <w:tcW w:w="0" w:type="auto"/>
          </w:tcPr>
          <w:p>
            <w:pPr>
              <w:spacing w:after="0" w:line="240" w:lineRule="auto"/>
            </w:pPr>
            <w:r>
              <w:t xml:space="preserve">50,0</w:t>
            </w:r>
          </w:p>
        </w:tc>
        <w:tc>
          <w:tcPr>
            <w:tcW w:w="0" w:type="auto"/>
          </w:tcPr>
          <w:p>
            <w:pPr>
              <w:spacing w:after="0" w:line="240" w:lineRule="auto"/>
            </w:pPr>
            <w:r>
              <w:t xml:space="preserve">Wh/(m²K) — innerhalb 5…200</w:t>
            </w:r>
          </w:p>
        </w:tc>
      </w:tr>
      <w:tr>
        <w:tc>
          <w:tcPr>
            <w:tcW w:w="0" w:type="auto"/>
          </w:tcPr>
          <w:p>
            <w:pPr>
              <w:spacing w:after="0" w:line="240" w:lineRule="auto"/>
            </w:pPr>
            <m:oMath xmlns:m="http://schemas.openxmlformats.org/officeDocument/2006/math">
              <m:sSub>
                <m:e>
                  <m:r>
                    <w:rPr>
                      <w:rFonts w:ascii="Cambria Math" w:hAnsi="Cambria Math"/>
                    </w:rPr>
                    <m:t>C</m:t>
                  </m:r>
                </m:e>
                <m:sub>
                  <m:r>
                    <m:rPr>
                      <m:sty m:val="p"/>
                    </m:rPr>
                    <w:rPr>
                      <w:rFonts w:ascii="Cambria Math" w:hAnsi="Cambria Math"/>
                    </w:rPr>
                    <m:t>AW</m:t>
                  </m:r>
                </m:sub>
              </m:sSub>
            </m:oMath>
            <w:r>
              <w:t xml:space="preserve"> / </w:t>
            </w:r>
            <m:oMath xmlns:m="http://schemas.openxmlformats.org/officeDocument/2006/math">
              <m:sSub>
                <m:e>
                  <m:r>
                    <w:rPr>
                      <w:rFonts w:ascii="Cambria Math" w:hAnsi="Cambria Math"/>
                    </w:rPr>
                    <m:t>C</m:t>
                  </m:r>
                </m:e>
                <m:sub>
                  <m:r>
                    <m:rPr>
                      <m:sty m:val="p"/>
                    </m:rPr>
                    <w:rPr>
                      <w:rFonts w:ascii="Cambria Math" w:hAnsi="Cambria Math"/>
                    </w:rPr>
                    <m:t>IW</m:t>
                  </m:r>
                </m:sub>
              </m:sSub>
            </m:oMath>
          </w:p>
        </w:tc>
        <w:tc>
          <w:tcPr>
            <w:tcW w:w="0" w:type="auto"/>
          </w:tcPr>
          <w:p>
            <w:pPr>
              <w:spacing w:after="0" w:line="240" w:lineRule="auto"/>
            </w:pPr>
            <w:r>
              <w:t xml:space="preserve">1,0854·10⁷ / 2,5326·10⁷</w:t>
            </w:r>
          </w:p>
        </w:tc>
        <w:tc>
          <w:tcPr>
            <w:tcW w:w="0" w:type="auto"/>
          </w:tcPr>
          <w:p>
            <w:pPr>
              <w:spacing w:after="0" w:line="240" w:lineRule="auto"/>
            </w:pPr>
            <w:r>
              <w:t xml:space="preserve">J/K</w:t>
            </w:r>
          </w:p>
        </w:tc>
      </w:tr>
      <w:tr>
        <w:tc>
          <w:tcPr>
            <w:tcW w:w="0" w:type="auto"/>
          </w:tcPr>
          <w:p>
            <w:pPr>
              <w:spacing w:after="0" w:line="240" w:lineRule="auto"/>
            </w:pPr>
            <m:oMath xmlns:m="http://schemas.openxmlformats.org/officeDocument/2006/math">
              <m:sSub>
                <m:e>
                  <m:r>
                    <w:rPr>
                      <w:rFonts w:ascii="Cambria Math" w:hAnsi="Cambria Math"/>
                    </w:rPr>
                    <m:t>A</m:t>
                  </m:r>
                </m:e>
                <m:sub>
                  <m:r>
                    <m:rPr>
                      <m:sty m:val="p"/>
                    </m:rPr>
                    <w:rPr>
                      <w:rFonts w:ascii="Cambria Math" w:hAnsi="Cambria Math"/>
                    </w:rPr>
                    <m:t>AW,opak</m:t>
                  </m:r>
                </m:sub>
              </m:sSub>
            </m:oMath>
            <w:r>
              <w:t xml:space="preserve"> / </w:t>
            </w:r>
            <m:oMath xmlns:m="http://schemas.openxmlformats.org/officeDocument/2006/math">
              <m:sSub>
                <m:e>
                  <m:r>
                    <w:rPr>
                      <w:rFonts w:ascii="Cambria Math" w:hAnsi="Cambria Math"/>
                    </w:rPr>
                    <m:t>A</m:t>
                  </m:r>
                </m:e>
                <m:sub>
                  <m:r>
                    <m:rPr>
                      <m:sty m:val="p"/>
                    </m:rPr>
                    <w:rPr>
                      <w:rFonts w:ascii="Cambria Math" w:hAnsi="Cambria Math"/>
                    </w:rPr>
                    <m:t>IW</m:t>
                  </m:r>
                </m:sub>
              </m:sSub>
            </m:oMath>
          </w:p>
        </w:tc>
        <w:tc>
          <w:tcPr>
            <w:tcW w:w="0" w:type="auto"/>
          </w:tcPr>
          <w:p>
            <w:pPr>
              <w:spacing w:after="0" w:line="240" w:lineRule="auto"/>
            </w:pPr>
            <w:r>
              <w:t xml:space="preserve">487,24 / 502,50</w:t>
            </w:r>
          </w:p>
        </w:tc>
        <w:tc>
          <w:tcPr>
            <w:tcW w:w="0" w:type="auto"/>
          </w:tcPr>
          <w:p>
            <w:pPr>
              <w:spacing w:after="0" w:line="240" w:lineRule="auto"/>
            </w:pPr>
            <w:r>
              <w:t xml:space="preserve">m²</w:t>
            </w:r>
          </w:p>
        </w:tc>
      </w:tr>
      <w:tr>
        <w:tc>
          <w:tcPr>
            <w:tcW w:w="0" w:type="auto"/>
          </w:tcPr>
          <w:p>
            <w:pPr>
              <w:spacing w:after="0" w:line="240" w:lineRule="auto"/>
            </w:pPr>
            <m:oMath xmlns:m="http://schemas.openxmlformats.org/officeDocument/2006/math">
              <m:r>
                <w:rPr>
                  <w:rFonts w:ascii="Cambria Math" w:hAnsi="Cambria Math"/>
                </w:rPr>
                <m:t>Σ</m:t>
              </m:r>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opak</m:t>
                  </m:r>
                </m:sub>
              </m:sSub>
            </m:oMath>
          </w:p>
        </w:tc>
        <w:tc>
          <w:tcPr>
            <w:tcW w:w="0" w:type="auto"/>
          </w:tcPr>
          <w:p>
            <w:pPr>
              <w:spacing w:after="0" w:line="240" w:lineRule="auto"/>
            </w:pPr>
            <w:r>
              <w:t xml:space="preserve">686,953</w:t>
            </w:r>
          </w:p>
        </w:tc>
        <w:tc>
          <w:tcPr>
            <w:tcW w:w="0" w:type="auto"/>
          </w:tcPr>
          <w:p>
            <w:pPr>
              <w:spacing w:after="0" w:line="240" w:lineRule="auto"/>
            </w:pPr>
            <w:r>
              <w:t xml:space="preserve">W/K</w:t>
            </w:r>
          </w:p>
        </w:tc>
      </w:tr>
      <w:tr>
        <w:tc>
          <w:tcPr>
            <w:tcW w:w="0" w:type="auto"/>
          </w:tcPr>
          <w:p>
            <w:pPr>
              <w:spacing w:after="0" w:line="240" w:lineRule="auto"/>
            </w:pPr>
            <m:oMath xmlns:m="http://schemas.openxmlformats.org/officeDocument/2006/math">
              <m:sSub>
                <m:e>
                  <m:r>
                    <w:rPr>
                      <w:rFonts w:ascii="Cambria Math" w:hAnsi="Cambria Math"/>
                    </w:rPr>
                    <m:t>R</m:t>
                  </m:r>
                </m:e>
                <m:sub>
                  <m:r>
                    <w:rPr>
                      <w:rFonts w:ascii="Cambria Math" w:hAnsi="Cambria Math"/>
                    </w:rPr>
                    <m:t>1</m:t>
                  </m:r>
                  <m:r>
                    <w:rPr>
                      <w:rFonts w:ascii="Cambria Math" w:hAnsi="Cambria Math"/>
                    </w:rPr>
                    <m:t>,</m:t>
                  </m:r>
                  <m:r>
                    <m:rPr>
                      <m:sty m:val="p"/>
                    </m:rPr>
                    <w:rPr>
                      <w:rFonts w:ascii="Cambria Math" w:hAnsi="Cambria Math"/>
                    </w:rPr>
                    <m:t>AW</m:t>
                  </m:r>
                </m:sub>
              </m:sSub>
            </m:oMath>
          </w:p>
        </w:tc>
        <w:tc>
          <w:tcPr>
            <w:tcW w:w="0" w:type="auto"/>
          </w:tcPr>
          <w:p>
            <w:pPr>
              <w:spacing w:after="0" w:line="240" w:lineRule="auto"/>
            </w:pPr>
            <w:r>
              <w:t xml:space="preserve">2,25536·10⁻⁴</w:t>
            </w:r>
          </w:p>
        </w:tc>
        <w:tc>
          <w:tcPr>
            <w:tcW w:w="0" w:type="auto"/>
          </w:tcPr>
          <w:p>
            <w:pPr>
              <w:spacing w:after="0" w:line="240" w:lineRule="auto"/>
            </w:pPr>
            <w:r>
              <w:t xml:space="preserve">K/W</w:t>
            </w:r>
          </w:p>
        </w:tc>
      </w:tr>
      <w:tr>
        <w:tc>
          <w:tcPr>
            <w:tcW w:w="0" w:type="auto"/>
          </w:tcPr>
          <w:p>
            <w:pPr>
              <w:spacing w:after="0" w:line="240" w:lineRule="auto"/>
            </w:pPr>
            <m:oMath xmlns:m="http://schemas.openxmlformats.org/officeDocument/2006/math">
              <m:sSub>
                <m:e>
                  <m:r>
                    <w:rPr>
                      <w:rFonts w:ascii="Cambria Math" w:hAnsi="Cambria Math"/>
                    </w:rPr>
                    <m:t>R</m:t>
                  </m:r>
                </m:e>
                <m:sub>
                  <m:r>
                    <m:rPr>
                      <m:sty m:val="p"/>
                    </m:rPr>
                    <w:rPr>
                      <w:rFonts w:ascii="Cambria Math" w:hAnsi="Cambria Math"/>
                    </w:rPr>
                    <m:t>si</m:t>
                  </m:r>
                </m:sub>
              </m:sSub>
              <m:r>
                <w:rPr>
                  <w:rFonts w:ascii="Cambria Math" w:hAnsi="Cambria Math"/>
                </w:rPr>
                <m:t>/</m:t>
              </m:r>
              <m:sSub>
                <m:e>
                  <m:r>
                    <w:rPr>
                      <w:rFonts w:ascii="Cambria Math" w:hAnsi="Cambria Math"/>
                    </w:rPr>
                    <m:t>A</m:t>
                  </m:r>
                </m:e>
                <m:sub>
                  <m:r>
                    <m:rPr>
                      <m:sty m:val="p"/>
                    </m:rPr>
                    <w:rPr>
                      <w:rFonts w:ascii="Cambria Math" w:hAnsi="Cambria Math"/>
                    </w:rPr>
                    <m:t>AW,opak</m:t>
                  </m:r>
                </m:sub>
              </m:sSub>
            </m:oMath>
          </w:p>
        </w:tc>
        <w:tc>
          <w:tcPr>
            <w:tcW w:w="0" w:type="auto"/>
          </w:tcPr>
          <w:p>
            <w:pPr>
              <w:spacing w:after="0" w:line="240" w:lineRule="auto"/>
            </w:pPr>
            <w:r>
              <w:t xml:space="preserve">2,66809·10⁻⁴</w:t>
            </w:r>
          </w:p>
        </w:tc>
        <w:tc>
          <w:tcPr>
            <w:tcW w:w="0" w:type="auto"/>
          </w:tcPr>
          <w:p>
            <w:pPr>
              <w:spacing w:after="0" w:line="240" w:lineRule="auto"/>
            </w:pPr>
            <w:r>
              <w:t xml:space="preserve">K/W</w:t>
            </w:r>
          </w:p>
        </w:tc>
      </w:tr>
      <w:tr>
        <w:tc>
          <w:tcPr>
            <w:tcW w:w="0" w:type="auto"/>
          </w:tcPr>
          <w:p>
            <w:pPr>
              <w:spacing w:after="0" w:line="240" w:lineRule="auto"/>
            </w:pPr>
            <m:oMath xmlns:m="http://schemas.openxmlformats.org/officeDocument/2006/math">
              <m:sSub>
                <m:e>
                  <m:r>
                    <w:rPr>
                      <w:rFonts w:ascii="Cambria Math" w:hAnsi="Cambria Math"/>
                    </w:rPr>
                    <m:t>R</m:t>
                  </m:r>
                </m:e>
                <m:sub>
                  <m:r>
                    <m:rPr>
                      <m:sty m:val="p"/>
                    </m:rPr>
                    <w:rPr>
                      <w:rFonts w:ascii="Cambria Math" w:hAnsi="Cambria Math"/>
                    </w:rPr>
                    <m:t>Rest,AW</m:t>
                  </m:r>
                </m:sub>
              </m:sSub>
            </m:oMath>
          </w:p>
        </w:tc>
        <w:tc>
          <w:tcPr>
            <w:tcW w:w="0" w:type="auto"/>
          </w:tcPr>
          <w:p>
            <w:pPr>
              <w:spacing w:after="0" w:line="240" w:lineRule="auto"/>
            </w:pPr>
            <w:r>
              <w:rPr>
                <w:b/>
              </w:rPr>
              <w:t xml:space="preserve">9,63358·10⁻⁴</w:t>
            </w:r>
            <w:r>
              <w:t xml:space="preserve"> — positiv</w:t>
            </w:r>
          </w:p>
        </w:tc>
        <w:tc>
          <w:tcPr>
            <w:tcW w:w="0" w:type="auto"/>
          </w:tcPr>
          <w:p>
            <w:pPr>
              <w:spacing w:after="0" w:line="240" w:lineRule="auto"/>
            </w:pPr>
            <w:r>
              <w:t xml:space="preserve">K/W</w:t>
            </w:r>
          </w:p>
        </w:tc>
      </w:tr>
      <w:tr>
        <w:tc>
          <w:tcPr>
            <w:tcW w:w="0" w:type="auto"/>
          </w:tcPr>
          <w:p>
            <w:pPr>
              <w:spacing w:after="0" w:line="240" w:lineRule="auto"/>
            </w:pPr>
            <m:oMath xmlns:m="http://schemas.openxmlformats.org/officeDocument/2006/math">
              <m:sSub>
                <m:e>
                  <m:r>
                    <w:rPr>
                      <w:rFonts w:ascii="Cambria Math" w:hAnsi="Cambria Math"/>
                    </w:rPr>
                    <m:t>H</m:t>
                  </m:r>
                </m:e>
                <m:sub>
                  <m:r>
                    <m:rPr>
                      <m:sty m:val="p"/>
                    </m:rPr>
                    <w:rPr>
                      <w:rFonts w:ascii="Cambria Math" w:hAnsi="Cambria Math"/>
                    </w:rPr>
                    <m:t>ve</m:t>
                  </m:r>
                </m:sub>
              </m:sSub>
            </m:oMath>
            <w:r>
              <w:t xml:space="preserve"> / </w:t>
            </w:r>
            <m:oMath xmlns:m="http://schemas.openxmlformats.org/officeDocument/2006/math">
              <m:r>
                <w:rPr>
                  <w:rFonts w:ascii="Cambria Math" w:hAnsi="Cambria Math"/>
                </w:rPr>
                <m:t>(</m:t>
              </m:r>
              <m:r>
                <w:rPr>
                  <w:rFonts w:ascii="Cambria Math" w:hAnsi="Cambria Math"/>
                </w:rPr>
                <m:t>U</m:t>
              </m:r>
              <m:r>
                <w:rPr>
                  <w:rFonts w:ascii="Cambria Math" w:hAnsi="Cambria Math"/>
                </w:rPr>
                <m:t>⋅</m:t>
              </m:r>
              <m:r>
                <w:rPr>
                  <w:rFonts w:ascii="Cambria Math" w:hAnsi="Cambria Math"/>
                </w:rPr>
                <m:t>A</m:t>
              </m:r>
              <m:sSub>
                <m:e>
                  <m:r>
                    <w:rPr>
                      <w:rFonts w:ascii="Cambria Math" w:hAnsi="Cambria Math"/>
                    </w:rPr>
                    <m:t>)</m:t>
                  </m:r>
                </m:e>
                <m:sub>
                  <m:r>
                    <m:rPr>
                      <m:sty m:val="p"/>
                    </m:rPr>
                    <w:rPr>
                      <w:rFonts w:ascii="Cambria Math" w:hAnsi="Cambria Math"/>
                    </w:rPr>
                    <m:t>w</m:t>
                  </m:r>
                </m:sub>
              </m:sSub>
            </m:oMath>
            <w:r>
              <w:t xml:space="preserve"> / </w:t>
            </w:r>
            <m:oMath xmlns:m="http://schemas.openxmlformats.org/officeDocument/2006/math">
              <m:nary>
                <m:naryPr>
                  <m:chr m:val="∑"/>
                  <m:limLoc m:val="undOvr"/>
                  <m:grow m:val="1"/>
                  <m:subHide m:val="0"/>
                  <m:supHide m:val="1"/>
                </m:naryPr>
                <m:sub>
                  <m:r>
                    <w:rPr>
                      <w:rFonts w:ascii="Cambria Math" w:hAnsi="Cambria Math"/>
                    </w:rPr>
                    <m:t>i</m:t>
                  </m:r>
                </m:sub>
                <m:sup>
                  <m:r>
                    <w:rPr>
                      <w:rFonts w:ascii="Cambria Math" w:hAnsi="Cambria Math"/>
                    </w:rPr>
                    <m:t/>
                  </m:r>
                </m:sup>
                <m:e>
                  <m:sSub>
                    <m:e>
                      <m:r>
                        <w:rPr>
                          <w:rFonts w:ascii="Cambria Math" w:hAnsi="Cambria Math"/>
                        </w:rPr>
                        <m:t>ψ</m:t>
                      </m:r>
                    </m:e>
                    <m:sub>
                      <m:r>
                        <w:rPr>
                          <w:rFonts w:ascii="Cambria Math" w:hAnsi="Cambria Math"/>
                        </w:rPr>
                        <m:t>i</m:t>
                      </m:r>
                    </m:sub>
                  </m:sSub>
                  <m:sSub>
                    <m:e>
                      <m:r>
                        <w:rPr>
                          <w:rFonts w:ascii="Cambria Math" w:hAnsi="Cambria Math"/>
                        </w:rPr>
                        <m:t>L</m:t>
                      </m:r>
                    </m:e>
                    <m:sub>
                      <m:r>
                        <w:rPr>
                          <w:rFonts w:ascii="Cambria Math" w:hAnsi="Cambria Math"/>
                        </w:rPr>
                        <m:t>i</m:t>
                      </m:r>
                    </m:sub>
                  </m:sSub>
                </m:e>
              </m:nary>
            </m:oMath>
          </w:p>
        </w:tc>
        <w:tc>
          <w:tcPr>
            <w:tcW w:w="0" w:type="auto"/>
          </w:tcPr>
          <w:p>
            <w:pPr>
              <w:spacing w:after="0" w:line="240" w:lineRule="auto"/>
            </w:pPr>
            <w:r>
              <w:t xml:space="preserve">131,555 / 126,168 / 106,558</w:t>
            </w:r>
          </w:p>
        </w:tc>
        <w:tc>
          <w:tcPr>
            <w:tcW w:w="0" w:type="auto"/>
          </w:tcPr>
          <w:p>
            <w:pPr>
              <w:spacing w:after="0" w:line="240" w:lineRule="auto"/>
            </w:pPr>
            <w:r>
              <w:t xml:space="preserve">W/K</w:t>
            </w:r>
          </w:p>
        </w:tc>
      </w:tr>
      <w:tr>
        <w:tc>
          <w:tcPr>
            <w:tcW w:w="0" w:type="auto"/>
          </w:tcPr>
          <w:p>
            <w:pPr>
              <w:spacing w:after="0" w:line="240" w:lineRule="auto"/>
            </w:pPr>
            <m:oMath xmlns:m="http://schemas.openxmlformats.org/officeDocument/2006/math">
              <m:sSub>
                <m:e>
                  <m:r>
                    <w:rPr>
                      <w:rFonts w:ascii="Cambria Math" w:hAnsi="Cambria Math"/>
                    </w:rPr>
                    <m:t>H</m:t>
                  </m:r>
                </m:e>
                <m:sub>
                  <m:r>
                    <m:rPr>
                      <m:sty m:val="p"/>
                    </m:rPr>
                    <w:rPr>
                      <w:rFonts w:ascii="Cambria Math" w:hAnsi="Cambria Math"/>
                    </w:rPr>
                    <m:t>ext</m:t>
                  </m:r>
                </m:sub>
              </m:sSub>
            </m:oMath>
          </w:p>
        </w:tc>
        <w:tc>
          <w:tcPr>
            <w:tcW w:w="0" w:type="auto"/>
          </w:tcPr>
          <w:p>
            <w:pPr>
              <w:spacing w:after="0" w:line="240" w:lineRule="auto"/>
            </w:pPr>
            <w:r>
              <w:t xml:space="preserve">364,281</w:t>
            </w:r>
          </w:p>
        </w:tc>
        <w:tc>
          <w:tcPr>
            <w:tcW w:w="0" w:type="auto"/>
          </w:tcPr>
          <w:p>
            <w:pPr>
              <w:spacing w:after="0" w:line="240" w:lineRule="auto"/>
            </w:pPr>
            <w:r>
              <w:t xml:space="preserve">W/K</w:t>
            </w:r>
          </w:p>
        </w:tc>
      </w:tr>
    </w:tbl>
    <w:p>
      <w:pPr>
        <w:spacing w:after="120"/>
      </w:pPr>
    </w:p>
    <w:p>
      <w:r>
        <w:t xml:space="preserve">Daraus die Leitwerte: </w:t>
      </w:r>
      <m:oMath xmlns:m="http://schemas.openxmlformats.org/officeDocument/2006/math">
        <m:sSub>
          <m:e>
            <m:r>
              <w:rPr>
                <w:rFonts w:ascii="Cambria Math" w:hAnsi="Cambria Math"/>
              </w:rPr>
              <m:t>G</m:t>
            </m:r>
          </m:e>
          <m:sub>
            <m:r>
              <w:rPr>
                <w:rFonts w:ascii="Cambria Math" w:hAnsi="Cambria Math"/>
              </w:rPr>
              <m:t>1</m:t>
            </m:r>
          </m:sub>
        </m:sSub>
        <m:r>
          <w:rPr>
            <w:rFonts w:ascii="Cambria Math" w:hAnsi="Cambria Math"/>
          </w:rPr>
          <m:t>=</m:t>
        </m:r>
        <m:r>
          <w:rPr>
            <w:rFonts w:ascii="Cambria Math" w:hAnsi="Cambria Math"/>
          </w:rPr>
          <m:t>4</m:t>
        </m:r>
        <m:r>
          <w:rPr>
            <w:rFonts w:ascii="Cambria Math" w:hAnsi="Cambria Math"/>
          </w:rPr>
          <m:t xml:space="preserve"> </m:t>
        </m:r>
        <m:r>
          <w:rPr>
            <w:rFonts w:ascii="Cambria Math" w:hAnsi="Cambria Math"/>
          </w:rPr>
          <m:t>4</m:t>
        </m:r>
        <m:r>
          <w:rPr>
            <w:rFonts w:ascii="Cambria Math" w:hAnsi="Cambria Math"/>
          </w:rPr>
          <m:t>3</m:t>
        </m:r>
        <m:r>
          <w:rPr>
            <w:rFonts w:ascii="Cambria Math" w:hAnsi="Cambria Math"/>
          </w:rPr>
          <m:t>3</m:t>
        </m:r>
        <m:r>
          <w:rPr>
            <w:rFonts w:ascii="Cambria Math" w:hAnsi="Cambria Math"/>
          </w:rPr>
          <m:t>,</m:t>
        </m:r>
        <m:r>
          <w:rPr>
            <w:rFonts w:ascii="Cambria Math" w:hAnsi="Cambria Math"/>
          </w:rPr>
          <m:t>8</m:t>
        </m:r>
        <m:r>
          <w:rPr>
            <w:rFonts w:ascii="Cambria Math" w:hAnsi="Cambria Math"/>
          </w:rPr>
          <m:t>8</m:t>
        </m:r>
      </m:oMath>
      <w:r>
        <w:t xml:space="preserve"> · </w:t>
      </w:r>
      <m:oMath xmlns:m="http://schemas.openxmlformats.org/officeDocument/2006/math">
        <m:sSub>
          <m:e>
            <m:r>
              <w:rPr>
                <w:rFonts w:ascii="Cambria Math" w:hAnsi="Cambria Math"/>
              </w:rPr>
              <m:t>G</m:t>
            </m:r>
          </m:e>
          <m:sub>
            <m:r>
              <w:rPr>
                <w:rFonts w:ascii="Cambria Math" w:hAnsi="Cambria Math"/>
              </w:rPr>
              <m:t>2</m:t>
            </m:r>
          </m:sub>
        </m:sSub>
        <m:r>
          <w:rPr>
            <w:rFonts w:ascii="Cambria Math" w:hAnsi="Cambria Math"/>
          </w:rPr>
          <m:t>=</m:t>
        </m:r>
        <m:r>
          <w:rPr>
            <w:rFonts w:ascii="Cambria Math" w:hAnsi="Cambria Math"/>
          </w:rPr>
          <m:t>4</m:t>
        </m:r>
        <m:r>
          <w:rPr>
            <w:rFonts w:ascii="Cambria Math" w:hAnsi="Cambria Math"/>
          </w:rPr>
          <m:t xml:space="preserve"> </m:t>
        </m:r>
        <m:r>
          <w:rPr>
            <w:rFonts w:ascii="Cambria Math" w:hAnsi="Cambria Math"/>
          </w:rPr>
          <m:t>5</m:t>
        </m:r>
        <m:r>
          <w:rPr>
            <w:rFonts w:ascii="Cambria Math" w:hAnsi="Cambria Math"/>
          </w:rPr>
          <m:t>7</m:t>
        </m:r>
        <m:r>
          <w:rPr>
            <w:rFonts w:ascii="Cambria Math" w:hAnsi="Cambria Math"/>
          </w:rPr>
          <m:t>2</m:t>
        </m:r>
        <m:r>
          <w:rPr>
            <w:rFonts w:ascii="Cambria Math" w:hAnsi="Cambria Math"/>
          </w:rPr>
          <m:t>,</m:t>
        </m:r>
        <m:r>
          <w:rPr>
            <w:rFonts w:ascii="Cambria Math" w:hAnsi="Cambria Math"/>
          </w:rPr>
          <m:t>7</m:t>
        </m:r>
        <m:r>
          <w:rPr>
            <w:rFonts w:ascii="Cambria Math" w:hAnsi="Cambria Math"/>
          </w:rPr>
          <m:t>5</m:t>
        </m:r>
      </m:oMath>
      <w:r>
        <w:t xml:space="preserve"> · </w:t>
      </w:r>
      <m:oMath xmlns:m="http://schemas.openxmlformats.org/officeDocument/2006/math">
        <m:sSub>
          <m:e>
            <m:r>
              <w:rPr>
                <w:rFonts w:ascii="Cambria Math" w:hAnsi="Cambria Math"/>
              </w:rPr>
              <m:t>G</m:t>
            </m:r>
          </m:e>
          <m:sub>
            <m:r>
              <m:rPr>
                <m:sty m:val="p"/>
              </m:rPr>
              <w:rPr>
                <w:rFonts w:ascii="Cambria Math" w:hAnsi="Cambria Math"/>
              </w:rPr>
              <m:t>Rest</m:t>
            </m:r>
          </m:sub>
        </m:sSub>
        <m:r>
          <w:rPr>
            <w:rFonts w:ascii="Cambria Math" w:hAnsi="Cambria Math"/>
          </w:rPr>
          <m:t>=</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3</m:t>
        </m:r>
        <m:r>
          <w:rPr>
            <w:rFonts w:ascii="Cambria Math" w:hAnsi="Cambria Math"/>
          </w:rPr>
          <m:t>8</m:t>
        </m:r>
        <m:r>
          <w:rPr>
            <w:rFonts w:ascii="Cambria Math" w:hAnsi="Cambria Math"/>
          </w:rPr>
          <m:t>,</m:t>
        </m:r>
        <m:r>
          <w:rPr>
            <w:rFonts w:ascii="Cambria Math" w:hAnsi="Cambria Math"/>
          </w:rPr>
          <m:t>0</m:t>
        </m:r>
        <m:r>
          <w:rPr>
            <w:rFonts w:ascii="Cambria Math" w:hAnsi="Cambria Math"/>
          </w:rPr>
          <m:t>4</m:t>
        </m:r>
      </m:oMath>
      <w:r>
        <w:t xml:space="preserve"> · </w:t>
      </w:r>
      <m:oMath xmlns:m="http://schemas.openxmlformats.org/officeDocument/2006/math">
        <m:sSub>
          <m:e>
            <m:r>
              <w:rPr>
                <w:rFonts w:ascii="Cambria Math" w:hAnsi="Cambria Math"/>
              </w:rPr>
              <m:t>G</m:t>
            </m:r>
          </m:e>
          <m:sub>
            <m:r>
              <m:rPr>
                <m:sty m:val="p"/>
              </m:rPr>
              <w:rPr>
                <w:rFonts w:ascii="Cambria Math" w:hAnsi="Cambria Math"/>
              </w:rPr>
              <m:t>cAW</m:t>
            </m:r>
          </m:sub>
        </m:sSub>
        <m:r>
          <w:rPr>
            <w:rFonts w:ascii="Cambria Math" w:hAnsi="Cambria Math"/>
          </w:rPr>
          <m:t>=</m:t>
        </m:r>
        <m:r>
          <w:rPr>
            <w:rFonts w:ascii="Cambria Math" w:hAnsi="Cambria Math"/>
          </w:rPr>
          <m:t>1</m:t>
        </m:r>
        <m:r>
          <w:rPr>
            <w:rFonts w:ascii="Cambria Math" w:hAnsi="Cambria Math"/>
          </w:rPr>
          <m:t xml:space="preserve"> </m:t>
        </m:r>
        <m:r>
          <w:rPr>
            <w:rFonts w:ascii="Cambria Math" w:hAnsi="Cambria Math"/>
          </w:rPr>
          <m:t>3</m:t>
        </m:r>
        <m:r>
          <w:rPr>
            <w:rFonts w:ascii="Cambria Math" w:hAnsi="Cambria Math"/>
          </w:rPr>
          <m:t>1</m:t>
        </m:r>
        <m:r>
          <w:rPr>
            <w:rFonts w:ascii="Cambria Math" w:hAnsi="Cambria Math"/>
          </w:rPr>
          <m:t>5</m:t>
        </m:r>
        <m:r>
          <w:rPr>
            <w:rFonts w:ascii="Cambria Math" w:hAnsi="Cambria Math"/>
          </w:rPr>
          <m:t>,</m:t>
        </m:r>
        <m:r>
          <w:rPr>
            <w:rFonts w:ascii="Cambria Math" w:hAnsi="Cambria Math"/>
          </w:rPr>
          <m:t>5</m:t>
        </m:r>
        <m:r>
          <w:rPr>
            <w:rFonts w:ascii="Cambria Math" w:hAnsi="Cambria Math"/>
          </w:rPr>
          <m:t>5</m:t>
        </m:r>
      </m:oMath>
      <w:r>
        <w:t xml:space="preserve"> · </w:t>
      </w:r>
      <m:oMath xmlns:m="http://schemas.openxmlformats.org/officeDocument/2006/math">
        <m:sSub>
          <m:e>
            <m:r>
              <w:rPr>
                <w:rFonts w:ascii="Cambria Math" w:hAnsi="Cambria Math"/>
              </w:rPr>
              <m:t>G</m:t>
            </m:r>
          </m:e>
          <m:sub>
            <m:r>
              <m:rPr>
                <m:sty m:val="p"/>
              </m:rPr>
              <w:rPr>
                <w:rFonts w:ascii="Cambria Math" w:hAnsi="Cambria Math"/>
              </w:rPr>
              <m:t>cIW</m:t>
            </m:r>
          </m:sub>
        </m:sSub>
        <m:r>
          <w:rPr>
            <w:rFonts w:ascii="Cambria Math" w:hAnsi="Cambria Math"/>
          </w:rPr>
          <m:t>=</m:t>
        </m:r>
        <m:r>
          <w:rPr>
            <w:rFonts w:ascii="Cambria Math" w:hAnsi="Cambria Math"/>
          </w:rPr>
          <m:t>1</m:t>
        </m:r>
        <m:r>
          <w:rPr>
            <w:rFonts w:ascii="Cambria Math" w:hAnsi="Cambria Math"/>
          </w:rPr>
          <m:t xml:space="preserve"> </m:t>
        </m:r>
        <m:r>
          <w:rPr>
            <w:rFonts w:ascii="Cambria Math" w:hAnsi="Cambria Math"/>
          </w:rPr>
          <m:t>3</m:t>
        </m:r>
        <m:r>
          <w:rPr>
            <w:rFonts w:ascii="Cambria Math" w:hAnsi="Cambria Math"/>
          </w:rPr>
          <m:t>5</m:t>
        </m:r>
        <m:r>
          <w:rPr>
            <w:rFonts w:ascii="Cambria Math" w:hAnsi="Cambria Math"/>
          </w:rPr>
          <m:t>6</m:t>
        </m:r>
        <m:r>
          <w:rPr>
            <w:rFonts w:ascii="Cambria Math" w:hAnsi="Cambria Math"/>
          </w:rPr>
          <m:t>,</m:t>
        </m:r>
        <m:r>
          <w:rPr>
            <w:rFonts w:ascii="Cambria Math" w:hAnsi="Cambria Math"/>
          </w:rPr>
          <m:t>7</m:t>
        </m:r>
        <m:r>
          <w:rPr>
            <w:rFonts w:ascii="Cambria Math" w:hAnsi="Cambria Math"/>
          </w:rPr>
          <m:t>5</m:t>
        </m:r>
      </m:oMath>
      <w:r>
        <w:t xml:space="preserve"> · </w:t>
      </w:r>
      <m:oMath xmlns:m="http://schemas.openxmlformats.org/officeDocument/2006/math">
        <m:sSub>
          <m:e>
            <m:r>
              <w:rPr>
                <w:rFonts w:ascii="Cambria Math" w:hAnsi="Cambria Math"/>
              </w:rPr>
              <m:t>G</m:t>
            </m:r>
          </m:e>
          <m:sub>
            <m:r>
              <m:rPr>
                <m:sty m:val="p"/>
              </m:rPr>
              <w:rPr>
                <w:rFonts w:ascii="Cambria Math" w:hAnsi="Cambria Math"/>
              </w:rPr>
              <m:t>rad</m:t>
            </m:r>
          </m:sub>
        </m:sSub>
        <m:r>
          <w:rPr>
            <w:rFonts w:ascii="Cambria Math" w:hAnsi="Cambria Math"/>
          </w:rPr>
          <m:t>=</m:t>
        </m:r>
        <m:r>
          <w:rPr>
            <w:rFonts w:ascii="Cambria Math" w:hAnsi="Cambria Math"/>
          </w:rPr>
          <m:t>2</m:t>
        </m:r>
        <m:r>
          <w:rPr>
            <w:rFonts w:ascii="Cambria Math" w:hAnsi="Cambria Math"/>
          </w:rPr>
          <m:t xml:space="preserve"> </m:t>
        </m:r>
        <m:r>
          <w:rPr>
            <w:rFonts w:ascii="Cambria Math" w:hAnsi="Cambria Math"/>
          </w:rPr>
          <m:t>4</m:t>
        </m:r>
        <m:r>
          <w:rPr>
            <w:rFonts w:ascii="Cambria Math" w:hAnsi="Cambria Math"/>
          </w:rPr>
          <m:t>3</m:t>
        </m:r>
        <m:r>
          <w:rPr>
            <w:rFonts w:ascii="Cambria Math" w:hAnsi="Cambria Math"/>
          </w:rPr>
          <m:t>6</m:t>
        </m:r>
        <m:r>
          <w:rPr>
            <w:rFonts w:ascii="Cambria Math" w:hAnsi="Cambria Math"/>
          </w:rPr>
          <m:t>,</m:t>
        </m:r>
        <m:r>
          <w:rPr>
            <w:rFonts w:ascii="Cambria Math" w:hAnsi="Cambria Math"/>
          </w:rPr>
          <m:t>2</m:t>
        </m:r>
        <m:r>
          <w:rPr>
            <w:rFonts w:ascii="Cambria Math" w:hAnsi="Cambria Math"/>
          </w:rPr>
          <m:t>0</m:t>
        </m:r>
      </m:oMath>
      <w:r>
        <w:t xml:space="preserve"> · </w:t>
      </w:r>
      <m:oMath xmlns:m="http://schemas.openxmlformats.org/officeDocument/2006/math">
        <m:sSub>
          <m:e>
            <m:r>
              <w:rPr>
                <w:rFonts w:ascii="Cambria Math" w:hAnsi="Cambria Math"/>
              </w:rPr>
              <m:t>G</m:t>
            </m:r>
          </m:e>
          <m:sub>
            <m:r>
              <m:rPr>
                <m:sty m:val="p"/>
              </m:rPr>
              <w:rPr>
                <w:rFonts w:ascii="Cambria Math" w:hAnsi="Cambria Math"/>
              </w:rPr>
              <m:t>ext</m:t>
            </m:r>
          </m:sub>
        </m:sSub>
        <m:r>
          <w:rPr>
            <w:rFonts w:ascii="Cambria Math" w:hAnsi="Cambria Math"/>
          </w:rPr>
          <m:t>=</m:t>
        </m:r>
        <m:r>
          <w:rPr>
            <w:rFonts w:ascii="Cambria Math" w:hAnsi="Cambria Math"/>
          </w:rPr>
          <m:t>3</m:t>
        </m:r>
        <m:r>
          <w:rPr>
            <w:rFonts w:ascii="Cambria Math" w:hAnsi="Cambria Math"/>
          </w:rPr>
          <m:t>6</m:t>
        </m:r>
        <m:r>
          <w:rPr>
            <w:rFonts w:ascii="Cambria Math" w:hAnsi="Cambria Math"/>
          </w:rPr>
          <m:t>4</m:t>
        </m:r>
        <m:r>
          <w:rPr>
            <w:rFonts w:ascii="Cambria Math" w:hAnsi="Cambria Math"/>
          </w:rPr>
          <m:t>,</m:t>
        </m:r>
        <m:r>
          <w:rPr>
            <w:rFonts w:ascii="Cambria Math" w:hAnsi="Cambria Math"/>
          </w:rPr>
          <m:t>2</m:t>
        </m:r>
        <m:r>
          <w:rPr>
            <w:rFonts w:ascii="Cambria Math" w:hAnsi="Cambria Math"/>
          </w:rPr>
          <m:t>8</m:t>
        </m:r>
      </m:oMath>
      <w:r>
        <w:t xml:space="preserve"> W/K. Der wirksame innere Übergang ist 4,49 statt 7,69 W/(m²K), der Klassenweg führt damit 607,48 statt 686,95 W/K — </w:t>
      </w:r>
      <w:r>
        <w:rPr>
          <w:b/>
        </w:rPr>
        <w:t xml:space="preserve">11,6 % weniger</w:t>
      </w:r>
      <w:r>
        <w:t xml:space="preserve">.</w:t>
      </w:r>
    </w:p>
    <w:p>
      <w:r>
        <w:rPr>
          <w:b/>
        </w:rPr>
        <w:t xml:space="preserve">Schritt C — Systemmatrix:</w:t>
      </w:r>
    </w:p>
    <w:p>
      <w:pPr>
        <w:pStyle w:val="Formelblock"/>
      </w:pPr>
      <m:oMathPara xmlns:m="http://schemas.openxmlformats.org/officeDocument/2006/math">
        <m:oMathParaPr>
          <m:jc m:val="center"/>
        </m:oMathParaPr>
        <m:oMath>
          <m:r>
            <m:rPr>
              <m:nor m:val="1"/>
            </m:rPr>
            <w:rPr>
              <w:rFonts w:ascii="Cambria Math" w:hAnsi="Cambria Math"/>
            </w:rPr>
            <m:t>geregelt:</m:t>
          </m:r>
        </m:oMath>
      </m:oMathPara>
    </w:p>
    <w:p>
      <w:pPr>
        <w:pStyle w:val="Formelblock"/>
      </w:pPr>
      <m:oMathPara xmlns:m="http://schemas.openxmlformats.org/officeDocument/2006/math">
        <m:oMathParaPr>
          <m:jc m:val="center"/>
        </m:oMathParaPr>
        <m:oMath>
          <m:r>
            <m:rPr>
              <m:sty m:val="b"/>
            </m:rPr>
            <w:rPr>
              <w:rFonts w:ascii="Cambria Math" w:hAnsi="Cambria Math"/>
            </w:rPr>
            <m:t>N</m:t>
          </m:r>
          <m:r>
            <w:rPr>
              <w:rFonts w:ascii="Cambria Math" w:hAnsi="Cambria Math"/>
            </w:rPr>
            <m:t>=</m:t>
          </m:r>
          <m:d>
            <m:dPr>
              <m:begChr m:val="("/>
              <m:endChr m:val=")"/>
              <m:grow m:val="1"/>
            </m:dPr>
            <m:e>
              <m:m>
                <m:mPr>
                  <m:mcs>
                    <m:mc>
                      <m:mcPr>
                        <m:count m:val="2"/>
                        <m:mcJc m:val="center"/>
                      </m:mcPr>
                    </m:mc>
                  </m:mcs>
                </m:mPr>
                <m:mr>
                  <m:e>
                    <m:r>
                      <w:rPr>
                        <w:rFonts w:ascii="Cambria Math" w:hAnsi="Cambria Math"/>
                      </w:rPr>
                      <m:t>8</m:t>
                    </m:r>
                    <m:r>
                      <w:rPr>
                        <w:rFonts w:ascii="Cambria Math" w:hAnsi="Cambria Math"/>
                      </w:rPr>
                      <m:t xml:space="preserve"> </m:t>
                    </m:r>
                    <m:r>
                      <w:rPr>
                        <w:rFonts w:ascii="Cambria Math" w:hAnsi="Cambria Math"/>
                      </w:rPr>
                      <m:t>1</m:t>
                    </m:r>
                    <m:r>
                      <w:rPr>
                        <w:rFonts w:ascii="Cambria Math" w:hAnsi="Cambria Math"/>
                      </w:rPr>
                      <m:t>8</m:t>
                    </m:r>
                    <m:r>
                      <w:rPr>
                        <w:rFonts w:ascii="Cambria Math" w:hAnsi="Cambria Math"/>
                      </w:rPr>
                      <m:t>5</m:t>
                    </m:r>
                    <m:r>
                      <w:rPr>
                        <w:rFonts w:ascii="Cambria Math" w:hAnsi="Cambria Math"/>
                      </w:rPr>
                      <m:t>,</m:t>
                    </m:r>
                    <m:r>
                      <w:rPr>
                        <w:rFonts w:ascii="Cambria Math" w:hAnsi="Cambria Math"/>
                      </w:rPr>
                      <m:t>6</m:t>
                    </m:r>
                    <m:r>
                      <w:rPr>
                        <w:rFonts w:ascii="Cambria Math" w:hAnsi="Cambria Math"/>
                      </w:rPr>
                      <m:t>3</m:t>
                    </m:r>
                    <m:r>
                      <w:rPr>
                        <w:rFonts w:ascii="Cambria Math" w:hAnsi="Cambria Math"/>
                      </w:rPr>
                      <m:t>2</m:t>
                    </m:r>
                  </m:e>
                  <m:e>
                    <m:r>
                      <w:rPr>
                        <w:rFonts w:ascii="Cambria Math" w:hAnsi="Cambria Math"/>
                      </w:rPr>
                      <m:t>-</m:t>
                    </m:r>
                    <m:r>
                      <w:rPr>
                        <w:rFonts w:ascii="Cambria Math" w:hAnsi="Cambria Math"/>
                      </w:rPr>
                      <m:t>2</m:t>
                    </m:r>
                    <m:r>
                      <w:rPr>
                        <w:rFonts w:ascii="Cambria Math" w:hAnsi="Cambria Math"/>
                      </w:rPr>
                      <m:t xml:space="preserve"> </m:t>
                    </m:r>
                    <m:r>
                      <w:rPr>
                        <w:rFonts w:ascii="Cambria Math" w:hAnsi="Cambria Math"/>
                      </w:rPr>
                      <m:t>4</m:t>
                    </m:r>
                    <m:r>
                      <w:rPr>
                        <w:rFonts w:ascii="Cambria Math" w:hAnsi="Cambria Math"/>
                      </w:rPr>
                      <m:t>3</m:t>
                    </m:r>
                    <m:r>
                      <w:rPr>
                        <w:rFonts w:ascii="Cambria Math" w:hAnsi="Cambria Math"/>
                      </w:rPr>
                      <m:t>6</m:t>
                    </m:r>
                    <m:r>
                      <w:rPr>
                        <w:rFonts w:ascii="Cambria Math" w:hAnsi="Cambria Math"/>
                      </w:rPr>
                      <m:t>,</m:t>
                    </m:r>
                    <m:r>
                      <w:rPr>
                        <w:rFonts w:ascii="Cambria Math" w:hAnsi="Cambria Math"/>
                      </w:rPr>
                      <m:t>2</m:t>
                    </m:r>
                    <m:r>
                      <w:rPr>
                        <w:rFonts w:ascii="Cambria Math" w:hAnsi="Cambria Math"/>
                      </w:rPr>
                      <m:t>0</m:t>
                    </m:r>
                    <m:r>
                      <w:rPr>
                        <w:rFonts w:ascii="Cambria Math" w:hAnsi="Cambria Math"/>
                      </w:rPr>
                      <m:t>0</m:t>
                    </m:r>
                  </m:e>
                </m:mr>
                <m:mr>
                  <m:e>
                    <m:r>
                      <w:rPr>
                        <w:rFonts w:ascii="Cambria Math" w:hAnsi="Cambria Math"/>
                      </w:rPr>
                      <m:t>-</m:t>
                    </m:r>
                    <m:r>
                      <w:rPr>
                        <w:rFonts w:ascii="Cambria Math" w:hAnsi="Cambria Math"/>
                      </w:rPr>
                      <m:t>2</m:t>
                    </m:r>
                    <m:r>
                      <w:rPr>
                        <w:rFonts w:ascii="Cambria Math" w:hAnsi="Cambria Math"/>
                      </w:rPr>
                      <m:t xml:space="preserve"> </m:t>
                    </m:r>
                    <m:r>
                      <w:rPr>
                        <w:rFonts w:ascii="Cambria Math" w:hAnsi="Cambria Math"/>
                      </w:rPr>
                      <m:t>4</m:t>
                    </m:r>
                    <m:r>
                      <w:rPr>
                        <w:rFonts w:ascii="Cambria Math" w:hAnsi="Cambria Math"/>
                      </w:rPr>
                      <m:t>3</m:t>
                    </m:r>
                    <m:r>
                      <w:rPr>
                        <w:rFonts w:ascii="Cambria Math" w:hAnsi="Cambria Math"/>
                      </w:rPr>
                      <m:t>6</m:t>
                    </m:r>
                    <m:r>
                      <w:rPr>
                        <w:rFonts w:ascii="Cambria Math" w:hAnsi="Cambria Math"/>
                      </w:rPr>
                      <m:t>,</m:t>
                    </m:r>
                    <m:r>
                      <w:rPr>
                        <w:rFonts w:ascii="Cambria Math" w:hAnsi="Cambria Math"/>
                      </w:rPr>
                      <m:t>2</m:t>
                    </m:r>
                    <m:r>
                      <w:rPr>
                        <w:rFonts w:ascii="Cambria Math" w:hAnsi="Cambria Math"/>
                      </w:rPr>
                      <m:t>0</m:t>
                    </m:r>
                    <m:r>
                      <w:rPr>
                        <w:rFonts w:ascii="Cambria Math" w:hAnsi="Cambria Math"/>
                      </w:rPr>
                      <m:t>0</m:t>
                    </m:r>
                  </m:e>
                  <m:e>
                    <m:r>
                      <w:rPr>
                        <w:rFonts w:ascii="Cambria Math" w:hAnsi="Cambria Math"/>
                      </w:rPr>
                      <m:t>8</m:t>
                    </m:r>
                    <m:r>
                      <w:rPr>
                        <w:rFonts w:ascii="Cambria Math" w:hAnsi="Cambria Math"/>
                      </w:rPr>
                      <m:t xml:space="preserve"> </m:t>
                    </m:r>
                    <m:r>
                      <w:rPr>
                        <w:rFonts w:ascii="Cambria Math" w:hAnsi="Cambria Math"/>
                      </w:rPr>
                      <m:t>3</m:t>
                    </m:r>
                    <m:r>
                      <w:rPr>
                        <w:rFonts w:ascii="Cambria Math" w:hAnsi="Cambria Math"/>
                      </w:rPr>
                      <m:t>6</m:t>
                    </m:r>
                    <m:r>
                      <w:rPr>
                        <w:rFonts w:ascii="Cambria Math" w:hAnsi="Cambria Math"/>
                      </w:rPr>
                      <m:t>5</m:t>
                    </m:r>
                    <m:r>
                      <w:rPr>
                        <w:rFonts w:ascii="Cambria Math" w:hAnsi="Cambria Math"/>
                      </w:rPr>
                      <m:t>,</m:t>
                    </m:r>
                    <m:r>
                      <w:rPr>
                        <w:rFonts w:ascii="Cambria Math" w:hAnsi="Cambria Math"/>
                      </w:rPr>
                      <m:t>7</m:t>
                    </m:r>
                    <m:r>
                      <w:rPr>
                        <w:rFonts w:ascii="Cambria Math" w:hAnsi="Cambria Math"/>
                      </w:rPr>
                      <m:t>0</m:t>
                    </m:r>
                    <m:r>
                      <w:rPr>
                        <w:rFonts w:ascii="Cambria Math" w:hAnsi="Cambria Math"/>
                      </w:rPr>
                      <m:t>0</m:t>
                    </m:r>
                  </m:e>
                </m:mr>
              </m:m>
            </m:e>
          </m:d>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oMath>
      </m:oMathPara>
    </w:p>
    <w:p>
      <w:pPr>
        <w:pStyle w:val="Formelblock"/>
      </w:pPr>
      <m:oMathPara xmlns:m="http://schemas.openxmlformats.org/officeDocument/2006/math">
        <m:oMathParaPr>
          <m:jc m:val="center"/>
        </m:oMathParaPr>
        <m:oMath>
          <m:sSub>
            <m:e>
              <m:r>
                <m:rPr>
                  <m:sty m:val="b"/>
                </m:rPr>
                <w:rPr>
                  <w:rFonts w:ascii="Cambria Math" w:hAnsi="Cambria Math"/>
                </w:rPr>
                <m:t>A</m:t>
              </m:r>
            </m:e>
            <m:sub>
              <m:r>
                <m:rPr>
                  <m:sty m:val="p"/>
                </m:rPr>
                <w:rPr>
                  <w:rFonts w:ascii="Cambria Math" w:hAnsi="Cambria Math"/>
                </w:rPr>
                <m:t>regel</m:t>
              </m:r>
            </m:sub>
          </m:sSub>
          <m:r>
            <w:rPr>
              <w:rFonts w:ascii="Cambria Math" w:hAnsi="Cambria Math"/>
            </w:rPr>
            <m:t>=</m:t>
          </m:r>
          <m:d>
            <m:dPr>
              <m:begChr m:val="("/>
              <m:endChr m:val=")"/>
              <m:grow m:val="1"/>
            </m:dPr>
            <m:e>
              <m:m>
                <m:mPr>
                  <m:mcs>
                    <m:mc>
                      <m:mcPr>
                        <m:count m:val="2"/>
                        <m:mcJc m:val="center"/>
                      </m:mcPr>
                    </m:mc>
                  </m:mcs>
                </m:mPr>
                <m:mr>
                  <m:e>
                    <m:r>
                      <w:rPr>
                        <w:rFonts w:ascii="Cambria Math" w:hAnsi="Cambria Math"/>
                      </w:rPr>
                      <m:t>-</m:t>
                    </m:r>
                    <m:r>
                      <w:rPr>
                        <w:rFonts w:ascii="Cambria Math" w:hAnsi="Cambria Math"/>
                      </w:rPr>
                      <m:t>2</m:t>
                    </m:r>
                    <m:r>
                      <w:rPr>
                        <w:rFonts w:ascii="Cambria Math" w:hAnsi="Cambria Math"/>
                      </w:rPr>
                      <m:t>,</m:t>
                    </m:r>
                    <m:r>
                      <w:rPr>
                        <w:rFonts w:ascii="Cambria Math" w:hAnsi="Cambria Math"/>
                      </w:rPr>
                      <m:t>6</m:t>
                    </m:r>
                    <m:r>
                      <w:rPr>
                        <w:rFonts w:ascii="Cambria Math" w:hAnsi="Cambria Math"/>
                      </w:rPr>
                      <m:t>1</m:t>
                    </m:r>
                    <m:r>
                      <w:rPr>
                        <w:rFonts w:ascii="Cambria Math" w:hAnsi="Cambria Math"/>
                      </w:rPr>
                      <m:t>8</m:t>
                    </m:r>
                    <m:r>
                      <w:rPr>
                        <w:rFonts w:ascii="Cambria Math" w:hAnsi="Cambria Math"/>
                      </w:rPr>
                      <m:t>6</m:t>
                    </m:r>
                    <m:r>
                      <w:rPr>
                        <w:rFonts w:ascii="Cambria Math" w:hAnsi="Cambria Math"/>
                      </w:rPr>
                      <m:t>8</m:t>
                    </m:r>
                    <m:r>
                      <w:rPr>
                        <w:rFonts w:ascii="Cambria Math" w:hAnsi="Cambria Math"/>
                      </w:rPr>
                      <m:t>7</m:t>
                    </m:r>
                    <m:r>
                      <w:rPr>
                        <w:rFonts w:ascii="Cambria Math" w:hAnsi="Cambria Math"/>
                      </w:rPr>
                      <m:t>8</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4</m:t>
                        </m:r>
                      </m:sup>
                    </m:sSup>
                  </m:e>
                  <m:e>
                    <m:r>
                      <w:rPr>
                        <w:rFonts w:ascii="Cambria Math" w:hAnsi="Cambria Math"/>
                      </w:rPr>
                      <m:t>7</m:t>
                    </m:r>
                    <m:r>
                      <w:rPr>
                        <w:rFonts w:ascii="Cambria Math" w:hAnsi="Cambria Math"/>
                      </w:rPr>
                      <m:t>,</m:t>
                    </m:r>
                    <m:r>
                      <w:rPr>
                        <w:rFonts w:ascii="Cambria Math" w:hAnsi="Cambria Math"/>
                      </w:rPr>
                      <m:t>2</m:t>
                    </m:r>
                    <m:r>
                      <w:rPr>
                        <w:rFonts w:ascii="Cambria Math" w:hAnsi="Cambria Math"/>
                      </w:rPr>
                      <m:t>7</m:t>
                    </m:r>
                    <m:r>
                      <w:rPr>
                        <w:rFonts w:ascii="Cambria Math" w:hAnsi="Cambria Math"/>
                      </w:rPr>
                      <m:t>6</m:t>
                    </m:r>
                    <m:r>
                      <w:rPr>
                        <w:rFonts w:ascii="Cambria Math" w:hAnsi="Cambria Math"/>
                      </w:rPr>
                      <m:t>1</m:t>
                    </m:r>
                    <m:r>
                      <w:rPr>
                        <w:rFonts w:ascii="Cambria Math" w:hAnsi="Cambria Math"/>
                      </w:rPr>
                      <m:t>7</m:t>
                    </m:r>
                    <m:r>
                      <w:rPr>
                        <w:rFonts w:ascii="Cambria Math" w:hAnsi="Cambria Math"/>
                      </w:rPr>
                      <m:t>1</m:t>
                    </m:r>
                    <m:r>
                      <w:rPr>
                        <w:rFonts w:ascii="Cambria Math" w:hAnsi="Cambria Math"/>
                      </w:rPr>
                      <m:t>5</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5</m:t>
                        </m:r>
                      </m:sup>
                    </m:sSup>
                  </m:e>
                </m:mr>
                <m:mr>
                  <m:e>
                    <m:r>
                      <w:rPr>
                        <w:rFonts w:ascii="Cambria Math" w:hAnsi="Cambria Math"/>
                      </w:rPr>
                      <m:t>3</m:t>
                    </m:r>
                    <m:r>
                      <w:rPr>
                        <w:rFonts w:ascii="Cambria Math" w:hAnsi="Cambria Math"/>
                      </w:rPr>
                      <m:t>,</m:t>
                    </m:r>
                    <m:r>
                      <w:rPr>
                        <w:rFonts w:ascii="Cambria Math" w:hAnsi="Cambria Math"/>
                      </w:rPr>
                      <m:t>1</m:t>
                    </m:r>
                    <m:r>
                      <w:rPr>
                        <w:rFonts w:ascii="Cambria Math" w:hAnsi="Cambria Math"/>
                      </w:rPr>
                      <m:t>1</m:t>
                    </m:r>
                    <m:r>
                      <w:rPr>
                        <w:rFonts w:ascii="Cambria Math" w:hAnsi="Cambria Math"/>
                      </w:rPr>
                      <m:t>8</m:t>
                    </m:r>
                    <m:r>
                      <w:rPr>
                        <w:rFonts w:ascii="Cambria Math" w:hAnsi="Cambria Math"/>
                      </w:rPr>
                      <m:t>3</m:t>
                    </m:r>
                    <m:r>
                      <w:rPr>
                        <w:rFonts w:ascii="Cambria Math" w:hAnsi="Cambria Math"/>
                      </w:rPr>
                      <m:t>5</m:t>
                    </m:r>
                    <m:r>
                      <w:rPr>
                        <w:rFonts w:ascii="Cambria Math" w:hAnsi="Cambria Math"/>
                      </w:rPr>
                      <m:t>9</m:t>
                    </m:r>
                    <m:r>
                      <w:rPr>
                        <w:rFonts w:ascii="Cambria Math" w:hAnsi="Cambria Math"/>
                      </w:rPr>
                      <m:t>2</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5</m:t>
                        </m:r>
                      </m:sup>
                    </m:sSup>
                  </m:e>
                  <m:e>
                    <m:r>
                      <w:rPr>
                        <w:rFonts w:ascii="Cambria Math" w:hAnsi="Cambria Math"/>
                      </w:rPr>
                      <m:t>-</m:t>
                    </m:r>
                    <m:r>
                      <w:rPr>
                        <w:rFonts w:ascii="Cambria Math" w:hAnsi="Cambria Math"/>
                      </w:rPr>
                      <m:t>7</m:t>
                    </m:r>
                    <m:r>
                      <w:rPr>
                        <w:rFonts w:ascii="Cambria Math" w:hAnsi="Cambria Math"/>
                      </w:rPr>
                      <m:t>,</m:t>
                    </m:r>
                    <m:r>
                      <w:rPr>
                        <w:rFonts w:ascii="Cambria Math" w:hAnsi="Cambria Math"/>
                      </w:rPr>
                      <m:t>2</m:t>
                    </m:r>
                    <m:r>
                      <w:rPr>
                        <w:rFonts w:ascii="Cambria Math" w:hAnsi="Cambria Math"/>
                      </w:rPr>
                      <m:t>4</m:t>
                    </m:r>
                    <m:r>
                      <w:rPr>
                        <w:rFonts w:ascii="Cambria Math" w:hAnsi="Cambria Math"/>
                      </w:rPr>
                      <m:t>9</m:t>
                    </m:r>
                    <m:r>
                      <w:rPr>
                        <w:rFonts w:ascii="Cambria Math" w:hAnsi="Cambria Math"/>
                      </w:rPr>
                      <m:t>7</m:t>
                    </m:r>
                    <m:r>
                      <w:rPr>
                        <w:rFonts w:ascii="Cambria Math" w:hAnsi="Cambria Math"/>
                      </w:rPr>
                      <m:t>1</m:t>
                    </m:r>
                    <m:r>
                      <w:rPr>
                        <w:rFonts w:ascii="Cambria Math" w:hAnsi="Cambria Math"/>
                      </w:rPr>
                      <m:t>5</m:t>
                    </m:r>
                    <m:r>
                      <w:rPr>
                        <w:rFonts w:ascii="Cambria Math" w:hAnsi="Cambria Math"/>
                      </w:rPr>
                      <m:t>1</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5</m:t>
                        </m:r>
                      </m:sup>
                    </m:sSup>
                  </m:e>
                </m:mr>
              </m:m>
            </m:e>
          </m:d>
          <m:r>
            <w:rPr>
              <w:rFonts w:ascii="Cambria Math" w:hAnsi="Cambria Math"/>
            </w:rPr>
            <m:t xml:space="preserve"> </m:t>
          </m:r>
          <m:r>
            <w:rPr>
              <w:rFonts w:ascii="Cambria Math" w:hAnsi="Cambria Math"/>
            </w:rPr>
            <m:t>[</m:t>
          </m:r>
          <m:r>
            <w:rPr>
              <w:rFonts w:ascii="Cambria Math" w:hAnsi="Cambria Math"/>
            </w:rPr>
            <m:t>1</m:t>
          </m:r>
          <m:r>
            <w:rPr>
              <w:rFonts w:ascii="Cambria Math" w:hAnsi="Cambria Math"/>
            </w:rPr>
            <m:t>/</m:t>
          </m:r>
          <m:r>
            <m:rPr>
              <m:sty m:val="p"/>
            </m:rPr>
            <w:rPr>
              <w:rFonts w:ascii="Cambria Math" w:hAnsi="Cambria Math"/>
            </w:rPr>
            <m:t>s</m:t>
          </m:r>
          <m:r>
            <w:rPr>
              <w:rFonts w:ascii="Cambria Math" w:hAnsi="Cambria Math"/>
            </w:rPr>
            <m:t>]</m:t>
          </m:r>
        </m:oMath>
      </m:oMathPara>
    </w:p>
    <w:p>
      <w:pPr>
        <w:pStyle w:val="Formelblock"/>
      </w:pPr>
      <m:oMathPara xmlns:m="http://schemas.openxmlformats.org/officeDocument/2006/math">
        <m:oMathParaPr>
          <m:jc m:val="center"/>
        </m:oMathParaPr>
        <m:oMath>
          <m:r>
            <m:rPr>
              <m:nor m:val="1"/>
            </m:rPr>
            <w:rPr>
              <w:rFonts w:ascii="Cambria Math" w:hAnsi="Cambria Math"/>
            </w:rPr>
            <m:t xml:space="preserve">freier Lauf </m:t>
          </m:r>
          <m:r>
            <w:rPr>
              <w:rFonts w:ascii="Cambria Math" w:hAnsi="Cambria Math"/>
            </w:rPr>
            <m:t>(</m:t>
          </m:r>
          <m:r>
            <w:rPr>
              <w:rFonts w:ascii="Cambria Math" w:hAnsi="Cambria Math"/>
            </w:rPr>
            <m:t>S</m:t>
          </m:r>
          <m:r>
            <w:rPr>
              <w:rFonts w:ascii="Cambria Math" w:hAnsi="Cambria Math"/>
            </w:rPr>
            <m:t>=</m:t>
          </m:r>
          <m:r>
            <w:rPr>
              <w:rFonts w:ascii="Cambria Math" w:hAnsi="Cambria Math"/>
            </w:rPr>
            <m:t>3</m:t>
          </m:r>
          <m:r>
            <w:rPr>
              <w:rFonts w:ascii="Cambria Math" w:hAnsi="Cambria Math"/>
            </w:rPr>
            <m:t xml:space="preserve"> </m:t>
          </m:r>
          <m:r>
            <w:rPr>
              <w:rFonts w:ascii="Cambria Math" w:hAnsi="Cambria Math"/>
            </w:rPr>
            <m:t>0</m:t>
          </m:r>
          <m:r>
            <w:rPr>
              <w:rFonts w:ascii="Cambria Math" w:hAnsi="Cambria Math"/>
            </w:rPr>
            <m:t>3</m:t>
          </m:r>
          <m:r>
            <w:rPr>
              <w:rFonts w:ascii="Cambria Math" w:hAnsi="Cambria Math"/>
            </w:rPr>
            <m:t>6</m:t>
          </m:r>
          <m:r>
            <w:rPr>
              <w:rFonts w:ascii="Cambria Math" w:hAnsi="Cambria Math"/>
            </w:rPr>
            <m:t>,</m:t>
          </m:r>
          <m:r>
            <w:rPr>
              <w:rFonts w:ascii="Cambria Math" w:hAnsi="Cambria Math"/>
            </w:rPr>
            <m:t>5</m:t>
          </m:r>
          <m:r>
            <w:rPr>
              <w:rFonts w:ascii="Cambria Math" w:hAnsi="Cambria Math"/>
            </w:rPr>
            <m:t>7</m:t>
          </m:r>
          <m:r>
            <w:rPr>
              <w:rFonts w:ascii="Cambria Math" w:hAnsi="Cambria Math"/>
            </w:rPr>
            <m:t>9</m:t>
          </m:r>
          <m:r>
            <w:rPr>
              <w:rFonts w:ascii="Cambria Math" w:hAnsi="Cambria Math"/>
            </w:rPr>
            <m:t xml:space="preserve"> </m:t>
          </m:r>
          <m:r>
            <m:rPr>
              <m:sty m:val="p"/>
            </m:rPr>
            <w:rPr>
              <w:rFonts w:ascii="Cambria Math" w:hAnsi="Cambria Math"/>
            </w:rPr>
            <m:t>W/K</m:t>
          </m:r>
          <m:r>
            <w:rPr>
              <w:rFonts w:ascii="Cambria Math" w:hAnsi="Cambria Math"/>
            </w:rPr>
            <m:t>)</m:t>
          </m:r>
          <m:r>
            <w:rPr>
              <w:rFonts w:ascii="Cambria Math" w:hAnsi="Cambria Math"/>
            </w:rPr>
            <m:t>:</m:t>
          </m:r>
        </m:oMath>
      </m:oMathPara>
    </w:p>
    <w:p>
      <w:pPr>
        <w:pStyle w:val="Formelblock"/>
      </w:pPr>
      <m:oMathPara xmlns:m="http://schemas.openxmlformats.org/officeDocument/2006/math">
        <m:oMathParaPr>
          <m:jc m:val="center"/>
        </m:oMathParaPr>
        <m:oMath>
          <m:r>
            <m:rPr>
              <m:sty m:val="b"/>
            </m:rPr>
            <w:rPr>
              <w:rFonts w:ascii="Cambria Math" w:hAnsi="Cambria Math"/>
            </w:rPr>
            <m:t>M</m:t>
          </m:r>
          <m:r>
            <w:rPr>
              <w:rFonts w:ascii="Cambria Math" w:hAnsi="Cambria Math"/>
            </w:rPr>
            <m:t>=</m:t>
          </m:r>
          <m:d>
            <m:dPr>
              <m:begChr m:val="("/>
              <m:endChr m:val=")"/>
              <m:grow m:val="1"/>
            </m:dPr>
            <m:e>
              <m:m>
                <m:mPr>
                  <m:mcs>
                    <m:mc>
                      <m:mcPr>
                        <m:count m:val="2"/>
                        <m:mcJc m:val="center"/>
                      </m:mcPr>
                    </m:mc>
                  </m:mcs>
                </m:mPr>
                <m:mr>
                  <m:e>
                    <m:r>
                      <w:rPr>
                        <w:rFonts w:ascii="Cambria Math" w:hAnsi="Cambria Math"/>
                      </w:rPr>
                      <m:t>7</m:t>
                    </m:r>
                    <m:r>
                      <w:rPr>
                        <w:rFonts w:ascii="Cambria Math" w:hAnsi="Cambria Math"/>
                      </w:rPr>
                      <m:t xml:space="preserve"> </m:t>
                    </m:r>
                    <m:r>
                      <w:rPr>
                        <w:rFonts w:ascii="Cambria Math" w:hAnsi="Cambria Math"/>
                      </w:rPr>
                      <m:t>6</m:t>
                    </m:r>
                    <m:r>
                      <w:rPr>
                        <w:rFonts w:ascii="Cambria Math" w:hAnsi="Cambria Math"/>
                      </w:rPr>
                      <m:t>1</m:t>
                    </m:r>
                    <m:r>
                      <w:rPr>
                        <w:rFonts w:ascii="Cambria Math" w:hAnsi="Cambria Math"/>
                      </w:rPr>
                      <m:t>5</m:t>
                    </m:r>
                    <m:r>
                      <w:rPr>
                        <w:rFonts w:ascii="Cambria Math" w:hAnsi="Cambria Math"/>
                      </w:rPr>
                      <m:t>,</m:t>
                    </m:r>
                    <m:r>
                      <w:rPr>
                        <w:rFonts w:ascii="Cambria Math" w:hAnsi="Cambria Math"/>
                      </w:rPr>
                      <m:t>6</m:t>
                    </m:r>
                    <m:r>
                      <w:rPr>
                        <w:rFonts w:ascii="Cambria Math" w:hAnsi="Cambria Math"/>
                      </w:rPr>
                      <m:t>9</m:t>
                    </m:r>
                    <m:r>
                      <w:rPr>
                        <w:rFonts w:ascii="Cambria Math" w:hAnsi="Cambria Math"/>
                      </w:rPr>
                      <m:t>2</m:t>
                    </m:r>
                  </m:e>
                  <m:e>
                    <m:r>
                      <w:rPr>
                        <w:rFonts w:ascii="Cambria Math" w:hAnsi="Cambria Math"/>
                      </w:rPr>
                      <m:t>-</m:t>
                    </m:r>
                    <m:r>
                      <w:rPr>
                        <w:rFonts w:ascii="Cambria Math" w:hAnsi="Cambria Math"/>
                      </w:rPr>
                      <m:t>3</m:t>
                    </m:r>
                    <m:r>
                      <w:rPr>
                        <w:rFonts w:ascii="Cambria Math" w:hAnsi="Cambria Math"/>
                      </w:rPr>
                      <m:t xml:space="preserve"> </m:t>
                    </m:r>
                    <m:r>
                      <w:rPr>
                        <w:rFonts w:ascii="Cambria Math" w:hAnsi="Cambria Math"/>
                      </w:rPr>
                      <m:t>0</m:t>
                    </m:r>
                    <m:r>
                      <w:rPr>
                        <w:rFonts w:ascii="Cambria Math" w:hAnsi="Cambria Math"/>
                      </w:rPr>
                      <m:t>2</m:t>
                    </m:r>
                    <m:r>
                      <w:rPr>
                        <w:rFonts w:ascii="Cambria Math" w:hAnsi="Cambria Math"/>
                      </w:rPr>
                      <m:t>3</m:t>
                    </m:r>
                    <m:r>
                      <w:rPr>
                        <w:rFonts w:ascii="Cambria Math" w:hAnsi="Cambria Math"/>
                      </w:rPr>
                      <m:t>,</m:t>
                    </m:r>
                    <m:r>
                      <w:rPr>
                        <w:rFonts w:ascii="Cambria Math" w:hAnsi="Cambria Math"/>
                      </w:rPr>
                      <m:t>9</m:t>
                    </m:r>
                    <m:r>
                      <w:rPr>
                        <w:rFonts w:ascii="Cambria Math" w:hAnsi="Cambria Math"/>
                      </w:rPr>
                      <m:t>9</m:t>
                    </m:r>
                    <m:r>
                      <w:rPr>
                        <w:rFonts w:ascii="Cambria Math" w:hAnsi="Cambria Math"/>
                      </w:rPr>
                      <m:t>0</m:t>
                    </m:r>
                  </m:e>
                </m:mr>
                <m:mr>
                  <m:e>
                    <m:r>
                      <w:rPr>
                        <w:rFonts w:ascii="Cambria Math" w:hAnsi="Cambria Math"/>
                      </w:rPr>
                      <m:t>-</m:t>
                    </m:r>
                    <m:r>
                      <w:rPr>
                        <w:rFonts w:ascii="Cambria Math" w:hAnsi="Cambria Math"/>
                      </w:rPr>
                      <m:t>3</m:t>
                    </m:r>
                    <m:r>
                      <w:rPr>
                        <w:rFonts w:ascii="Cambria Math" w:hAnsi="Cambria Math"/>
                      </w:rPr>
                      <m:t xml:space="preserve"> </m:t>
                    </m:r>
                    <m:r>
                      <w:rPr>
                        <w:rFonts w:ascii="Cambria Math" w:hAnsi="Cambria Math"/>
                      </w:rPr>
                      <m:t>0</m:t>
                    </m:r>
                    <m:r>
                      <w:rPr>
                        <w:rFonts w:ascii="Cambria Math" w:hAnsi="Cambria Math"/>
                      </w:rPr>
                      <m:t>2</m:t>
                    </m:r>
                    <m:r>
                      <w:rPr>
                        <w:rFonts w:ascii="Cambria Math" w:hAnsi="Cambria Math"/>
                      </w:rPr>
                      <m:t>3</m:t>
                    </m:r>
                    <m:r>
                      <w:rPr>
                        <w:rFonts w:ascii="Cambria Math" w:hAnsi="Cambria Math"/>
                      </w:rPr>
                      <m:t>,</m:t>
                    </m:r>
                    <m:r>
                      <w:rPr>
                        <w:rFonts w:ascii="Cambria Math" w:hAnsi="Cambria Math"/>
                      </w:rPr>
                      <m:t>9</m:t>
                    </m:r>
                    <m:r>
                      <w:rPr>
                        <w:rFonts w:ascii="Cambria Math" w:hAnsi="Cambria Math"/>
                      </w:rPr>
                      <m:t>9</m:t>
                    </m:r>
                    <m:r>
                      <w:rPr>
                        <w:rFonts w:ascii="Cambria Math" w:hAnsi="Cambria Math"/>
                      </w:rPr>
                      <m:t>0</m:t>
                    </m:r>
                  </m:e>
                  <m:e>
                    <m:r>
                      <w:rPr>
                        <w:rFonts w:ascii="Cambria Math" w:hAnsi="Cambria Math"/>
                      </w:rPr>
                      <m:t>7</m:t>
                    </m:r>
                    <m:r>
                      <w:rPr>
                        <w:rFonts w:ascii="Cambria Math" w:hAnsi="Cambria Math"/>
                      </w:rPr>
                      <m:t xml:space="preserve"> </m:t>
                    </m:r>
                    <m:r>
                      <w:rPr>
                        <w:rFonts w:ascii="Cambria Math" w:hAnsi="Cambria Math"/>
                      </w:rPr>
                      <m:t>7</m:t>
                    </m:r>
                    <m:r>
                      <w:rPr>
                        <w:rFonts w:ascii="Cambria Math" w:hAnsi="Cambria Math"/>
                      </w:rPr>
                      <m:t>5</m:t>
                    </m:r>
                    <m:r>
                      <w:rPr>
                        <w:rFonts w:ascii="Cambria Math" w:hAnsi="Cambria Math"/>
                      </w:rPr>
                      <m:t>9</m:t>
                    </m:r>
                    <m:r>
                      <w:rPr>
                        <w:rFonts w:ascii="Cambria Math" w:hAnsi="Cambria Math"/>
                      </w:rPr>
                      <m:t>,</m:t>
                    </m:r>
                    <m:r>
                      <w:rPr>
                        <w:rFonts w:ascii="Cambria Math" w:hAnsi="Cambria Math"/>
                      </w:rPr>
                      <m:t>5</m:t>
                    </m:r>
                    <m:r>
                      <w:rPr>
                        <w:rFonts w:ascii="Cambria Math" w:hAnsi="Cambria Math"/>
                      </w:rPr>
                      <m:t>0</m:t>
                    </m:r>
                    <m:r>
                      <w:rPr>
                        <w:rFonts w:ascii="Cambria Math" w:hAnsi="Cambria Math"/>
                      </w:rPr>
                      <m:t>1</m:t>
                    </m:r>
                  </m:e>
                </m:mr>
              </m:m>
            </m:e>
          </m:d>
          <m:r>
            <w:rPr>
              <w:rFonts w:ascii="Cambria Math" w:hAnsi="Cambria Math"/>
            </w:rPr>
            <m:t xml:space="preserve"> </m:t>
          </m:r>
          <m:r>
            <w:rPr>
              <w:rFonts w:ascii="Cambria Math" w:hAnsi="Cambria Math"/>
            </w:rPr>
            <m:t>[</m:t>
          </m:r>
          <m:r>
            <m:rPr>
              <m:sty m:val="p"/>
            </m:rPr>
            <w:rPr>
              <w:rFonts w:ascii="Cambria Math" w:hAnsi="Cambria Math"/>
            </w:rPr>
            <m:t>W/K</m:t>
          </m:r>
          <m:r>
            <w:rPr>
              <w:rFonts w:ascii="Cambria Math" w:hAnsi="Cambria Math"/>
            </w:rPr>
            <m:t>]</m:t>
          </m:r>
        </m:oMath>
      </m:oMathPara>
    </w:p>
    <w:p>
      <w:pPr>
        <w:pStyle w:val="Formelblock"/>
      </w:pPr>
      <m:oMathPara xmlns:m="http://schemas.openxmlformats.org/officeDocument/2006/math">
        <m:oMathParaPr>
          <m:jc m:val="center"/>
        </m:oMathParaPr>
        <m:oMath>
          <m:sSub>
            <m:e>
              <m:r>
                <m:rPr>
                  <m:sty m:val="b"/>
                </m:rPr>
                <w:rPr>
                  <w:rFonts w:ascii="Cambria Math" w:hAnsi="Cambria Math"/>
                </w:rPr>
                <m:t>A</m:t>
              </m:r>
            </m:e>
            <m:sub>
              <m:r>
                <m:rPr>
                  <m:sty m:val="p"/>
                </m:rPr>
                <w:rPr>
                  <w:rFonts w:ascii="Cambria Math" w:hAnsi="Cambria Math"/>
                </w:rPr>
                <m:t>frei</m:t>
              </m:r>
            </m:sub>
          </m:sSub>
          <m:r>
            <w:rPr>
              <w:rFonts w:ascii="Cambria Math" w:hAnsi="Cambria Math"/>
            </w:rPr>
            <m:t>=</m:t>
          </m:r>
          <m:d>
            <m:dPr>
              <m:begChr m:val="("/>
              <m:endChr m:val=")"/>
              <m:grow m:val="1"/>
            </m:dPr>
            <m:e>
              <m:m>
                <m:mPr>
                  <m:mcs>
                    <m:mc>
                      <m:mcPr>
                        <m:count m:val="2"/>
                        <m:mcJc m:val="center"/>
                      </m:mcPr>
                    </m:mc>
                  </m:mcs>
                </m:mPr>
                <m:mr>
                  <m:e>
                    <m:r>
                      <w:rPr>
                        <w:rFonts w:ascii="Cambria Math" w:hAnsi="Cambria Math"/>
                      </w:rPr>
                      <m:t>-</m:t>
                    </m:r>
                    <m:r>
                      <w:rPr>
                        <w:rFonts w:ascii="Cambria Math" w:hAnsi="Cambria Math"/>
                      </w:rPr>
                      <m:t>2</m:t>
                    </m:r>
                    <m:r>
                      <w:rPr>
                        <w:rFonts w:ascii="Cambria Math" w:hAnsi="Cambria Math"/>
                      </w:rPr>
                      <m:t>,</m:t>
                    </m:r>
                    <m:r>
                      <w:rPr>
                        <w:rFonts w:ascii="Cambria Math" w:hAnsi="Cambria Math"/>
                      </w:rPr>
                      <m:t>2</m:t>
                    </m:r>
                    <m:r>
                      <w:rPr>
                        <w:rFonts w:ascii="Cambria Math" w:hAnsi="Cambria Math"/>
                      </w:rPr>
                      <m:t>2</m:t>
                    </m:r>
                    <m:r>
                      <w:rPr>
                        <w:rFonts w:ascii="Cambria Math" w:hAnsi="Cambria Math"/>
                      </w:rPr>
                      <m:t>7</m:t>
                    </m:r>
                    <m:r>
                      <w:rPr>
                        <w:rFonts w:ascii="Cambria Math" w:hAnsi="Cambria Math"/>
                      </w:rPr>
                      <m:t>6</m:t>
                    </m:r>
                    <m:r>
                      <w:rPr>
                        <w:rFonts w:ascii="Cambria Math" w:hAnsi="Cambria Math"/>
                      </w:rPr>
                      <m:t>5</m:t>
                    </m:r>
                    <m:r>
                      <w:rPr>
                        <w:rFonts w:ascii="Cambria Math" w:hAnsi="Cambria Math"/>
                      </w:rPr>
                      <m:t>8</m:t>
                    </m:r>
                    <m:r>
                      <w:rPr>
                        <w:rFonts w:ascii="Cambria Math" w:hAnsi="Cambria Math"/>
                      </w:rPr>
                      <m:t>7</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4</m:t>
                        </m:r>
                      </m:sup>
                    </m:sSup>
                  </m:e>
                  <m:e>
                    <m:r>
                      <w:rPr>
                        <w:rFonts w:ascii="Cambria Math" w:hAnsi="Cambria Math"/>
                      </w:rPr>
                      <m:t>1</m:t>
                    </m:r>
                    <m:r>
                      <w:rPr>
                        <w:rFonts w:ascii="Cambria Math" w:hAnsi="Cambria Math"/>
                      </w:rPr>
                      <m:t>,</m:t>
                    </m:r>
                    <m:r>
                      <w:rPr>
                        <w:rFonts w:ascii="Cambria Math" w:hAnsi="Cambria Math"/>
                      </w:rPr>
                      <m:t>1</m:t>
                    </m:r>
                    <m:r>
                      <w:rPr>
                        <w:rFonts w:ascii="Cambria Math" w:hAnsi="Cambria Math"/>
                      </w:rPr>
                      <m:t>3</m:t>
                    </m:r>
                    <m:r>
                      <w:rPr>
                        <w:rFonts w:ascii="Cambria Math" w:hAnsi="Cambria Math"/>
                      </w:rPr>
                      <m:t>0</m:t>
                    </m:r>
                    <m:r>
                      <w:rPr>
                        <w:rFonts w:ascii="Cambria Math" w:hAnsi="Cambria Math"/>
                      </w:rPr>
                      <m:t>8</m:t>
                    </m:r>
                    <m:r>
                      <w:rPr>
                        <w:rFonts w:ascii="Cambria Math" w:hAnsi="Cambria Math"/>
                      </w:rPr>
                      <m:t>9</m:t>
                    </m:r>
                    <m:r>
                      <w:rPr>
                        <w:rFonts w:ascii="Cambria Math" w:hAnsi="Cambria Math"/>
                      </w:rPr>
                      <m:t>2</m:t>
                    </m:r>
                    <m:r>
                      <w:rPr>
                        <w:rFonts w:ascii="Cambria Math" w:hAnsi="Cambria Math"/>
                      </w:rPr>
                      <m:t>9</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4</m:t>
                        </m:r>
                      </m:sup>
                    </m:sSup>
                  </m:e>
                </m:mr>
                <m:mr>
                  <m:e>
                    <m:r>
                      <w:rPr>
                        <w:rFonts w:ascii="Cambria Math" w:hAnsi="Cambria Math"/>
                      </w:rPr>
                      <m:t>4</m:t>
                    </m:r>
                    <m:r>
                      <w:rPr>
                        <w:rFonts w:ascii="Cambria Math" w:hAnsi="Cambria Math"/>
                      </w:rPr>
                      <m:t>,</m:t>
                    </m:r>
                    <m:r>
                      <w:rPr>
                        <w:rFonts w:ascii="Cambria Math" w:hAnsi="Cambria Math"/>
                      </w:rPr>
                      <m:t>8</m:t>
                    </m:r>
                    <m:r>
                      <w:rPr>
                        <w:rFonts w:ascii="Cambria Math" w:hAnsi="Cambria Math"/>
                      </w:rPr>
                      <m:t>4</m:t>
                    </m:r>
                    <m:r>
                      <w:rPr>
                        <w:rFonts w:ascii="Cambria Math" w:hAnsi="Cambria Math"/>
                      </w:rPr>
                      <m:t>6</m:t>
                    </m:r>
                    <m:r>
                      <w:rPr>
                        <w:rFonts w:ascii="Cambria Math" w:hAnsi="Cambria Math"/>
                      </w:rPr>
                      <m:t>6</m:t>
                    </m:r>
                    <m:r>
                      <w:rPr>
                        <w:rFonts w:ascii="Cambria Math" w:hAnsi="Cambria Math"/>
                      </w:rPr>
                      <m:t>8</m:t>
                    </m:r>
                    <m:r>
                      <w:rPr>
                        <w:rFonts w:ascii="Cambria Math" w:hAnsi="Cambria Math"/>
                      </w:rPr>
                      <m:t>4</m:t>
                    </m:r>
                    <m:r>
                      <w:rPr>
                        <w:rFonts w:ascii="Cambria Math" w:hAnsi="Cambria Math"/>
                      </w:rPr>
                      <m:t>1</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5</m:t>
                        </m:r>
                      </m:sup>
                    </m:sSup>
                  </m:e>
                  <m:e>
                    <m:r>
                      <w:rPr>
                        <w:rFonts w:ascii="Cambria Math" w:hAnsi="Cambria Math"/>
                      </w:rPr>
                      <m:t>-</m:t>
                    </m:r>
                    <m:r>
                      <w:rPr>
                        <w:rFonts w:ascii="Cambria Math" w:hAnsi="Cambria Math"/>
                      </w:rPr>
                      <m:t>5</m:t>
                    </m:r>
                    <m:r>
                      <w:rPr>
                        <w:rFonts w:ascii="Cambria Math" w:hAnsi="Cambria Math"/>
                      </w:rPr>
                      <m:t>,</m:t>
                    </m:r>
                    <m:r>
                      <w:rPr>
                        <w:rFonts w:ascii="Cambria Math" w:hAnsi="Cambria Math"/>
                      </w:rPr>
                      <m:t>4</m:t>
                    </m:r>
                    <m:r>
                      <w:rPr>
                        <w:rFonts w:ascii="Cambria Math" w:hAnsi="Cambria Math"/>
                      </w:rPr>
                      <m:t>6</m:t>
                    </m:r>
                    <m:r>
                      <w:rPr>
                        <w:rFonts w:ascii="Cambria Math" w:hAnsi="Cambria Math"/>
                      </w:rPr>
                      <m:t>7</m:t>
                    </m:r>
                    <m:r>
                      <w:rPr>
                        <w:rFonts w:ascii="Cambria Math" w:hAnsi="Cambria Math"/>
                      </w:rPr>
                      <m:t>2</m:t>
                    </m:r>
                    <m:r>
                      <w:rPr>
                        <w:rFonts w:ascii="Cambria Math" w:hAnsi="Cambria Math"/>
                      </w:rPr>
                      <m:t>6</m:t>
                    </m:r>
                    <m:r>
                      <w:rPr>
                        <w:rFonts w:ascii="Cambria Math" w:hAnsi="Cambria Math"/>
                      </w:rPr>
                      <m:t>0</m:t>
                    </m:r>
                    <m:r>
                      <w:rPr>
                        <w:rFonts w:ascii="Cambria Math" w:hAnsi="Cambria Math"/>
                      </w:rPr>
                      <m:t>4</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5</m:t>
                        </m:r>
                      </m:sup>
                    </m:sSup>
                  </m:e>
                </m:mr>
              </m:m>
            </m:e>
          </m:d>
          <m:r>
            <w:rPr>
              <w:rFonts w:ascii="Cambria Math" w:hAnsi="Cambria Math"/>
            </w:rPr>
            <m:t xml:space="preserve"> </m:t>
          </m:r>
          <m:r>
            <w:rPr>
              <w:rFonts w:ascii="Cambria Math" w:hAnsi="Cambria Math"/>
            </w:rPr>
            <m:t>[</m:t>
          </m:r>
          <m:r>
            <w:rPr>
              <w:rFonts w:ascii="Cambria Math" w:hAnsi="Cambria Math"/>
            </w:rPr>
            <m:t>1</m:t>
          </m:r>
          <m:r>
            <w:rPr>
              <w:rFonts w:ascii="Cambria Math" w:hAnsi="Cambria Math"/>
            </w:rPr>
            <m:t>/</m:t>
          </m:r>
          <m:r>
            <m:rPr>
              <m:sty m:val="p"/>
            </m:rPr>
            <w:rPr>
              <w:rFonts w:ascii="Cambria Math" w:hAnsi="Cambria Math"/>
            </w:rPr>
            <m:t>s</m:t>
          </m:r>
          <m:r>
            <w:rPr>
              <w:rFonts w:ascii="Cambria Math" w:hAnsi="Cambria Math"/>
            </w:rPr>
            <m:t>]</m:t>
          </m:r>
        </m:oMath>
      </m:oMathPara>
    </w:p>
    <w:p>
      <w:r>
        <w:t xml:space="preserve">Beide Matrizen sind </w:t>
      </w:r>
      <w:r>
        <w:rPr>
          <w:b/>
        </w:rPr>
        <w:t xml:space="preserve">voll besetzt</w:t>
      </w:r>
      <w:r>
        <w:t xml:space="preserve">. Eigenwerte und Zeitkonstanten: geregelt </w:t>
      </w:r>
      <m:oMath xmlns:m="http://schemas.openxmlformats.org/officeDocument/2006/math">
        <m:r>
          <w:rPr>
            <w:rFonts w:ascii="Cambria Math" w:hAnsi="Cambria Math"/>
          </w:rPr>
          <m:t>-</m:t>
        </m:r>
        <m:r>
          <w:rPr>
            <w:rFonts w:ascii="Cambria Math" w:hAnsi="Cambria Math"/>
          </w:rPr>
          <m:t>6</m:t>
        </m:r>
        <m:r>
          <w:rPr>
            <w:rFonts w:ascii="Cambria Math" w:hAnsi="Cambria Math"/>
          </w:rPr>
          <m:t>,</m:t>
        </m:r>
        <m:r>
          <w:rPr>
            <w:rFonts w:ascii="Cambria Math" w:hAnsi="Cambria Math"/>
          </w:rPr>
          <m:t>1</m:t>
        </m:r>
        <m:r>
          <w:rPr>
            <w:rFonts w:ascii="Cambria Math" w:hAnsi="Cambria Math"/>
          </w:rPr>
          <m:t>1</m:t>
        </m:r>
        <m:r>
          <w:rPr>
            <w:rFonts w:ascii="Cambria Math" w:hAnsi="Cambria Math"/>
          </w:rPr>
          <m:t>9</m:t>
        </m:r>
        <m:r>
          <w:rPr>
            <w:rFonts w:ascii="Cambria Math" w:hAnsi="Cambria Math"/>
          </w:rPr>
          <m:t>0</m:t>
        </m:r>
        <m:r>
          <w:rPr>
            <w:rFonts w:ascii="Cambria Math" w:hAnsi="Cambria Math"/>
          </w:rPr>
          <m:t>6</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5</m:t>
            </m:r>
          </m:sup>
        </m:sSup>
      </m:oMath>
      <w:r>
        <w:t xml:space="preserve"> und </w:t>
      </w:r>
      <m:oMath xmlns:m="http://schemas.openxmlformats.org/officeDocument/2006/math">
        <m:r>
          <w:rPr>
            <w:rFonts w:ascii="Cambria Math" w:hAnsi="Cambria Math"/>
          </w:rPr>
          <m:t>-</m:t>
        </m:r>
        <m:r>
          <w:rPr>
            <w:rFonts w:ascii="Cambria Math" w:hAnsi="Cambria Math"/>
          </w:rPr>
          <m:t>2</m:t>
        </m:r>
        <m:r>
          <w:rPr>
            <w:rFonts w:ascii="Cambria Math" w:hAnsi="Cambria Math"/>
          </w:rPr>
          <m:t>,</m:t>
        </m:r>
        <m:r>
          <w:rPr>
            <w:rFonts w:ascii="Cambria Math" w:hAnsi="Cambria Math"/>
          </w:rPr>
          <m:t>7</m:t>
        </m:r>
        <m:r>
          <w:rPr>
            <w:rFonts w:ascii="Cambria Math" w:hAnsi="Cambria Math"/>
          </w:rPr>
          <m:t>3</m:t>
        </m:r>
        <m:r>
          <w:rPr>
            <w:rFonts w:ascii="Cambria Math" w:hAnsi="Cambria Math"/>
          </w:rPr>
          <m:t>1</m:t>
        </m:r>
        <m:r>
          <w:rPr>
            <w:rFonts w:ascii="Cambria Math" w:hAnsi="Cambria Math"/>
          </w:rPr>
          <m:t>7</m:t>
        </m:r>
        <m:r>
          <w:rPr>
            <w:rFonts w:ascii="Cambria Math" w:hAnsi="Cambria Math"/>
          </w:rPr>
          <m:t>5</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4</m:t>
            </m:r>
          </m:sup>
        </m:sSup>
      </m:oMath>
      <w:r>
        <w:t xml:space="preserve"> (4,54 h und 1,02 h), frei </w:t>
      </w:r>
      <m:oMath xmlns:m="http://schemas.openxmlformats.org/officeDocument/2006/math">
        <m:r>
          <w:rPr>
            <w:rFonts w:ascii="Cambria Math" w:hAnsi="Cambria Math"/>
          </w:rPr>
          <m:t>-</m:t>
        </m:r>
        <m:r>
          <w:rPr>
            <w:rFonts w:ascii="Cambria Math" w:hAnsi="Cambria Math"/>
          </w:rPr>
          <m:t>2</m:t>
        </m:r>
        <m:r>
          <w:rPr>
            <w:rFonts w:ascii="Cambria Math" w:hAnsi="Cambria Math"/>
          </w:rPr>
          <m:t>,</m:t>
        </m:r>
        <m:r>
          <w:rPr>
            <w:rFonts w:ascii="Cambria Math" w:hAnsi="Cambria Math"/>
          </w:rPr>
          <m:t>6</m:t>
        </m:r>
        <m:r>
          <w:rPr>
            <w:rFonts w:ascii="Cambria Math" w:hAnsi="Cambria Math"/>
          </w:rPr>
          <m:t>7</m:t>
        </m:r>
        <m:r>
          <w:rPr>
            <w:rFonts w:ascii="Cambria Math" w:hAnsi="Cambria Math"/>
          </w:rPr>
          <m:t>1</m:t>
        </m:r>
        <m:r>
          <w:rPr>
            <w:rFonts w:ascii="Cambria Math" w:hAnsi="Cambria Math"/>
          </w:rPr>
          <m:t>5</m:t>
        </m:r>
        <m:r>
          <w:rPr>
            <w:rFonts w:ascii="Cambria Math" w:hAnsi="Cambria Math"/>
          </w:rPr>
          <m:t>1</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5</m:t>
            </m:r>
          </m:sup>
        </m:sSup>
      </m:oMath>
      <w:r>
        <w:t xml:space="preserve"> und </w:t>
      </w:r>
      <m:oMath xmlns:m="http://schemas.openxmlformats.org/officeDocument/2006/math">
        <m:r>
          <w:rPr>
            <w:rFonts w:ascii="Cambria Math" w:hAnsi="Cambria Math"/>
          </w:rPr>
          <m:t>-</m:t>
        </m:r>
        <m:r>
          <w:rPr>
            <w:rFonts w:ascii="Cambria Math" w:hAnsi="Cambria Math"/>
          </w:rPr>
          <m:t>2</m:t>
        </m:r>
        <m:r>
          <w:rPr>
            <w:rFonts w:ascii="Cambria Math" w:hAnsi="Cambria Math"/>
          </w:rPr>
          <m:t>,</m:t>
        </m:r>
        <m:r>
          <w:rPr>
            <w:rFonts w:ascii="Cambria Math" w:hAnsi="Cambria Math"/>
          </w:rPr>
          <m:t>5</m:t>
        </m:r>
        <m:r>
          <w:rPr>
            <w:rFonts w:ascii="Cambria Math" w:hAnsi="Cambria Math"/>
          </w:rPr>
          <m:t>0</m:t>
        </m:r>
        <m:r>
          <w:rPr>
            <w:rFonts w:ascii="Cambria Math" w:hAnsi="Cambria Math"/>
          </w:rPr>
          <m:t>7</m:t>
        </m:r>
        <m:r>
          <w:rPr>
            <w:rFonts w:ascii="Cambria Math" w:hAnsi="Cambria Math"/>
          </w:rPr>
          <m:t>2</m:t>
        </m:r>
        <m:r>
          <w:rPr>
            <w:rFonts w:ascii="Cambria Math" w:hAnsi="Cambria Math"/>
          </w:rPr>
          <m:t>3</m:t>
        </m:r>
        <m:r>
          <w:rPr>
            <w:rFonts w:ascii="Cambria Math" w:hAnsi="Cambria Math"/>
          </w:rPr>
          <m:t>⋅</m:t>
        </m:r>
        <m:r>
          <w:rPr>
            <w:rFonts w:ascii="Cambria Math" w:hAnsi="Cambria Math"/>
          </w:rPr>
          <m:t>1</m:t>
        </m:r>
        <m:sSup>
          <m:e>
            <m:r>
              <w:rPr>
                <w:rFonts w:ascii="Cambria Math" w:hAnsi="Cambria Math"/>
              </w:rPr>
              <m:t>0</m:t>
            </m:r>
          </m:e>
          <m:sup>
            <m:r>
              <w:rPr>
                <w:rFonts w:ascii="Cambria Math" w:hAnsi="Cambria Math"/>
              </w:rPr>
              <m:t>-</m:t>
            </m:r>
            <m:r>
              <w:rPr>
                <w:rFonts w:ascii="Cambria Math" w:hAnsi="Cambria Math"/>
              </w:rPr>
              <m:t>4</m:t>
            </m:r>
          </m:sup>
        </m:sSup>
      </m:oMath>
      <w:r>
        <w:t xml:space="preserve"> (10,40 h und 1,11 h) — alle reell und negativ. Die langsamste Zeitkonstante ist 10,4 h, der Vorlauf von 30 Tagen das rund 70-fache.</w:t>
      </w:r>
    </w:p>
    <w:p>
      <w:r>
        <w:rPr>
          <w:b/>
        </w:rPr>
        <w:t xml:space="preserve">Schritt D — Übergangsmatrizen für </w:t>
      </w:r>
      <m:oMath xmlns:m="http://schemas.openxmlformats.org/officeDocument/2006/math">
        <m:r>
          <w:rPr>
            <w:rFonts w:ascii="Cambria Math" w:hAnsi="Cambria Math"/>
          </w:rPr>
          <m:t>h</m:t>
        </m:r>
        <m:r>
          <w:rPr>
            <w:rFonts w:ascii="Cambria Math" w:hAnsi="Cambria Math"/>
          </w:rPr>
          <m:t>=</m:t>
        </m:r>
        <m:r>
          <w:rPr>
            <w:rFonts w:ascii="Cambria Math" w:hAnsi="Cambria Math"/>
          </w:rPr>
          <m:t>3</m:t>
        </m:r>
        <m:r>
          <w:rPr>
            <w:rFonts w:ascii="Cambria Math" w:hAnsi="Cambria Math"/>
          </w:rPr>
          <m:t xml:space="preserve"> </m:t>
        </m:r>
        <m:r>
          <w:rPr>
            <w:rFonts w:ascii="Cambria Math" w:hAnsi="Cambria Math"/>
          </w:rPr>
          <m:t>6</m:t>
        </m:r>
        <m:r>
          <w:rPr>
            <w:rFonts w:ascii="Cambria Math" w:hAnsi="Cambria Math"/>
          </w:rPr>
          <m:t>0</m:t>
        </m:r>
        <m:r>
          <w:rPr>
            <w:rFonts w:ascii="Cambria Math" w:hAnsi="Cambria Math"/>
          </w:rPr>
          <m:t>0</m:t>
        </m:r>
      </m:oMath>
      <w:r>
        <w:rPr>
          <w:b/>
        </w:rPr>
        <w:t xml:space="preserve"> s, geregelter Fall:</w:t>
      </w:r>
    </w:p>
    <w:p>
      <w:pPr>
        <w:pStyle w:val="Formelblock"/>
      </w:pPr>
      <m:oMathPara xmlns:m="http://schemas.openxmlformats.org/officeDocument/2006/math">
        <m:oMathParaPr>
          <m:jc m:val="center"/>
        </m:oMathParaPr>
        <m:oMath>
          <m:r>
            <w:rPr>
              <w:rFonts w:ascii="Cambria Math" w:hAnsi="Cambria Math"/>
            </w:rPr>
            <m:t>Φ</m:t>
          </m:r>
          <m:r>
            <w:rPr>
              <w:rFonts w:ascii="Cambria Math" w:hAnsi="Cambria Math"/>
            </w:rPr>
            <m:t>=</m:t>
          </m:r>
          <m:d>
            <m:dPr>
              <m:begChr m:val="("/>
              <m:endChr m:val=")"/>
              <m:grow m:val="1"/>
            </m:dPr>
            <m:e>
              <m:m>
                <m:mPr>
                  <m:mcs>
                    <m:mc>
                      <m:mcPr>
                        <m:count m:val="2"/>
                        <m:mcJc m:val="center"/>
                      </m:mcPr>
                    </m:mc>
                  </m:mcs>
                </m:mPr>
                <m:mr>
                  <m:e>
                    <m:r>
                      <w:rPr>
                        <w:rFonts w:ascii="Cambria Math" w:hAnsi="Cambria Math"/>
                      </w:rPr>
                      <m:t>0</m:t>
                    </m:r>
                    <m:r>
                      <w:rPr>
                        <w:rFonts w:ascii="Cambria Math" w:hAnsi="Cambria Math"/>
                      </w:rPr>
                      <m:t>,</m:t>
                    </m:r>
                    <m:r>
                      <w:rPr>
                        <w:rFonts w:ascii="Cambria Math" w:hAnsi="Cambria Math"/>
                      </w:rPr>
                      <m:t>3</m:t>
                    </m:r>
                    <m:r>
                      <w:rPr>
                        <w:rFonts w:ascii="Cambria Math" w:hAnsi="Cambria Math"/>
                      </w:rPr>
                      <m:t>9</m:t>
                    </m:r>
                    <m:r>
                      <w:rPr>
                        <w:rFonts w:ascii="Cambria Math" w:hAnsi="Cambria Math"/>
                      </w:rPr>
                      <m:t>6</m:t>
                    </m:r>
                    <m:r>
                      <w:rPr>
                        <w:rFonts w:ascii="Cambria Math" w:hAnsi="Cambria Math"/>
                      </w:rPr>
                      <m:t>8</m:t>
                    </m:r>
                    <m:r>
                      <w:rPr>
                        <w:rFonts w:ascii="Cambria Math" w:hAnsi="Cambria Math"/>
                      </w:rPr>
                      <m:t>6</m:t>
                    </m:r>
                    <m:r>
                      <w:rPr>
                        <w:rFonts w:ascii="Cambria Math" w:hAnsi="Cambria Math"/>
                      </w:rPr>
                      <m:t>7</m:t>
                    </m:r>
                    <m:r>
                      <w:rPr>
                        <w:rFonts w:ascii="Cambria Math" w:hAnsi="Cambria Math"/>
                      </w:rPr>
                      <m:t>6</m:t>
                    </m:r>
                    <m:r>
                      <w:rPr>
                        <w:rFonts w:ascii="Cambria Math" w:hAnsi="Cambria Math"/>
                      </w:rPr>
                      <m:t>6</m:t>
                    </m:r>
                  </m:e>
                  <m:e>
                    <m:r>
                      <w:rPr>
                        <w:rFonts w:ascii="Cambria Math" w:hAnsi="Cambria Math"/>
                      </w:rPr>
                      <m:t>0</m:t>
                    </m:r>
                    <m:r>
                      <w:rPr>
                        <w:rFonts w:ascii="Cambria Math" w:hAnsi="Cambria Math"/>
                      </w:rPr>
                      <m:t>,</m:t>
                    </m:r>
                    <m:r>
                      <w:rPr>
                        <w:rFonts w:ascii="Cambria Math" w:hAnsi="Cambria Math"/>
                      </w:rPr>
                      <m:t>1</m:t>
                    </m:r>
                    <m:r>
                      <w:rPr>
                        <w:rFonts w:ascii="Cambria Math" w:hAnsi="Cambria Math"/>
                      </w:rPr>
                      <m:t>4</m:t>
                    </m:r>
                    <m:r>
                      <w:rPr>
                        <w:rFonts w:ascii="Cambria Math" w:hAnsi="Cambria Math"/>
                      </w:rPr>
                      <m:t>6</m:t>
                    </m:r>
                    <m:r>
                      <w:rPr>
                        <w:rFonts w:ascii="Cambria Math" w:hAnsi="Cambria Math"/>
                      </w:rPr>
                      <m:t>9</m:t>
                    </m:r>
                    <m:r>
                      <w:rPr>
                        <w:rFonts w:ascii="Cambria Math" w:hAnsi="Cambria Math"/>
                      </w:rPr>
                      <m:t>9</m:t>
                    </m:r>
                    <m:r>
                      <w:rPr>
                        <w:rFonts w:ascii="Cambria Math" w:hAnsi="Cambria Math"/>
                      </w:rPr>
                      <m:t>7</m:t>
                    </m:r>
                    <m:r>
                      <w:rPr>
                        <w:rFonts w:ascii="Cambria Math" w:hAnsi="Cambria Math"/>
                      </w:rPr>
                      <m:t>3</m:t>
                    </m:r>
                    <m:r>
                      <w:rPr>
                        <w:rFonts w:ascii="Cambria Math" w:hAnsi="Cambria Math"/>
                      </w:rPr>
                      <m:t>6</m:t>
                    </m:r>
                  </m:e>
                </m:mr>
                <m:mr>
                  <m:e>
                    <m:r>
                      <w:rPr>
                        <w:rFonts w:ascii="Cambria Math" w:hAnsi="Cambria Math"/>
                      </w:rPr>
                      <m:t>0</m:t>
                    </m:r>
                    <m:r>
                      <w:rPr>
                        <w:rFonts w:ascii="Cambria Math" w:hAnsi="Cambria Math"/>
                      </w:rPr>
                      <m:t>,</m:t>
                    </m:r>
                    <m:r>
                      <w:rPr>
                        <w:rFonts w:ascii="Cambria Math" w:hAnsi="Cambria Math"/>
                      </w:rPr>
                      <m:t>0</m:t>
                    </m:r>
                    <m:r>
                      <w:rPr>
                        <w:rFonts w:ascii="Cambria Math" w:hAnsi="Cambria Math"/>
                      </w:rPr>
                      <m:t>6</m:t>
                    </m:r>
                    <m:r>
                      <w:rPr>
                        <w:rFonts w:ascii="Cambria Math" w:hAnsi="Cambria Math"/>
                      </w:rPr>
                      <m:t>2</m:t>
                    </m:r>
                    <m:r>
                      <w:rPr>
                        <w:rFonts w:ascii="Cambria Math" w:hAnsi="Cambria Math"/>
                      </w:rPr>
                      <m:t>9</m:t>
                    </m:r>
                    <m:r>
                      <w:rPr>
                        <w:rFonts w:ascii="Cambria Math" w:hAnsi="Cambria Math"/>
                      </w:rPr>
                      <m:t>9</m:t>
                    </m:r>
                    <m:r>
                      <w:rPr>
                        <w:rFonts w:ascii="Cambria Math" w:hAnsi="Cambria Math"/>
                      </w:rPr>
                      <m:t>8</m:t>
                    </m:r>
                    <m:r>
                      <w:rPr>
                        <w:rFonts w:ascii="Cambria Math" w:hAnsi="Cambria Math"/>
                      </w:rPr>
                      <m:t>8</m:t>
                    </m:r>
                    <m:r>
                      <w:rPr>
                        <w:rFonts w:ascii="Cambria Math" w:hAnsi="Cambria Math"/>
                      </w:rPr>
                      <m:t>7</m:t>
                    </m:r>
                  </m:e>
                  <m:e>
                    <m:r>
                      <w:rPr>
                        <w:rFonts w:ascii="Cambria Math" w:hAnsi="Cambria Math"/>
                      </w:rPr>
                      <m:t>0</m:t>
                    </m:r>
                    <m:r>
                      <w:rPr>
                        <w:rFonts w:ascii="Cambria Math" w:hAnsi="Cambria Math"/>
                      </w:rPr>
                      <m:t>,</m:t>
                    </m:r>
                    <m:r>
                      <w:rPr>
                        <w:rFonts w:ascii="Cambria Math" w:hAnsi="Cambria Math"/>
                      </w:rPr>
                      <m:t>7</m:t>
                    </m:r>
                    <m:r>
                      <w:rPr>
                        <w:rFonts w:ascii="Cambria Math" w:hAnsi="Cambria Math"/>
                      </w:rPr>
                      <m:t>7</m:t>
                    </m:r>
                    <m:r>
                      <w:rPr>
                        <w:rFonts w:ascii="Cambria Math" w:hAnsi="Cambria Math"/>
                      </w:rPr>
                      <m:t>9</m:t>
                    </m:r>
                    <m:r>
                      <w:rPr>
                        <w:rFonts w:ascii="Cambria Math" w:hAnsi="Cambria Math"/>
                      </w:rPr>
                      <m:t>4</m:t>
                    </m:r>
                    <m:r>
                      <w:rPr>
                        <w:rFonts w:ascii="Cambria Math" w:hAnsi="Cambria Math"/>
                      </w:rPr>
                      <m:t>4</m:t>
                    </m:r>
                    <m:r>
                      <w:rPr>
                        <w:rFonts w:ascii="Cambria Math" w:hAnsi="Cambria Math"/>
                      </w:rPr>
                      <m:t>7</m:t>
                    </m:r>
                    <m:r>
                      <w:rPr>
                        <w:rFonts w:ascii="Cambria Math" w:hAnsi="Cambria Math"/>
                      </w:rPr>
                      <m:t>0</m:t>
                    </m:r>
                    <m:r>
                      <w:rPr>
                        <w:rFonts w:ascii="Cambria Math" w:hAnsi="Cambria Math"/>
                      </w:rPr>
                      <m:t>2</m:t>
                    </m:r>
                  </m:e>
                </m:mr>
              </m:m>
            </m:e>
          </m:d>
          <m:r>
            <w:rPr>
              <w:rFonts w:ascii="Cambria Math" w:hAnsi="Cambria Math"/>
            </w:rPr>
            <m:t xml:space="preserve"> </m:t>
          </m:r>
          <m:r>
            <w:rPr>
              <w:rFonts w:ascii="Cambria Math" w:hAnsi="Cambria Math"/>
            </w:rPr>
            <m:t>[</m:t>
          </m:r>
          <m:r>
            <w:rPr>
              <w:rFonts w:ascii="Cambria Math" w:hAnsi="Cambria Math"/>
            </w:rPr>
            <m:t>-</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Γ</m:t>
          </m:r>
          <m:r>
            <w:rPr>
              <w:rFonts w:ascii="Cambria Math" w:hAnsi="Cambria Math"/>
            </w:rPr>
            <m:t>=</m:t>
          </m:r>
          <m:d>
            <m:dPr>
              <m:begChr m:val="("/>
              <m:endChr m:val=")"/>
              <m:grow m:val="1"/>
            </m:dPr>
            <m:e>
              <m:m>
                <m:mPr>
                  <m:mcs>
                    <m:mc>
                      <m:mcPr>
                        <m:count m:val="2"/>
                        <m:mcJc m:val="center"/>
                      </m:mcPr>
                    </m:mc>
                  </m:mcs>
                </m:mPr>
                <m:mr>
                  <m:e>
                    <m:r>
                      <w:rPr>
                        <w:rFonts w:ascii="Cambria Math" w:hAnsi="Cambria Math"/>
                      </w:rPr>
                      <m:t>2</m:t>
                    </m:r>
                    <m:r>
                      <w:rPr>
                        <w:rFonts w:ascii="Cambria Math" w:hAnsi="Cambria Math"/>
                      </w:rPr>
                      <m:t xml:space="preserve"> </m:t>
                    </m:r>
                    <m:r>
                      <w:rPr>
                        <w:rFonts w:ascii="Cambria Math" w:hAnsi="Cambria Math"/>
                      </w:rPr>
                      <m:t>3</m:t>
                    </m:r>
                    <m:r>
                      <w:rPr>
                        <w:rFonts w:ascii="Cambria Math" w:hAnsi="Cambria Math"/>
                      </w:rPr>
                      <m:t>4</m:t>
                    </m:r>
                    <m:r>
                      <w:rPr>
                        <w:rFonts w:ascii="Cambria Math" w:hAnsi="Cambria Math"/>
                      </w:rPr>
                      <m:t>1</m:t>
                    </m:r>
                    <m:r>
                      <w:rPr>
                        <w:rFonts w:ascii="Cambria Math" w:hAnsi="Cambria Math"/>
                      </w:rPr>
                      <m:t>,</m:t>
                    </m:r>
                    <m:r>
                      <w:rPr>
                        <w:rFonts w:ascii="Cambria Math" w:hAnsi="Cambria Math"/>
                      </w:rPr>
                      <m:t>5</m:t>
                    </m:r>
                    <m:r>
                      <w:rPr>
                        <w:rFonts w:ascii="Cambria Math" w:hAnsi="Cambria Math"/>
                      </w:rPr>
                      <m:t>9</m:t>
                    </m:r>
                    <m:r>
                      <w:rPr>
                        <w:rFonts w:ascii="Cambria Math" w:hAnsi="Cambria Math"/>
                      </w:rPr>
                      <m:t>0</m:t>
                    </m:r>
                  </m:e>
                  <m:e>
                    <m:r>
                      <w:rPr>
                        <w:rFonts w:ascii="Cambria Math" w:hAnsi="Cambria Math"/>
                      </w:rPr>
                      <m:t>3</m:t>
                    </m:r>
                    <m:r>
                      <w:rPr>
                        <w:rFonts w:ascii="Cambria Math" w:hAnsi="Cambria Math"/>
                      </w:rPr>
                      <m:t>2</m:t>
                    </m:r>
                    <m:r>
                      <w:rPr>
                        <w:rFonts w:ascii="Cambria Math" w:hAnsi="Cambria Math"/>
                      </w:rPr>
                      <m:t>2</m:t>
                    </m:r>
                    <m:r>
                      <w:rPr>
                        <w:rFonts w:ascii="Cambria Math" w:hAnsi="Cambria Math"/>
                      </w:rPr>
                      <m:t>,</m:t>
                    </m:r>
                    <m:r>
                      <w:rPr>
                        <w:rFonts w:ascii="Cambria Math" w:hAnsi="Cambria Math"/>
                      </w:rPr>
                      <m:t>5</m:t>
                    </m:r>
                    <m:r>
                      <w:rPr>
                        <w:rFonts w:ascii="Cambria Math" w:hAnsi="Cambria Math"/>
                      </w:rPr>
                      <m:t>0</m:t>
                    </m:r>
                    <m:r>
                      <w:rPr>
                        <w:rFonts w:ascii="Cambria Math" w:hAnsi="Cambria Math"/>
                      </w:rPr>
                      <m:t>5</m:t>
                    </m:r>
                  </m:e>
                </m:mr>
                <m:mr>
                  <m:e>
                    <m:r>
                      <w:rPr>
                        <w:rFonts w:ascii="Cambria Math" w:hAnsi="Cambria Math"/>
                      </w:rPr>
                      <m:t>1</m:t>
                    </m:r>
                    <m:r>
                      <w:rPr>
                        <w:rFonts w:ascii="Cambria Math" w:hAnsi="Cambria Math"/>
                      </w:rPr>
                      <m:t>3</m:t>
                    </m:r>
                    <m:r>
                      <w:rPr>
                        <w:rFonts w:ascii="Cambria Math" w:hAnsi="Cambria Math"/>
                      </w:rPr>
                      <m:t>8</m:t>
                    </m:r>
                    <m:r>
                      <w:rPr>
                        <w:rFonts w:ascii="Cambria Math" w:hAnsi="Cambria Math"/>
                      </w:rPr>
                      <m:t>,</m:t>
                    </m:r>
                    <m:r>
                      <w:rPr>
                        <w:rFonts w:ascii="Cambria Math" w:hAnsi="Cambria Math"/>
                      </w:rPr>
                      <m:t>2</m:t>
                    </m:r>
                    <m:r>
                      <w:rPr>
                        <w:rFonts w:ascii="Cambria Math" w:hAnsi="Cambria Math"/>
                      </w:rPr>
                      <m:t>1</m:t>
                    </m:r>
                    <m:r>
                      <w:rPr>
                        <w:rFonts w:ascii="Cambria Math" w:hAnsi="Cambria Math"/>
                      </w:rPr>
                      <m:t>7</m:t>
                    </m:r>
                  </m:e>
                  <m:e>
                    <m:r>
                      <w:rPr>
                        <w:rFonts w:ascii="Cambria Math" w:hAnsi="Cambria Math"/>
                      </w:rPr>
                      <m:t>3</m:t>
                    </m:r>
                    <m:r>
                      <w:rPr>
                        <w:rFonts w:ascii="Cambria Math" w:hAnsi="Cambria Math"/>
                      </w:rPr>
                      <m:t xml:space="preserve"> </m:t>
                    </m:r>
                    <m:r>
                      <w:rPr>
                        <w:rFonts w:ascii="Cambria Math" w:hAnsi="Cambria Math"/>
                      </w:rPr>
                      <m:t>1</m:t>
                    </m:r>
                    <m:r>
                      <w:rPr>
                        <w:rFonts w:ascii="Cambria Math" w:hAnsi="Cambria Math"/>
                      </w:rPr>
                      <m:t>8</m:t>
                    </m:r>
                    <m:r>
                      <w:rPr>
                        <w:rFonts w:ascii="Cambria Math" w:hAnsi="Cambria Math"/>
                      </w:rPr>
                      <m:t>0</m:t>
                    </m:r>
                    <m:r>
                      <w:rPr>
                        <w:rFonts w:ascii="Cambria Math" w:hAnsi="Cambria Math"/>
                      </w:rPr>
                      <m:t>,</m:t>
                    </m:r>
                    <m:r>
                      <w:rPr>
                        <w:rFonts w:ascii="Cambria Math" w:hAnsi="Cambria Math"/>
                      </w:rPr>
                      <m:t>9</m:t>
                    </m:r>
                    <m:r>
                      <w:rPr>
                        <w:rFonts w:ascii="Cambria Math" w:hAnsi="Cambria Math"/>
                      </w:rPr>
                      <m:t>5</m:t>
                    </m:r>
                    <m:r>
                      <w:rPr>
                        <w:rFonts w:ascii="Cambria Math" w:hAnsi="Cambria Math"/>
                      </w:rPr>
                      <m:t>1</m:t>
                    </m:r>
                  </m:e>
                </m:mr>
              </m:m>
            </m:e>
          </m:d>
          <m:r>
            <w:rPr>
              <w:rFonts w:ascii="Cambria Math" w:hAnsi="Cambria Math"/>
            </w:rPr>
            <m:t xml:space="preserve"> </m:t>
          </m:r>
          <m:r>
            <w:rPr>
              <w:rFonts w:ascii="Cambria Math" w:hAnsi="Cambria Math"/>
            </w:rPr>
            <m:t>[</m:t>
          </m:r>
          <m:r>
            <m:rPr>
              <m:sty m:val="p"/>
            </m:rPr>
            <w:rPr>
              <w:rFonts w:ascii="Cambria Math" w:hAnsi="Cambria Math"/>
            </w:rPr>
            <m:t>s</m:t>
          </m:r>
          <m:r>
            <w:rPr>
              <w:rFonts w:ascii="Cambria Math" w:hAnsi="Cambria Math"/>
            </w:rPr>
            <m:t>]</m:t>
          </m:r>
        </m:oMath>
      </m:oMathPara>
    </w:p>
    <w:p>
      <w:pPr>
        <w:pStyle w:val="Formelblock"/>
      </w:pPr>
      <m:oMathPara xmlns:m="http://schemas.openxmlformats.org/officeDocument/2006/math">
        <m:oMathParaPr>
          <m:jc m:val="center"/>
        </m:oMathParaPr>
        <m:oMath>
          <m:r>
            <w:rPr>
              <w:rFonts w:ascii="Cambria Math" w:hAnsi="Cambria Math"/>
            </w:rPr>
            <m:t>Ψ</m:t>
          </m:r>
          <m:r>
            <w:rPr>
              <w:rFonts w:ascii="Cambria Math" w:hAnsi="Cambria Math"/>
            </w:rPr>
            <m:t>=</m:t>
          </m:r>
          <m:d>
            <m:dPr>
              <m:begChr m:val="("/>
              <m:endChr m:val=")"/>
              <m:grow m:val="1"/>
            </m:dPr>
            <m:e>
              <m:m>
                <m:mPr>
                  <m:mcs>
                    <m:mc>
                      <m:mcPr>
                        <m:count m:val="2"/>
                        <m:mcJc m:val="center"/>
                      </m:mcPr>
                    </m:mc>
                  </m:mcs>
                </m:mPr>
                <m:mr>
                  <m:e>
                    <m:r>
                      <w:rPr>
                        <w:rFonts w:ascii="Cambria Math" w:hAnsi="Cambria Math"/>
                      </w:rPr>
                      <m:t>4</m:t>
                    </m:r>
                    <m:r>
                      <w:rPr>
                        <w:rFonts w:ascii="Cambria Math" w:hAnsi="Cambria Math"/>
                      </w:rPr>
                      <m:t xml:space="preserve"> </m:t>
                    </m:r>
                    <m:r>
                      <w:rPr>
                        <w:rFonts w:ascii="Cambria Math" w:hAnsi="Cambria Math"/>
                      </w:rPr>
                      <m:t>8</m:t>
                    </m:r>
                    <m:r>
                      <w:rPr>
                        <w:rFonts w:ascii="Cambria Math" w:hAnsi="Cambria Math"/>
                      </w:rPr>
                      <m:t>5</m:t>
                    </m:r>
                    <m:r>
                      <w:rPr>
                        <w:rFonts w:ascii="Cambria Math" w:hAnsi="Cambria Math"/>
                      </w:rPr>
                      <m:t>6</m:t>
                    </m:r>
                    <m:r>
                      <w:rPr>
                        <w:rFonts w:ascii="Cambria Math" w:hAnsi="Cambria Math"/>
                      </w:rPr>
                      <m:t xml:space="preserve"> </m:t>
                    </m:r>
                    <m:r>
                      <w:rPr>
                        <w:rFonts w:ascii="Cambria Math" w:hAnsi="Cambria Math"/>
                      </w:rPr>
                      <m:t>1</m:t>
                    </m:r>
                    <m:r>
                      <w:rPr>
                        <w:rFonts w:ascii="Cambria Math" w:hAnsi="Cambria Math"/>
                      </w:rPr>
                      <m:t>5</m:t>
                    </m:r>
                    <m:r>
                      <w:rPr>
                        <w:rFonts w:ascii="Cambria Math" w:hAnsi="Cambria Math"/>
                      </w:rPr>
                      <m:t>1</m:t>
                    </m:r>
                  </m:e>
                  <m:e>
                    <m:r>
                      <w:rPr>
                        <w:rFonts w:ascii="Cambria Math" w:hAnsi="Cambria Math"/>
                      </w:rPr>
                      <m:t>4</m:t>
                    </m:r>
                    <m:r>
                      <w:rPr>
                        <w:rFonts w:ascii="Cambria Math" w:hAnsi="Cambria Math"/>
                      </w:rPr>
                      <m:t>2</m:t>
                    </m:r>
                    <m:r>
                      <w:rPr>
                        <w:rFonts w:ascii="Cambria Math" w:hAnsi="Cambria Math"/>
                      </w:rPr>
                      <m:t>5</m:t>
                    </m:r>
                    <m:r>
                      <w:rPr>
                        <w:rFonts w:ascii="Cambria Math" w:hAnsi="Cambria Math"/>
                      </w:rPr>
                      <m:t xml:space="preserve"> </m:t>
                    </m:r>
                    <m:r>
                      <w:rPr>
                        <w:rFonts w:ascii="Cambria Math" w:hAnsi="Cambria Math"/>
                      </w:rPr>
                      <m:t>3</m:t>
                    </m:r>
                    <m:r>
                      <w:rPr>
                        <w:rFonts w:ascii="Cambria Math" w:hAnsi="Cambria Math"/>
                      </w:rPr>
                      <m:t>4</m:t>
                    </m:r>
                    <m:r>
                      <w:rPr>
                        <w:rFonts w:ascii="Cambria Math" w:hAnsi="Cambria Math"/>
                      </w:rPr>
                      <m:t>9</m:t>
                    </m:r>
                  </m:e>
                </m:mr>
                <m:mr>
                  <m:e>
                    <m:r>
                      <w:rPr>
                        <w:rFonts w:ascii="Cambria Math" w:hAnsi="Cambria Math"/>
                      </w:rPr>
                      <m:t>1</m:t>
                    </m:r>
                    <m:r>
                      <w:rPr>
                        <w:rFonts w:ascii="Cambria Math" w:hAnsi="Cambria Math"/>
                      </w:rPr>
                      <m:t>8</m:t>
                    </m:r>
                    <m:r>
                      <w:rPr>
                        <w:rFonts w:ascii="Cambria Math" w:hAnsi="Cambria Math"/>
                      </w:rPr>
                      <m:t>2</m:t>
                    </m:r>
                    <m:r>
                      <w:rPr>
                        <w:rFonts w:ascii="Cambria Math" w:hAnsi="Cambria Math"/>
                      </w:rPr>
                      <m:t xml:space="preserve"> </m:t>
                    </m:r>
                    <m:r>
                      <w:rPr>
                        <w:rFonts w:ascii="Cambria Math" w:hAnsi="Cambria Math"/>
                      </w:rPr>
                      <m:t>2</m:t>
                    </m:r>
                    <m:r>
                      <w:rPr>
                        <w:rFonts w:ascii="Cambria Math" w:hAnsi="Cambria Math"/>
                      </w:rPr>
                      <m:t>9</m:t>
                    </m:r>
                    <m:r>
                      <w:rPr>
                        <w:rFonts w:ascii="Cambria Math" w:hAnsi="Cambria Math"/>
                      </w:rPr>
                      <m:t>3</m:t>
                    </m:r>
                  </m:e>
                  <m:e>
                    <m:r>
                      <w:rPr>
                        <w:rFonts w:ascii="Cambria Math" w:hAnsi="Cambria Math"/>
                      </w:rPr>
                      <m:t>5</m:t>
                    </m:r>
                    <m:r>
                      <w:rPr>
                        <w:rFonts w:ascii="Cambria Math" w:hAnsi="Cambria Math"/>
                      </w:rPr>
                      <m:t xml:space="preserve"> </m:t>
                    </m:r>
                    <m:r>
                      <w:rPr>
                        <w:rFonts w:ascii="Cambria Math" w:hAnsi="Cambria Math"/>
                      </w:rPr>
                      <m:t>9</m:t>
                    </m:r>
                    <m:r>
                      <w:rPr>
                        <w:rFonts w:ascii="Cambria Math" w:hAnsi="Cambria Math"/>
                      </w:rPr>
                      <m:t>6</m:t>
                    </m:r>
                    <m:r>
                      <w:rPr>
                        <w:rFonts w:ascii="Cambria Math" w:hAnsi="Cambria Math"/>
                      </w:rPr>
                      <m:t>3</m:t>
                    </m:r>
                    <m:r>
                      <w:rPr>
                        <w:rFonts w:ascii="Cambria Math" w:hAnsi="Cambria Math"/>
                      </w:rPr>
                      <m:t xml:space="preserve"> </m:t>
                    </m:r>
                    <m:r>
                      <w:rPr>
                        <w:rFonts w:ascii="Cambria Math" w:hAnsi="Cambria Math"/>
                      </w:rPr>
                      <m:t>1</m:t>
                    </m:r>
                    <m:r>
                      <w:rPr>
                        <w:rFonts w:ascii="Cambria Math" w:hAnsi="Cambria Math"/>
                      </w:rPr>
                      <m:t>7</m:t>
                    </m:r>
                    <m:r>
                      <w:rPr>
                        <w:rFonts w:ascii="Cambria Math" w:hAnsi="Cambria Math"/>
                      </w:rPr>
                      <m:t>7</m:t>
                    </m:r>
                  </m:e>
                </m:mr>
              </m:m>
            </m:e>
          </m:d>
          <m:r>
            <w:rPr>
              <w:rFonts w:ascii="Cambria Math" w:hAnsi="Cambria Math"/>
            </w:rPr>
            <m:t xml:space="preserve"> </m:t>
          </m:r>
          <m:r>
            <w:rPr>
              <w:rFonts w:ascii="Cambria Math" w:hAnsi="Cambria Math"/>
            </w:rPr>
            <m:t>[</m:t>
          </m:r>
          <m:sSup>
            <m:e>
              <m:r>
                <m:rPr>
                  <m:sty m:val="p"/>
                </m:rPr>
                <w:rPr>
                  <w:rFonts w:ascii="Cambria Math" w:hAnsi="Cambria Math"/>
                </w:rPr>
                <m:t>s</m:t>
              </m:r>
            </m:e>
            <m:sup>
              <m:r>
                <w:rPr>
                  <w:rFonts w:ascii="Cambria Math" w:hAnsi="Cambria Math"/>
                </w:rPr>
                <m:t>2</m:t>
              </m:r>
            </m:sup>
          </m:sSup>
          <m:r>
            <w:rPr>
              <w:rFonts w:ascii="Cambria Math" w:hAnsi="Cambria Math"/>
            </w:rPr>
            <m:t>]</m:t>
          </m:r>
        </m:oMath>
      </m:oMathPara>
    </w:p>
    <w:p>
      <w:r>
        <w:t xml:space="preserve">Gegenprobe ohne Sylvester-Formel: </w:t>
      </w:r>
      <m:oMath xmlns:m="http://schemas.openxmlformats.org/officeDocument/2006/math">
        <m:r>
          <w:rPr>
            <w:rFonts w:ascii="Cambria Math" w:hAnsi="Cambria Math"/>
          </w:rPr>
          <m:t>Γ</m:t>
        </m:r>
        <m:r>
          <w:rPr>
            <w:rFonts w:ascii="Cambria Math" w:hAnsi="Cambria Math"/>
          </w:rPr>
          <m:t>=</m:t>
        </m:r>
        <m:sSup>
          <m:e>
            <m:r>
              <m:rPr>
                <m:sty m:val="b"/>
              </m:rPr>
              <w:rPr>
                <w:rFonts w:ascii="Cambria Math" w:hAnsi="Cambria Math"/>
              </w:rPr>
              <m:t>A</m:t>
            </m:r>
          </m:e>
          <m:sup>
            <m:r>
              <w:rPr>
                <w:rFonts w:ascii="Cambria Math" w:hAnsi="Cambria Math"/>
              </w:rPr>
              <m:t>-</m:t>
            </m:r>
            <m:r>
              <w:rPr>
                <w:rFonts w:ascii="Cambria Math" w:hAnsi="Cambria Math"/>
              </w:rPr>
              <m:t>1</m:t>
            </m:r>
          </m:sup>
        </m:sSup>
        <m:r>
          <w:rPr>
            <w:rFonts w:ascii="Cambria Math" w:hAnsi="Cambria Math"/>
          </w:rPr>
          <m:t>⋅</m:t>
        </m:r>
        <m:r>
          <w:rPr>
            <w:rFonts w:ascii="Cambria Math" w:hAnsi="Cambria Math"/>
          </w:rPr>
          <m:t>(</m:t>
        </m:r>
        <m:r>
          <w:rPr>
            <w:rFonts w:ascii="Cambria Math" w:hAnsi="Cambria Math"/>
          </w:rPr>
          <m:t>Φ</m:t>
        </m:r>
        <m:r>
          <w:rPr>
            <w:rFonts w:ascii="Cambria Math" w:hAnsi="Cambria Math"/>
          </w:rPr>
          <m:t>-</m:t>
        </m:r>
        <m:r>
          <m:rPr>
            <m:sty m:val="b"/>
          </m:rPr>
          <w:rPr>
            <w:rFonts w:ascii="Cambria Math" w:hAnsi="Cambria Math"/>
          </w:rPr>
          <m:t>I</m:t>
        </m:r>
        <m:r>
          <w:rPr>
            <w:rFonts w:ascii="Cambria Math" w:hAnsi="Cambria Math"/>
          </w:rPr>
          <m:t>)</m:t>
        </m:r>
      </m:oMath>
      <w:r>
        <w:t xml:space="preserve"> ergibt dieselben vier Zahlen.</w:t>
      </w:r>
    </w:p>
    <w:p>
      <w:r>
        <w:rPr>
          <w:b/>
        </w:rPr>
        <w:t xml:space="preserve">Eine Beispielstunde — die Jahresspitze.</w:t>
      </w:r>
      <w:r>
        <w:t xml:space="preserve"> Stunde 1 399 in der Reihenfolge des Prüfmodus, die erste Stunde nach Ende der Nachtabsenkung am kältesten Tag: </w:t>
      </w:r>
      <m:oMath xmlns:m="http://schemas.openxmlformats.org/officeDocument/2006/math">
        <m:sSub>
          <m:e>
            <m:r>
              <w:rPr>
                <w:rFonts w:ascii="Cambria Math" w:hAnsi="Cambria Math"/>
              </w:rPr>
              <m:t>θ</m:t>
            </m:r>
          </m:e>
          <m:sub>
            <m:r>
              <m:rPr>
                <m:sty m:val="p"/>
              </m:rPr>
              <w:rPr>
                <w:rFonts w:ascii="Cambria Math" w:hAnsi="Cambria Math"/>
              </w:rPr>
              <m:t>out</m:t>
            </m:r>
          </m:sub>
        </m:sSub>
        <m:r>
          <w:rPr>
            <w:rFonts w:ascii="Cambria Math" w:hAnsi="Cambria Math"/>
          </w:rPr>
          <m:t>=</m:t>
        </m:r>
        <m:r>
          <w:rPr>
            <w:rFonts w:ascii="Cambria Math" w:hAnsi="Cambria Math"/>
          </w:rPr>
          <m:t>-</m:t>
        </m:r>
        <m:r>
          <w:rPr>
            <w:rFonts w:ascii="Cambria Math" w:hAnsi="Cambria Math"/>
          </w:rPr>
          <m:t>1</m:t>
        </m:r>
        <m:r>
          <w:rPr>
            <w:rFonts w:ascii="Cambria Math" w:hAnsi="Cambria Math"/>
          </w:rPr>
          <m:t>7</m:t>
        </m:r>
        <m:r>
          <w:rPr>
            <w:rFonts w:ascii="Cambria Math" w:hAnsi="Cambria Math"/>
          </w:rPr>
          <m:t>,</m:t>
        </m:r>
        <m:r>
          <w:rPr>
            <w:rFonts w:ascii="Cambria Math" w:hAnsi="Cambria Math"/>
          </w:rPr>
          <m:t>5</m:t>
        </m:r>
        <m:r>
          <w:rPr>
            <w:rFonts w:ascii="Cambria Math" w:hAnsi="Cambria Math"/>
          </w:rPr>
          <m:t>5</m:t>
        </m:r>
      </m:oMath>
      <w:r>
        <w:t xml:space="preserve"> °C, Jahresmittel 9,875 °C, Amplitude der ersten Harmonischen 9,315 K, Dämpfung 0,6847, Phasenverzug 22,00 d, </w:t>
      </w:r>
      <m:oMath xmlns:m="http://schemas.openxmlformats.org/officeDocument/2006/math">
        <m:sSub>
          <m:e>
            <m:r>
              <w:rPr>
                <w:rFonts w:ascii="Cambria Math" w:hAnsi="Cambria Math"/>
              </w:rPr>
              <m:t>θ</m:t>
            </m:r>
          </m:e>
          <m:sub>
            <m:r>
              <m:rPr>
                <m:sty m:val="p"/>
              </m:rPr>
              <w:rPr>
                <w:rFonts w:ascii="Cambria Math" w:hAnsi="Cambria Math"/>
              </w:rPr>
              <m:t>grund</m:t>
            </m:r>
          </m:sub>
        </m:sSub>
        <m:r>
          <w:rPr>
            <w:rFonts w:ascii="Cambria Math" w:hAnsi="Cambria Math"/>
          </w:rPr>
          <m:t>=</m:t>
        </m:r>
        <m:r>
          <w:rPr>
            <w:rFonts w:ascii="Cambria Math" w:hAnsi="Cambria Math"/>
          </w:rPr>
          <m:t>3</m:t>
        </m:r>
        <m:r>
          <w:rPr>
            <w:rFonts w:ascii="Cambria Math" w:hAnsi="Cambria Math"/>
          </w:rPr>
          <m:t>,</m:t>
        </m:r>
        <m:r>
          <w:rPr>
            <w:rFonts w:ascii="Cambria Math" w:hAnsi="Cambria Math"/>
          </w:rPr>
          <m:t>8</m:t>
        </m:r>
        <m:r>
          <w:rPr>
            <w:rFonts w:ascii="Cambria Math" w:hAnsi="Cambria Math"/>
          </w:rPr>
          <m:t>3</m:t>
        </m:r>
        <m:r>
          <w:rPr>
            <w:rFonts w:ascii="Cambria Math" w:hAnsi="Cambria Math"/>
          </w:rPr>
          <m:t>5</m:t>
        </m:r>
      </m:oMath>
      <w:r>
        <w:t xml:space="preserve"> °C, daraus </w:t>
      </w:r>
      <m:oMath xmlns:m="http://schemas.openxmlformats.org/officeDocument/2006/math">
        <m:sSub>
          <m:e>
            <m:r>
              <w:rPr>
                <w:rFonts w:ascii="Cambria Math" w:hAnsi="Cambria Math"/>
              </w:rPr>
              <m:t>θ</m:t>
            </m:r>
          </m:e>
          <m:sub>
            <m:r>
              <m:rPr>
                <m:sty m:val="p"/>
              </m:rPr>
              <w:rPr>
                <w:rFonts w:ascii="Cambria Math" w:hAnsi="Cambria Math"/>
              </w:rPr>
              <m:t>eq</m:t>
            </m:r>
          </m:sub>
        </m:sSub>
        <m:r>
          <w:rPr>
            <w:rFonts w:ascii="Cambria Math" w:hAnsi="Cambria Math"/>
          </w:rPr>
          <m:t>=</m:t>
        </m:r>
        <m:r>
          <w:rPr>
            <w:rFonts w:ascii="Cambria Math" w:hAnsi="Cambria Math"/>
          </w:rPr>
          <m:t>-</m:t>
        </m:r>
        <m:r>
          <w:rPr>
            <w:rFonts w:ascii="Cambria Math" w:hAnsi="Cambria Math"/>
          </w:rPr>
          <m:t>1</m:t>
        </m:r>
        <m:r>
          <w:rPr>
            <w:rFonts w:ascii="Cambria Math" w:hAnsi="Cambria Math"/>
          </w:rPr>
          <m:t>5</m:t>
        </m:r>
        <m:r>
          <w:rPr>
            <w:rFonts w:ascii="Cambria Math" w:hAnsi="Cambria Math"/>
          </w:rPr>
          <m:t>,</m:t>
        </m:r>
        <m:r>
          <w:rPr>
            <w:rFonts w:ascii="Cambria Math" w:hAnsi="Cambria Math"/>
          </w:rPr>
          <m:t>3</m:t>
        </m:r>
        <m:r>
          <w:rPr>
            <w:rFonts w:ascii="Cambria Math" w:hAnsi="Cambria Math"/>
          </w:rPr>
          <m:t>5</m:t>
        </m:r>
        <m:r>
          <w:rPr>
            <w:rFonts w:ascii="Cambria Math" w:hAnsi="Cambria Math"/>
          </w:rPr>
          <m:t>8</m:t>
        </m:r>
        <m:r>
          <w:rPr>
            <w:rFonts w:ascii="Cambria Math" w:hAnsi="Cambria Math"/>
          </w:rPr>
          <m:t>5</m:t>
        </m:r>
      </m:oMath>
      <w:r>
        <w:rPr>
          <w:b/>
        </w:rPr>
        <w:t xml:space="preserve"> °C</w:t>
      </w:r>
      <w:r>
        <w:t xml:space="preserve">; Solareintrag null vor Sonnenaufgang; innere Lasten 231,0 W konvektiv und 113,72 / 117,28 W auf die beiden Oberflächen; Sollwert 20,0 °C.</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Größe</w:t>
            </w:r>
          </w:p>
        </w:tc>
        <w:tc>
          <w:tcPr>
            <w:tcW w:w="0" w:type="auto"/>
            <w:shd w:val="clear" w:color="auto" w:fill="D9D9D9"/>
          </w:tcPr>
          <w:p>
            <w:pPr>
              <w:spacing w:after="0" w:line="240" w:lineRule="auto"/>
              <w:rPr>
                <w:b/>
              </w:rPr>
            </w:pPr>
            <w:r>
              <w:rPr>
                <w:b/>
              </w:rPr>
              <w:t xml:space="preserve">Wert</w:t>
            </w:r>
          </w:p>
        </w:tc>
        <w:tc>
          <w:tcPr>
            <w:tcW w:w="0" w:type="auto"/>
            <w:shd w:val="clear" w:color="auto" w:fill="D9D9D9"/>
          </w:tcPr>
          <w:p>
            <w:pPr>
              <w:spacing w:after="0" w:line="240" w:lineRule="auto"/>
              <w:rPr>
                <w:b/>
              </w:rPr>
            </w:pPr>
            <w:r>
              <w:rPr>
                <w:b/>
              </w:rPr>
              <w:t xml:space="preserve">Einheit</w:t>
            </w:r>
          </w:p>
        </w:tc>
      </w:tr>
      <w:tr>
        <w:tc>
          <w:tcPr>
            <w:tcW w:w="0" w:type="auto"/>
          </w:tcPr>
          <w:p>
            <w:pPr>
              <w:spacing w:after="0" w:line="240" w:lineRule="auto"/>
            </w:pPr>
            <w:r>
              <w:t xml:space="preserve">Zustand vor der Stunde</w:t>
            </w:r>
          </w:p>
        </w:tc>
        <w:tc>
          <w:tcPr>
            <w:tcW w:w="0" w:type="auto"/>
          </w:tcPr>
          <w:p>
            <w:pPr>
              <w:spacing w:after="0" w:line="240" w:lineRule="auto"/>
            </w:pPr>
            <w:r>
              <w:t xml:space="preserve">4,3303 / 12,8234</w:t>
            </w:r>
          </w:p>
        </w:tc>
        <w:tc>
          <w:tcPr>
            <w:tcW w:w="0" w:type="auto"/>
          </w:tcPr>
          <w:p>
            <w:pPr>
              <w:spacing w:after="0" w:line="240" w:lineRule="auto"/>
            </w:pPr>
            <w:r>
              <w:t xml:space="preserve">°C</w:t>
            </w:r>
          </w:p>
        </w:tc>
      </w:tr>
      <w:tr>
        <w:tc>
          <w:tcPr>
            <w:tcW w:w="0" w:type="auto"/>
          </w:tcPr>
          <w:p>
            <w:pPr>
              <w:spacing w:after="0" w:line="240" w:lineRule="auto"/>
            </w:pPr>
            <w:r>
              <w:t xml:space="preserve">Betriebsfall</w:t>
            </w:r>
          </w:p>
        </w:tc>
        <w:tc>
          <w:tcPr>
            <w:tcW w:w="0" w:type="auto"/>
          </w:tcPr>
          <w:p>
            <w:pPr>
              <w:spacing w:after="0" w:line="240" w:lineRule="auto"/>
            </w:pPr>
            <w:r>
              <w:t xml:space="preserve">geregelt, ein Abschnitt</w:t>
            </w:r>
          </w:p>
        </w:tc>
        <w:tc>
          <w:tcPr>
            <w:tcW w:w="0" w:type="auto"/>
          </w:tcPr>
          <w:p>
            <w:pPr>
              <w:spacing w:after="0" w:line="240" w:lineRule="auto"/>
            </w:pPr>
            <w:r>
              <w:t xml:space="preserve">—</w:t>
            </w:r>
          </w:p>
        </w:tc>
      </w:tr>
      <w:tr>
        <w:tc>
          <w:tcPr>
            <w:tcW w:w="0" w:type="auto"/>
          </w:tcPr>
          <w:p>
            <w:pPr>
              <w:spacing w:after="0" w:line="240" w:lineRule="auto"/>
            </w:pPr>
            <w:r>
              <w:rPr>
                <w:b/>
              </w:rPr>
              <w:t xml:space="preserve">Heizleistung, Blockmittel</w:t>
            </w:r>
          </w:p>
        </w:tc>
        <w:tc>
          <w:tcPr>
            <w:tcW w:w="0" w:type="auto"/>
          </w:tcPr>
          <w:p>
            <w:pPr>
              <w:spacing w:after="0" w:line="240" w:lineRule="auto"/>
            </w:pPr>
            <w:r>
              <w:rPr>
                <w:b/>
              </w:rPr>
              <w:t xml:space="preserve">36 440,60</w:t>
            </w:r>
            <w:r>
              <w:t xml:space="preserve"> (36,441 kW)</w:t>
            </w:r>
          </w:p>
        </w:tc>
        <w:tc>
          <w:tcPr>
            <w:tcW w:w="0" w:type="auto"/>
          </w:tcPr>
          <w:p>
            <w:pPr>
              <w:spacing w:after="0" w:line="240" w:lineRule="auto"/>
            </w:pPr>
            <w:r>
              <w:t xml:space="preserve">W</w:t>
            </w:r>
          </w:p>
        </w:tc>
      </w:tr>
      <w:tr>
        <w:tc>
          <w:tcPr>
            <w:tcW w:w="0" w:type="auto"/>
          </w:tcPr>
          <w:p>
            <w:pPr>
              <w:spacing w:after="0" w:line="240" w:lineRule="auto"/>
            </w:pPr>
            <w:r>
              <w:t xml:space="preserve">Raumlufttemperatur, Blockmittel</w:t>
            </w:r>
          </w:p>
        </w:tc>
        <w:tc>
          <w:tcPr>
            <w:tcW w:w="0" w:type="auto"/>
          </w:tcPr>
          <w:p>
            <w:pPr>
              <w:spacing w:after="0" w:line="240" w:lineRule="auto"/>
            </w:pPr>
            <w:r>
              <w:t xml:space="preserve">20,000</w:t>
            </w:r>
          </w:p>
        </w:tc>
        <w:tc>
          <w:tcPr>
            <w:tcW w:w="0" w:type="auto"/>
          </w:tcPr>
          <w:p>
            <w:pPr>
              <w:spacing w:after="0" w:line="240" w:lineRule="auto"/>
            </w:pPr>
            <w:r>
              <w:t xml:space="preserve">°C</w:t>
            </w:r>
          </w:p>
        </w:tc>
      </w:tr>
      <w:tr>
        <w:tc>
          <w:tcPr>
            <w:tcW w:w="0" w:type="auto"/>
          </w:tcPr>
          <w:p>
            <w:pPr>
              <w:spacing w:after="0" w:line="240" w:lineRule="auto"/>
            </w:pPr>
            <w:r>
              <w:t xml:space="preserve">Zustand nach der Stunde</w:t>
            </w:r>
          </w:p>
        </w:tc>
        <w:tc>
          <w:tcPr>
            <w:tcW w:w="0" w:type="auto"/>
          </w:tcPr>
          <w:p>
            <w:pPr>
              <w:spacing w:after="0" w:line="240" w:lineRule="auto"/>
            </w:pPr>
            <w:r>
              <w:t xml:space="preserve">4,8281 / 12,9642</w:t>
            </w:r>
          </w:p>
        </w:tc>
        <w:tc>
          <w:tcPr>
            <w:tcW w:w="0" w:type="auto"/>
          </w:tcPr>
          <w:p>
            <w:pPr>
              <w:spacing w:after="0" w:line="240" w:lineRule="auto"/>
            </w:pPr>
            <w:r>
              <w:t xml:space="preserve">°C</w:t>
            </w:r>
          </w:p>
        </w:tc>
      </w:tr>
      <w:tr>
        <w:tc>
          <w:tcPr>
            <w:tcW w:w="0" w:type="auto"/>
          </w:tcPr>
          <w:p>
            <w:pPr>
              <w:spacing w:after="0" w:line="240" w:lineRule="auto"/>
            </w:pPr>
            <w:r>
              <w:t xml:space="preserve">Oberflächen als </w:t>
            </w:r>
            <w:r>
              <w:rPr>
                <w:b/>
              </w:rPr>
              <w:t xml:space="preserve">Blockmittel</w:t>
            </w:r>
          </w:p>
        </w:tc>
        <w:tc>
          <w:tcPr>
            <w:tcW w:w="0" w:type="auto"/>
          </w:tcPr>
          <w:p>
            <w:pPr>
              <w:spacing w:after="0" w:line="240" w:lineRule="auto"/>
            </w:pPr>
            <w:r>
              <w:t xml:space="preserve">9,629 / 13,109</w:t>
            </w:r>
          </w:p>
        </w:tc>
        <w:tc>
          <w:tcPr>
            <w:tcW w:w="0" w:type="auto"/>
          </w:tcPr>
          <w:p>
            <w:pPr>
              <w:spacing w:after="0" w:line="240" w:lineRule="auto"/>
            </w:pPr>
            <w:r>
              <w:t xml:space="preserve">°C</w:t>
            </w:r>
          </w:p>
        </w:tc>
      </w:tr>
      <w:tr>
        <w:tc>
          <w:tcPr>
            <w:tcW w:w="0" w:type="auto"/>
          </w:tcPr>
          <w:p>
            <w:pPr>
              <w:spacing w:after="0" w:line="240" w:lineRule="auto"/>
            </w:pPr>
            <w:r>
              <w:rPr>
                <w:b/>
              </w:rPr>
              <w:t xml:space="preserve">operative Temperatur, Blockmittel</w:t>
            </w:r>
          </w:p>
        </w:tc>
        <w:tc>
          <w:tcPr>
            <w:tcW w:w="0" w:type="auto"/>
          </w:tcPr>
          <w:p>
            <w:pPr>
              <w:spacing w:after="0" w:line="240" w:lineRule="auto"/>
            </w:pPr>
            <w:r>
              <w:rPr>
                <w:b/>
              </w:rPr>
              <w:t xml:space="preserve">15,698</w:t>
            </w:r>
          </w:p>
        </w:tc>
        <w:tc>
          <w:tcPr>
            <w:tcW w:w="0" w:type="auto"/>
          </w:tcPr>
          <w:p>
            <w:pPr>
              <w:spacing w:after="0" w:line="240" w:lineRule="auto"/>
            </w:pPr>
            <w:r>
              <w:t xml:space="preserve">°C</w:t>
            </w:r>
          </w:p>
        </w:tc>
      </w:tr>
      <w:tr>
        <w:tc>
          <w:tcPr>
            <w:tcW w:w="0" w:type="auto"/>
          </w:tcPr>
          <w:p>
            <w:pPr>
              <w:spacing w:after="0" w:line="240" w:lineRule="auto"/>
            </w:pPr>
            <w:r>
              <w:t xml:space="preserve">operative Temperatur am Stundenende (nicht Prüfgröße)</w:t>
            </w:r>
          </w:p>
        </w:tc>
        <w:tc>
          <w:tcPr>
            <w:tcW w:w="0" w:type="auto"/>
          </w:tcPr>
          <w:p>
            <w:pPr>
              <w:spacing w:after="0" w:line="240" w:lineRule="auto"/>
            </w:pPr>
            <w:r>
              <w:t xml:space="preserve">15,753</w:t>
            </w:r>
          </w:p>
        </w:tc>
        <w:tc>
          <w:tcPr>
            <w:tcW w:w="0" w:type="auto"/>
          </w:tcPr>
          <w:p>
            <w:pPr>
              <w:spacing w:after="0" w:line="240" w:lineRule="auto"/>
            </w:pPr>
            <w:r>
              <w:t xml:space="preserve">°C</w:t>
            </w:r>
          </w:p>
        </w:tc>
      </w:tr>
    </w:tbl>
    <w:p>
      <w:pPr>
        <w:spacing w:after="120"/>
      </w:pPr>
    </w:p>
    <w:p>
      <w:r>
        <w:t xml:space="preserve">Die 0,054 K zwischen den beiden letzten Zeilen sind der Grund für die Blockmittel-Regel.</w:t>
      </w:r>
    </w:p>
    <w:p>
      <w:r>
        <w:rPr>
          <w:b/>
        </w:rPr>
        <w:t xml:space="preserve">Eine Stunde mit Umschaltung.</w:t>
      </w:r>
      <w:r>
        <w:t xml:space="preserve"> Bei </w:t>
      </w:r>
      <m:oMath xmlns:m="http://schemas.openxmlformats.org/officeDocument/2006/math">
        <m:sSub>
          <m:e>
            <m:r>
              <w:rPr>
                <w:rFonts w:ascii="Cambria Math" w:hAnsi="Cambria Math"/>
              </w:rPr>
              <m:t>θ</m:t>
            </m:r>
          </m:e>
          <m:sub>
            <m:r>
              <m:rPr>
                <m:sty m:val="p"/>
              </m:rPr>
              <w:rPr>
                <w:rFonts w:ascii="Cambria Math" w:hAnsi="Cambria Math"/>
              </w:rPr>
              <m:t>out</m:t>
            </m:r>
          </m:sub>
        </m:sSub>
        <m:r>
          <w:rPr>
            <w:rFonts w:ascii="Cambria Math" w:hAnsi="Cambria Math"/>
          </w:rPr>
          <m:t>=</m:t>
        </m:r>
        <m:r>
          <w:rPr>
            <w:rFonts w:ascii="Cambria Math" w:hAnsi="Cambria Math"/>
          </w:rPr>
          <m:t>1</m:t>
        </m:r>
        <m:r>
          <w:rPr>
            <w:rFonts w:ascii="Cambria Math" w:hAnsi="Cambria Math"/>
          </w:rPr>
          <m:t>8</m:t>
        </m:r>
        <m:r>
          <w:rPr>
            <w:rFonts w:ascii="Cambria Math" w:hAnsi="Cambria Math"/>
          </w:rPr>
          <m:t>,</m:t>
        </m:r>
        <m:r>
          <w:rPr>
            <w:rFonts w:ascii="Cambria Math" w:hAnsi="Cambria Math"/>
          </w:rPr>
          <m:t>5</m:t>
        </m:r>
        <m:r>
          <w:rPr>
            <w:rFonts w:ascii="Cambria Math" w:hAnsi="Cambria Math"/>
          </w:rPr>
          <m:t>7</m:t>
        </m:r>
      </m:oMath>
      <w:r>
        <w:t xml:space="preserve"> °C, </w:t>
      </w:r>
      <m:oMath xmlns:m="http://schemas.openxmlformats.org/officeDocument/2006/math">
        <m:sSub>
          <m:e>
            <m:r>
              <w:rPr>
                <w:rFonts w:ascii="Cambria Math" w:hAnsi="Cambria Math"/>
              </w:rPr>
              <m:t>θ</m:t>
            </m:r>
          </m:e>
          <m:sub>
            <m:r>
              <m:rPr>
                <m:sty m:val="p"/>
              </m:rPr>
              <w:rPr>
                <w:rFonts w:ascii="Cambria Math" w:hAnsi="Cambria Math"/>
              </w:rPr>
              <m:t>eq</m:t>
            </m:r>
          </m:sub>
        </m:sSub>
        <m:r>
          <w:rPr>
            <w:rFonts w:ascii="Cambria Math" w:hAnsi="Cambria Math"/>
          </w:rPr>
          <m:t>=</m:t>
        </m:r>
        <m:r>
          <w:rPr>
            <w:rFonts w:ascii="Cambria Math" w:hAnsi="Cambria Math"/>
          </w:rPr>
          <m:t>1</m:t>
        </m:r>
        <m:r>
          <w:rPr>
            <w:rFonts w:ascii="Cambria Math" w:hAnsi="Cambria Math"/>
          </w:rPr>
          <m:t>7</m:t>
        </m:r>
        <m:r>
          <w:rPr>
            <w:rFonts w:ascii="Cambria Math" w:hAnsi="Cambria Math"/>
          </w:rPr>
          <m:t>,</m:t>
        </m:r>
        <m:r>
          <w:rPr>
            <w:rFonts w:ascii="Cambria Math" w:hAnsi="Cambria Math"/>
          </w:rPr>
          <m:t>2</m:t>
        </m:r>
        <m:r>
          <w:rPr>
            <w:rFonts w:ascii="Cambria Math" w:hAnsi="Cambria Math"/>
          </w:rPr>
          <m:t>7</m:t>
        </m:r>
        <m:r>
          <w:rPr>
            <w:rFonts w:ascii="Cambria Math" w:hAnsi="Cambria Math"/>
          </w:rPr>
          <m:t>9</m:t>
        </m:r>
      </m:oMath>
      <w:r>
        <w:t xml:space="preserve"> °C und einem Solareintrag von 5 770,95 W zerfällt die Stunde in zwei Abschnitte: 2 590,1 s geregelt mit 288,64 W, danach 1 009,9 s freier Lauf mit null; das Blockmittel ist </w:t>
      </w:r>
      <w:r>
        <w:rPr>
          <w:b/>
        </w:rPr>
        <w:t xml:space="preserve">207,66 W</w:t>
      </w:r>
      <w:r>
        <w:t xml:space="preserve"> bei 20,012 °C. Der Umschaltzeitpunkt ist das Ergebnis der Bisektion. </w:t>
      </w:r>
      <w:r>
        <w:rPr>
          <w:b/>
        </w:rPr>
        <w:t xml:space="preserve">Empfindlichkeit:</w:t>
      </w:r>
      <w:r>
        <w:t xml:space="preserve"> mit dem konvektiven Anteil des Fenstersolars nach E3 statt null verschiebt sich die Umschaltung auf 887,5 s und das Blockmittel auf 25,24 W — die Wahl dieses Anteils ist in Umschaltstunden zahlenwirksam, nicht bloß eine Aufteilungsfrage. Über das ganze Jahr haben </w:t>
      </w:r>
      <w:r>
        <w:rPr>
          <w:b/>
        </w:rPr>
        <w:t xml:space="preserve">206 von 8 760 Stunden</w:t>
      </w:r>
      <w:r>
        <w:t xml:space="preserve"> mindestens eine Umschaltung; im Mittel besteht eine Stunde aus 1,034 Abschnitten.</w:t>
      </w:r>
    </w:p>
    <w:p>
      <w:r>
        <w:rPr>
          <w:b/>
        </w:rPr>
        <w:t xml:space="preserve">Jahreswerte und die zwei Posten, die den Unterschied machen.</w:t>
      </w:r>
    </w:p>
    <w:tbl>
      <w:tblPr>
        <w:tblStyle w:val="TableGrid"/>
        <w:tblW w:w="5000" w:type="pct"/>
        <w:tblLayout w:type="autofit"/>
        <w:tblLook w:val="04A0" w:firstRow="true" w:lastRow="false" w:firstColumn="false" w:lastColumn="false" w:noHBand="false" w:noVBand="true"/>
      </w:tblPr>
      <w:tblGrid>
        <w:gridCol w:w="1927"/>
        <w:gridCol w:w="1927"/>
        <w:gridCol w:w="1927"/>
        <w:gridCol w:w="1927"/>
        <w:gridCol w:w="1927"/>
      </w:tblGrid>
      <w:tr>
        <w:trPr>
          <w:tblHeader/>
        </w:trPr>
        <w:tc>
          <w:tcPr>
            <w:tcW w:w="0" w:type="auto"/>
            <w:shd w:val="clear" w:color="auto" w:fill="D9D9D9"/>
          </w:tcPr>
          <w:p>
            <w:pPr>
              <w:spacing w:after="0" w:line="240" w:lineRule="auto"/>
              <w:rPr>
                <w:b/>
              </w:rPr>
            </w:pPr>
            <w:r>
              <w:rPr>
                <w:b/>
              </w:rPr>
              <w:t xml:space="preserve">Variante</w:t>
            </w:r>
          </w:p>
        </w:tc>
        <w:tc>
          <w:tcPr>
            <w:tcW w:w="0" w:type="auto"/>
            <w:shd w:val="clear" w:color="auto" w:fill="D9D9D9"/>
          </w:tcPr>
          <w:p>
            <w:pPr>
              <w:spacing w:after="0" w:line="240" w:lineRule="auto"/>
              <w:rPr>
                <w:b/>
              </w:rPr>
            </w:pPr>
            <m:oMath xmlns:m="http://schemas.openxmlformats.org/officeDocument/2006/math">
              <m:sSub>
                <m:e>
                  <m:r>
                    <w:rPr>
                      <w:rFonts w:ascii="Cambria Math" w:hAnsi="Cambria Math"/>
                    </w:rPr>
                    <m:t>R</m:t>
                  </m:r>
                </m:e>
                <m:sub>
                  <m:r>
                    <m:rPr>
                      <m:sty m:val="p"/>
                    </m:rPr>
                    <w:rPr>
                      <w:rFonts w:ascii="Cambria Math" w:hAnsi="Cambria Math"/>
                    </w:rPr>
                    <m:t>si</m:t>
                  </m:r>
                </m:sub>
              </m:sSub>
            </m:oMath>
            <w:r>
              <w:rPr>
                <w:b/>
              </w:rPr>
              <w:t xml:space="preserve"> im </w:t>
            </w:r>
            <m:oMath xmlns:m="http://schemas.openxmlformats.org/officeDocument/2006/math">
              <m:sSub>
                <m:e>
                  <m:r>
                    <w:rPr>
                      <w:rFonts w:ascii="Cambria Math" w:hAnsi="Cambria Math"/>
                    </w:rPr>
                    <m:t>R</m:t>
                  </m:r>
                </m:e>
                <m:sub>
                  <m:r>
                    <m:rPr>
                      <m:sty m:val="p"/>
                    </m:rPr>
                    <w:rPr>
                      <w:rFonts w:ascii="Cambria Math" w:hAnsi="Cambria Math"/>
                    </w:rPr>
                    <m:t>Rest</m:t>
                  </m:r>
                </m:sub>
              </m:sSub>
            </m:oMath>
          </w:p>
        </w:tc>
        <w:tc>
          <w:tcPr>
            <w:tcW w:w="0" w:type="auto"/>
            <w:shd w:val="clear" w:color="auto" w:fill="D9D9D9"/>
          </w:tcPr>
          <w:p>
            <w:pPr>
              <w:spacing w:after="0" w:line="240" w:lineRule="auto"/>
              <w:rPr>
                <w:b/>
              </w:rPr>
            </w:pPr>
            <m:oMath xmlns:m="http://schemas.openxmlformats.org/officeDocument/2006/math">
              <m:sSub>
                <m:e>
                  <m:r>
                    <w:rPr>
                      <w:rFonts w:ascii="Cambria Math" w:hAnsi="Cambria Math"/>
                    </w:rPr>
                    <m:t>F</m:t>
                  </m:r>
                </m:e>
                <m:sub>
                  <m:r>
                    <m:rPr>
                      <m:sty m:val="p"/>
                    </m:rPr>
                    <w:rPr>
                      <w:rFonts w:ascii="Cambria Math" w:hAnsi="Cambria Math"/>
                    </w:rPr>
                    <m:t>W</m:t>
                  </m:r>
                </m:sub>
              </m:sSub>
            </m:oMath>
          </w:p>
        </w:tc>
        <w:tc>
          <w:tcPr>
            <w:tcW w:w="0" w:type="auto"/>
            <w:shd w:val="clear" w:color="auto" w:fill="D9D9D9"/>
          </w:tcPr>
          <w:p>
            <w:pPr>
              <w:spacing w:after="0" w:line="240" w:lineRule="auto"/>
              <w:rPr>
                <w:b/>
              </w:rPr>
            </w:pPr>
            <w:r>
              <w:rPr>
                <w:b/>
              </w:rPr>
              <w:t xml:space="preserve">Jahresheizwärme [kWh]</w:t>
            </w:r>
          </w:p>
        </w:tc>
        <w:tc>
          <w:tcPr>
            <w:tcW w:w="0" w:type="auto"/>
            <w:shd w:val="clear" w:color="auto" w:fill="D9D9D9"/>
          </w:tcPr>
          <w:p>
            <w:pPr>
              <w:spacing w:after="0" w:line="240" w:lineRule="auto"/>
              <w:rPr>
                <w:b/>
              </w:rPr>
            </w:pPr>
            <w:r>
              <w:rPr>
                <w:b/>
              </w:rPr>
              <w:t xml:space="preserve">Spitze [kW]</w:t>
            </w:r>
          </w:p>
        </w:tc>
      </w:tr>
      <w:tr>
        <w:tc>
          <w:tcPr>
            <w:tcW w:w="0" w:type="auto"/>
          </w:tcPr>
          <w:p>
            <w:pPr>
              <w:spacing w:after="0" w:line="240" w:lineRule="auto"/>
            </w:pPr>
            <w:r>
              <w:t xml:space="preserve">Prototyp</w:t>
            </w:r>
          </w:p>
        </w:tc>
        <w:tc>
          <w:tcPr>
            <w:tcW w:w="0" w:type="auto"/>
          </w:tcPr>
          <w:p>
            <w:pPr>
              <w:spacing w:after="0" w:line="240" w:lineRule="auto"/>
            </w:pPr>
            <w:r>
              <w:t xml:space="preserve">nein</w:t>
            </w:r>
          </w:p>
        </w:tc>
        <w:tc>
          <w:tcPr>
            <w:tcW w:w="0" w:type="auto"/>
          </w:tcPr>
          <w:p>
            <w:pPr>
              <w:spacing w:after="0" w:line="240" w:lineRule="auto"/>
            </w:pPr>
            <w:r>
              <w:t xml:space="preserve">1,0</w:t>
            </w:r>
          </w:p>
        </w:tc>
        <w:tc>
          <w:tcPr>
            <w:tcW w:w="0" w:type="auto"/>
          </w:tcPr>
          <w:p>
            <w:pPr>
              <w:spacing w:after="0" w:line="240" w:lineRule="auto"/>
            </w:pPr>
            <w:r>
              <w:t xml:space="preserve">63 677</w:t>
            </w:r>
          </w:p>
        </w:tc>
        <w:tc>
          <w:tcPr>
            <w:tcW w:w="0" w:type="auto"/>
          </w:tcPr>
          <w:p>
            <w:pPr>
              <w:spacing w:after="0" w:line="240" w:lineRule="auto"/>
            </w:pPr>
            <w:r>
              <w:t xml:space="preserve">33,56</w:t>
            </w:r>
          </w:p>
        </w:tc>
      </w:tr>
      <w:tr>
        <w:tc>
          <w:tcPr>
            <w:tcW w:w="0" w:type="auto"/>
          </w:tcPr>
          <w:p>
            <w:pPr>
              <w:spacing w:after="0" w:line="240" w:lineRule="auto"/>
            </w:pPr>
            <w:r>
              <w:t xml:space="preserve">Nachrechnung, Prototypkonvention</w:t>
            </w:r>
          </w:p>
        </w:tc>
        <w:tc>
          <w:tcPr>
            <w:tcW w:w="0" w:type="auto"/>
          </w:tcPr>
          <w:p>
            <w:pPr>
              <w:spacing w:after="0" w:line="240" w:lineRule="auto"/>
            </w:pPr>
            <w:r>
              <w:t xml:space="preserve">nein</w:t>
            </w:r>
          </w:p>
        </w:tc>
        <w:tc>
          <w:tcPr>
            <w:tcW w:w="0" w:type="auto"/>
          </w:tcPr>
          <w:p>
            <w:pPr>
              <w:spacing w:after="0" w:line="240" w:lineRule="auto"/>
            </w:pPr>
            <w:r>
              <w:t xml:space="preserve">1,0</w:t>
            </w:r>
          </w:p>
        </w:tc>
        <w:tc>
          <w:tcPr>
            <w:tcW w:w="0" w:type="auto"/>
          </w:tcPr>
          <w:p>
            <w:pPr>
              <w:spacing w:after="0" w:line="240" w:lineRule="auto"/>
            </w:pPr>
            <w:r>
              <w:t xml:space="preserve">63 681 (+0,007 %)</w:t>
            </w:r>
          </w:p>
        </w:tc>
        <w:tc>
          <w:tcPr>
            <w:tcW w:w="0" w:type="auto"/>
          </w:tcPr>
          <w:p>
            <w:pPr>
              <w:spacing w:after="0" w:line="240" w:lineRule="auto"/>
            </w:pPr>
            <w:r>
              <w:t xml:space="preserve">33,560</w:t>
            </w:r>
          </w:p>
        </w:tc>
      </w:tr>
      <w:tr>
        <w:tc>
          <w:tcPr>
            <w:tcW w:w="0" w:type="auto"/>
          </w:tcPr>
          <w:p>
            <w:pPr>
              <w:spacing w:after="0" w:line="240" w:lineRule="auto"/>
            </w:pPr>
            <w:r>
              <w:t xml:space="preserve">nur </w:t>
            </w:r>
            <m:oMath xmlns:m="http://schemas.openxmlformats.org/officeDocument/2006/math">
              <m:sSub>
                <m:e>
                  <m:r>
                    <w:rPr>
                      <w:rFonts w:ascii="Cambria Math" w:hAnsi="Cambria Math"/>
                    </w:rPr>
                    <m:t>F</m:t>
                  </m:r>
                </m:e>
                <m:sub>
                  <m:r>
                    <m:rPr>
                      <m:sty m:val="p"/>
                    </m:rPr>
                    <w:rPr>
                      <w:rFonts w:ascii="Cambria Math" w:hAnsi="Cambria Math"/>
                    </w:rPr>
                    <m:t>W</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9</m:t>
              </m:r>
            </m:oMath>
          </w:p>
        </w:tc>
        <w:tc>
          <w:tcPr>
            <w:tcW w:w="0" w:type="auto"/>
          </w:tcPr>
          <w:p>
            <w:pPr>
              <w:spacing w:after="0" w:line="240" w:lineRule="auto"/>
            </w:pPr>
            <w:r>
              <w:t xml:space="preserve">nein</w:t>
            </w:r>
          </w:p>
        </w:tc>
        <w:tc>
          <w:tcPr>
            <w:tcW w:w="0" w:type="auto"/>
          </w:tcPr>
          <w:p>
            <w:pPr>
              <w:spacing w:after="0" w:line="240" w:lineRule="auto"/>
            </w:pPr>
            <w:r>
              <w:t xml:space="preserve">0,9</w:t>
            </w:r>
          </w:p>
        </w:tc>
        <w:tc>
          <w:tcPr>
            <w:tcW w:w="0" w:type="auto"/>
          </w:tcPr>
          <w:p>
            <w:pPr>
              <w:spacing w:after="0" w:line="240" w:lineRule="auto"/>
            </w:pPr>
            <w:r>
              <w:t xml:space="preserve">64 434 (+1,2 %)</w:t>
            </w:r>
          </w:p>
        </w:tc>
        <w:tc>
          <w:tcPr>
            <w:tcW w:w="0" w:type="auto"/>
          </w:tcPr>
          <w:p>
            <w:pPr>
              <w:spacing w:after="0" w:line="240" w:lineRule="auto"/>
            </w:pPr>
            <w:r>
              <w:t xml:space="preserve">33,569</w:t>
            </w:r>
          </w:p>
        </w:tc>
      </w:tr>
      <w:tr>
        <w:tc>
          <w:tcPr>
            <w:tcW w:w="0" w:type="auto"/>
          </w:tcPr>
          <w:p>
            <w:pPr>
              <w:spacing w:after="0" w:line="240" w:lineRule="auto"/>
            </w:pPr>
            <w:r>
              <w:t xml:space="preserve">nur </w:t>
            </w:r>
            <m:oMath xmlns:m="http://schemas.openxmlformats.org/officeDocument/2006/math">
              <m:sSub>
                <m:e>
                  <m:r>
                    <w:rPr>
                      <w:rFonts w:ascii="Cambria Math" w:hAnsi="Cambria Math"/>
                    </w:rPr>
                    <m:t>R</m:t>
                  </m:r>
                </m:e>
                <m:sub>
                  <m:r>
                    <m:rPr>
                      <m:sty m:val="p"/>
                    </m:rPr>
                    <w:rPr>
                      <w:rFonts w:ascii="Cambria Math" w:hAnsi="Cambria Math"/>
                    </w:rPr>
                    <m:t>si</m:t>
                  </m:r>
                </m:sub>
              </m:sSub>
            </m:oMath>
            <w:r>
              <w:t xml:space="preserve">-Abzug</w:t>
            </w:r>
          </w:p>
        </w:tc>
        <w:tc>
          <w:tcPr>
            <w:tcW w:w="0" w:type="auto"/>
          </w:tcPr>
          <w:p>
            <w:pPr>
              <w:spacing w:after="0" w:line="240" w:lineRule="auto"/>
            </w:pPr>
            <w:r>
              <w:t xml:space="preserve">ja</w:t>
            </w:r>
          </w:p>
        </w:tc>
        <w:tc>
          <w:tcPr>
            <w:tcW w:w="0" w:type="auto"/>
          </w:tcPr>
          <w:p>
            <w:pPr>
              <w:spacing w:after="0" w:line="240" w:lineRule="auto"/>
            </w:pPr>
            <w:r>
              <w:t xml:space="preserve">1,0</w:t>
            </w:r>
          </w:p>
        </w:tc>
        <w:tc>
          <w:tcPr>
            <w:tcW w:w="0" w:type="auto"/>
          </w:tcPr>
          <w:p>
            <w:pPr>
              <w:spacing w:after="0" w:line="240" w:lineRule="auto"/>
            </w:pPr>
            <w:r>
              <w:t xml:space="preserve">71 177 (+11,8 %)</w:t>
            </w:r>
          </w:p>
        </w:tc>
        <w:tc>
          <w:tcPr>
            <w:tcW w:w="0" w:type="auto"/>
          </w:tcPr>
          <w:p>
            <w:pPr>
              <w:spacing w:after="0" w:line="240" w:lineRule="auto"/>
            </w:pPr>
            <w:r>
              <w:t xml:space="preserve">36,433</w:t>
            </w:r>
          </w:p>
        </w:tc>
      </w:tr>
      <w:tr>
        <w:tc>
          <w:tcPr>
            <w:tcW w:w="0" w:type="auto"/>
          </w:tcPr>
          <w:p>
            <w:pPr>
              <w:spacing w:after="0" w:line="240" w:lineRule="auto"/>
            </w:pPr>
            <w:r>
              <w:rPr>
                <w:b/>
              </w:rPr>
              <w:t xml:space="preserve">beides zusammen</w:t>
            </w:r>
          </w:p>
        </w:tc>
        <w:tc>
          <w:tcPr>
            <w:tcW w:w="0" w:type="auto"/>
          </w:tcPr>
          <w:p>
            <w:pPr>
              <w:spacing w:after="0" w:line="240" w:lineRule="auto"/>
            </w:pPr>
            <w:r>
              <w:rPr>
                <w:b/>
              </w:rPr>
              <w:t xml:space="preserve">ja</w:t>
            </w:r>
          </w:p>
        </w:tc>
        <w:tc>
          <w:tcPr>
            <w:tcW w:w="0" w:type="auto"/>
          </w:tcPr>
          <w:p>
            <w:pPr>
              <w:spacing w:after="0" w:line="240" w:lineRule="auto"/>
            </w:pPr>
            <w:r>
              <w:rPr>
                <w:b/>
              </w:rPr>
              <w:t xml:space="preserve">0,9</w:t>
            </w:r>
          </w:p>
        </w:tc>
        <w:tc>
          <w:tcPr>
            <w:tcW w:w="0" w:type="auto"/>
          </w:tcPr>
          <w:p>
            <w:pPr>
              <w:spacing w:after="0" w:line="240" w:lineRule="auto"/>
            </w:pPr>
            <w:r>
              <w:rPr>
                <w:b/>
              </w:rPr>
              <w:t xml:space="preserve">71 916 (+12,9 %)</w:t>
            </w:r>
          </w:p>
        </w:tc>
        <w:tc>
          <w:tcPr>
            <w:tcW w:w="0" w:type="auto"/>
          </w:tcPr>
          <w:p>
            <w:pPr>
              <w:spacing w:after="0" w:line="240" w:lineRule="auto"/>
            </w:pPr>
            <w:r>
              <w:rPr>
                <w:b/>
              </w:rPr>
              <w:t xml:space="preserve">36,441</w:t>
            </w:r>
          </w:p>
        </w:tc>
      </w:tr>
    </w:tbl>
    <w:p>
      <w:pPr>
        <w:spacing w:after="120"/>
      </w:pPr>
    </w:p>
    <w:p>
      <w:r>
        <w:rPr>
          <w:b/>
        </w:rPr>
        <w:t xml:space="preserve">Befund für G1.</w:t>
      </w:r>
      <w:r>
        <w:t xml:space="preserve"> Der Abzug </w:t>
      </w:r>
      <m:oMath xmlns:m="http://schemas.openxmlformats.org/officeDocument/2006/math">
        <m:sSub>
          <m:e>
            <m:r>
              <w:rPr>
                <w:rFonts w:ascii="Cambria Math" w:hAnsi="Cambria Math"/>
              </w:rPr>
              <m:t>R</m:t>
            </m:r>
          </m:e>
          <m:sub>
            <m:r>
              <m:rPr>
                <m:sty m:val="p"/>
              </m:rPr>
              <w:rPr>
                <w:rFonts w:ascii="Cambria Math" w:hAnsi="Cambria Math"/>
              </w:rPr>
              <m:t>si</m:t>
            </m:r>
          </m:sub>
        </m:sSub>
        <m:r>
          <w:rPr>
            <w:rFonts w:ascii="Cambria Math" w:hAnsi="Cambria Math"/>
          </w:rPr>
          <m:t>/</m:t>
        </m:r>
        <m:r>
          <w:rPr>
            <w:rFonts w:ascii="Cambria Math" w:hAnsi="Cambria Math"/>
          </w:rPr>
          <m:t>A</m:t>
        </m:r>
      </m:oMath>
      <w:r>
        <w:t xml:space="preserve"> ist der größere der beiden Posten: er hebt die Jahresheizwärme dieses Gebäudes um 11,8 %. Physikalisch ist er zwingend — ohne ihn zählt der innere Wärmeübergang zweimal —, aber die Vergleichsmessungen des Konzepts sind </w:t>
      </w:r>
      <w:r>
        <w:rPr>
          <w:b/>
        </w:rPr>
        <w:t xml:space="preserve">ohne</w:t>
      </w:r>
      <w:r>
        <w:t xml:space="preserve"> ihn entstanden. Beides ist je Referenzgebäude auszuweisen, </w:t>
      </w:r>
      <w:r>
        <w:rPr>
          <w:b/>
        </w:rPr>
        <w:t xml:space="preserve">bevor</w:t>
      </w:r>
      <w:r>
        <w:t xml:space="preserve"> die Basis neu eingefroren wird. Was für den Auslieferungsweg zusätzlich nachzurechnen ist: Hay-Davies statt der isotropen Spalten, der konvektive Solaranteil, Ortszeit statt UTC-Reihenfolge und die Kappung an der oberen Raumtemperatur wirken alle vier auf die Jahreszahl. Der Zahlenweg ist damit ein </w:t>
      </w:r>
      <w:r>
        <w:rPr>
          <w:b/>
        </w:rPr>
        <w:t xml:space="preserve">Nachvollzugsbeispiel des Verfahrens, keine Prognose für ein Projekt</w:t>
      </w:r>
      <w:r>
        <w:t xml:space="preserve">.</w:t>
      </w:r>
    </w:p>
    <w:p>
      <w:pPr>
        <w:pStyle w:val="Heading2"/>
      </w:pPr>
      <w:r>
        <w:t xml:space="preserve">10.11 Prüfregeln, Nachweis und Produktausweis</w:t>
      </w:r>
    </w:p>
    <w:p>
      <w:r>
        <w:rPr>
          <w:b/>
        </w:rPr>
        <w:t xml:space="preserve">Die Prüfregel der Richtlinie</w:t>
      </w:r>
      <w:r>
        <w:t xml:space="preserve"> verlangt, dass Raumluft- und operative Temperatur im Bereich der Ergebnisse von </w:t>
      </w:r>
      <w:r>
        <w:rPr>
          <w:b/>
        </w:rPr>
        <w:t xml:space="preserve">Programm 1 und Programm 2</w:t>
      </w:r>
      <w:r>
        <w:t xml:space="preserve"> ± 0,1 °C und die Lasten im selben Bereich ± 1 W liegen. Das ist ein </w:t>
      </w:r>
      <w:r>
        <w:rPr>
          <w:b/>
        </w:rPr>
        <w:t xml:space="preserve">Band zwischen zwei Referenzreihen</w:t>
      </w:r>
      <w:r>
        <w:t xml:space="preserve">, nicht eine einzelne Referenz; Prüfgröße ist das Blockmittel.</w:t>
      </w:r>
    </w:p>
    <w:p>
      <w:r>
        <w:rPr>
          <w:b/>
        </w:rPr>
        <w:t xml:space="preserve">Das Prüfband nach E10</w:t>
      </w:r>
      <w:r>
        <w:t xml:space="preserve"> rechnet die Druckrundung hinzu:</w:t>
      </w:r>
    </w:p>
    <w:p>
      <w:pPr>
        <w:pStyle w:val="Formelblock"/>
      </w:pPr>
      <m:oMathPara xmlns:m="http://schemas.openxmlformats.org/officeDocument/2006/math">
        <m:oMathParaPr>
          <m:jc m:val="center"/>
        </m:oMathParaPr>
        <m:oMath>
          <m:r>
            <m:rPr>
              <m:nor m:val="1"/>
            </m:rPr>
            <w:rPr>
              <w:rFonts w:ascii="Cambria Math" w:hAnsi="Cambria Math"/>
            </w:rPr>
            <m:t>Band</m:t>
          </m:r>
          <m:r>
            <w:rPr>
              <w:rFonts w:ascii="Cambria Math" w:hAnsi="Cambria Math"/>
            </w:rPr>
            <m:t>=</m:t>
          </m:r>
          <m:d>
            <m:dPr>
              <m:begChr m:val="["/>
              <m:endChr m:val="]"/>
              <m:grow m:val="1"/>
            </m:dPr>
            <m:e>
              <m:func>
                <m:fName>
                  <m:r>
                    <m:rPr>
                      <m:sty m:val="p"/>
                    </m:rPr>
                    <w:rPr>
                      <w:rFonts w:ascii="Cambria Math" w:hAnsi="Cambria Math"/>
                    </w:rPr>
                    <m:t>min</m:t>
                  </m:r>
                </m:fName>
                <m:e>
                  <m:r>
                    <w:rPr>
                      <w:rFonts w:ascii="Cambria Math" w:hAnsi="Cambria Math"/>
                    </w:rPr>
                    <m:t>(</m:t>
                  </m:r>
                </m:e>
              </m:func>
              <m:sSub>
                <m:e>
                  <m:r>
                    <w:rPr>
                      <w:rFonts w:ascii="Cambria Math" w:hAnsi="Cambria Math"/>
                    </w:rPr>
                    <m:t>P</m:t>
                  </m:r>
                </m:e>
                <m:sub>
                  <m:r>
                    <w:rPr>
                      <w:rFonts w:ascii="Cambria Math" w:hAnsi="Cambria Math"/>
                    </w:rPr>
                    <m:t>1</m:t>
                  </m:r>
                </m:sub>
              </m:sSub>
              <m:r>
                <w:rPr>
                  <w:rFonts w:ascii="Cambria Math" w:hAnsi="Cambria Math"/>
                </w:rPr>
                <m:t>,</m:t>
              </m:r>
              <m:sSub>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rPr>
                <m:t>-</m:t>
              </m:r>
              <m:r>
                <m:rPr>
                  <m:sty m:val="p"/>
                </m:rPr>
                <w:rPr>
                  <w:rFonts w:ascii="Cambria Math" w:hAnsi="Cambria Math"/>
                </w:rPr>
                <m:t>tol</m:t>
              </m:r>
              <m:r>
                <w:rPr>
                  <w:rFonts w:ascii="Cambria Math" w:hAnsi="Cambria Math"/>
                </w:rPr>
                <m:t>-</m:t>
              </m:r>
              <m:f>
                <m:num>
                  <m:r>
                    <w:rPr>
                      <w:rFonts w:ascii="Cambria Math" w:hAnsi="Cambria Math"/>
                    </w:rPr>
                    <m:t>1</m:t>
                  </m:r>
                </m:num>
                <m:den>
                  <m:r>
                    <w:rPr>
                      <w:rFonts w:ascii="Cambria Math" w:hAnsi="Cambria Math"/>
                    </w:rPr>
                    <m:t>2</m:t>
                  </m:r>
                </m:den>
              </m:f>
              <m:r>
                <w:rPr>
                  <w:rFonts w:ascii="Cambria Math" w:hAnsi="Cambria Math"/>
                </w:rPr>
                <m:t xml:space="preserve"> </m:t>
              </m:r>
              <m:r>
                <m:rPr>
                  <m:nor m:val="1"/>
                </m:rPr>
                <w:rPr>
                  <w:rFonts w:ascii="Cambria Math" w:hAnsi="Cambria Math"/>
                </w:rPr>
                <m:t>Druckstelle</m:t>
              </m:r>
              <m:r>
                <w:rPr>
                  <w:rFonts w:ascii="Cambria Math" w:hAnsi="Cambria Math"/>
                </w:rPr>
                <m:t xml:space="preserve"> </m:t>
              </m:r>
              <m:r>
                <w:rPr>
                  <w:rFonts w:ascii="Cambria Math" w:hAnsi="Cambria Math"/>
                </w:rPr>
                <m:t>,</m:t>
              </m:r>
              <m:r>
                <w:rPr>
                  <w:rFonts w:ascii="Cambria Math" w:hAnsi="Cambria Math"/>
                </w:rPr>
                <m:t xml:space="preserve"> </m:t>
              </m:r>
              <m:func>
                <m:fName>
                  <m:r>
                    <m:rPr>
                      <m:sty m:val="p"/>
                    </m:rPr>
                    <w:rPr>
                      <w:rFonts w:ascii="Cambria Math" w:hAnsi="Cambria Math"/>
                    </w:rPr>
                    <m:t>max</m:t>
                  </m:r>
                </m:fName>
                <m:e>
                  <m:r>
                    <w:rPr>
                      <w:rFonts w:ascii="Cambria Math" w:hAnsi="Cambria Math"/>
                    </w:rPr>
                    <m:t>(</m:t>
                  </m:r>
                </m:e>
              </m:func>
              <m:sSub>
                <m:e>
                  <m:r>
                    <w:rPr>
                      <w:rFonts w:ascii="Cambria Math" w:hAnsi="Cambria Math"/>
                    </w:rPr>
                    <m:t>P</m:t>
                  </m:r>
                </m:e>
                <m:sub>
                  <m:r>
                    <w:rPr>
                      <w:rFonts w:ascii="Cambria Math" w:hAnsi="Cambria Math"/>
                    </w:rPr>
                    <m:t>1</m:t>
                  </m:r>
                </m:sub>
              </m:sSub>
              <m:r>
                <w:rPr>
                  <w:rFonts w:ascii="Cambria Math" w:hAnsi="Cambria Math"/>
                </w:rPr>
                <m:t>,</m:t>
              </m:r>
              <m:sSub>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rPr>
                <m:t>+</m:t>
              </m:r>
              <m:r>
                <m:rPr>
                  <m:sty m:val="p"/>
                </m:rPr>
                <w:rPr>
                  <w:rFonts w:ascii="Cambria Math" w:hAnsi="Cambria Math"/>
                </w:rPr>
                <m:t>tol</m:t>
              </m:r>
              <m:r>
                <w:rPr>
                  <w:rFonts w:ascii="Cambria Math" w:hAnsi="Cambria Math"/>
                </w:rPr>
                <m:t>+</m:t>
              </m:r>
              <m:f>
                <m:num>
                  <m:r>
                    <w:rPr>
                      <w:rFonts w:ascii="Cambria Math" w:hAnsi="Cambria Math"/>
                    </w:rPr>
                    <m:t>1</m:t>
                  </m:r>
                </m:num>
                <m:den>
                  <m:r>
                    <w:rPr>
                      <w:rFonts w:ascii="Cambria Math" w:hAnsi="Cambria Math"/>
                    </w:rPr>
                    <m:t>2</m:t>
                  </m:r>
                </m:den>
              </m:f>
              <m:r>
                <w:rPr>
                  <w:rFonts w:ascii="Cambria Math" w:hAnsi="Cambria Math"/>
                </w:rPr>
                <m:t xml:space="preserve"> </m:t>
              </m:r>
              <m:r>
                <m:rPr>
                  <m:nor m:val="1"/>
                </m:rPr>
                <w:rPr>
                  <w:rFonts w:ascii="Cambria Math" w:hAnsi="Cambria Math"/>
                </w:rPr>
                <m:t>Druckstelle</m:t>
              </m:r>
            </m:e>
          </m:d>
        </m:oMath>
      </m:oMathPara>
    </w:p>
    <w:p>
      <w:pPr>
        <w:pStyle w:val="Formelblock"/>
      </w:pPr>
      <m:oMathPara xmlns:m="http://schemas.openxmlformats.org/officeDocument/2006/math">
        <m:oMathParaPr>
          <m:jc m:val="center"/>
        </m:oMathParaPr>
        <m:oMath>
          <m:r>
            <m:rPr>
              <m:nor m:val="1"/>
            </m:rPr>
            <w:rPr>
              <w:rFonts w:ascii="Cambria Math" w:hAnsi="Cambria Math"/>
            </w:rPr>
            <m:t>Temperaturen:</m:t>
          </m:r>
          <m:r>
            <w:rPr>
              <w:rFonts w:ascii="Cambria Math" w:hAnsi="Cambria Math"/>
            </w:rPr>
            <m:t xml:space="preserve"> </m:t>
          </m:r>
          <m:r>
            <m:rPr>
              <m:sty m:val="p"/>
            </m:rPr>
            <w:rPr>
              <w:rFonts w:ascii="Cambria Math" w:hAnsi="Cambria Math"/>
            </w:rPr>
            <m:t>tol</m:t>
          </m:r>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 xml:space="preserve"> </m:t>
          </m:r>
          <m:r>
            <m:rPr>
              <m:sty m:val="p"/>
            </m:rPr>
            <w:rPr>
              <w:rFonts w:ascii="Cambria Math" w:hAnsi="Cambria Math"/>
            </w:rPr>
            <m:t>K</m:t>
          </m:r>
          <m:r>
            <w:rPr>
              <w:rFonts w:ascii="Cambria Math" w:hAnsi="Cambria Math"/>
            </w:rPr>
            <m:t>,</m:t>
          </m:r>
          <m:r>
            <w:rPr>
              <w:rFonts w:ascii="Cambria Math" w:hAnsi="Cambria Math"/>
            </w:rPr>
            <m:t xml:space="preserve"> </m:t>
          </m:r>
          <m:f>
            <m:num>
              <m:r>
                <w:rPr>
                  <w:rFonts w:ascii="Cambria Math" w:hAnsi="Cambria Math"/>
                </w:rPr>
                <m:t>1</m:t>
              </m:r>
            </m:num>
            <m:den>
              <m:r>
                <w:rPr>
                  <w:rFonts w:ascii="Cambria Math" w:hAnsi="Cambria Math"/>
                </w:rPr>
                <m:t>2</m:t>
              </m:r>
            </m:den>
          </m:f>
          <m:r>
            <w:rPr>
              <w:rFonts w:ascii="Cambria Math" w:hAnsi="Cambria Math"/>
            </w:rPr>
            <m:t xml:space="preserve"> </m:t>
          </m:r>
          <m:r>
            <m:rPr>
              <m:nor m:val="1"/>
            </m:rPr>
            <w:rPr>
              <w:rFonts w:ascii="Cambria Math" w:hAnsi="Cambria Math"/>
            </w:rPr>
            <m:t>Druckstelle</m:t>
          </m:r>
          <m:r>
            <w:rPr>
              <w:rFonts w:ascii="Cambria Math" w:hAnsi="Cambria Math"/>
            </w:rPr>
            <m:t>=</m:t>
          </m:r>
          <m:r>
            <w:rPr>
              <w:rFonts w:ascii="Cambria Math" w:hAnsi="Cambria Math"/>
            </w:rPr>
            <m:t>0</m:t>
          </m:r>
          <m:r>
            <w:rPr>
              <w:rFonts w:ascii="Cambria Math" w:hAnsi="Cambria Math"/>
            </w:rPr>
            <m:t>,</m:t>
          </m:r>
          <m:r>
            <w:rPr>
              <w:rFonts w:ascii="Cambria Math" w:hAnsi="Cambria Math"/>
            </w:rPr>
            <m:t>0</m:t>
          </m:r>
          <m:r>
            <w:rPr>
              <w:rFonts w:ascii="Cambria Math" w:hAnsi="Cambria Math"/>
            </w:rPr>
            <m:t>5</m:t>
          </m:r>
          <m:r>
            <w:rPr>
              <w:rFonts w:ascii="Cambria Math" w:hAnsi="Cambria Math"/>
            </w:rPr>
            <m:t xml:space="preserve"> </m:t>
          </m:r>
          <m:r>
            <m:rPr>
              <m:sty m:val="p"/>
            </m:rPr>
            <w:rPr>
              <w:rFonts w:ascii="Cambria Math" w:hAnsi="Cambria Math"/>
            </w:rPr>
            <m:t>K</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5</m:t>
          </m:r>
          <m:r>
            <w:rPr>
              <w:rFonts w:ascii="Cambria Math" w:hAnsi="Cambria Math"/>
            </w:rPr>
            <m:t xml:space="preserve"> </m:t>
          </m:r>
          <m:r>
            <m:rPr>
              <m:sty m:val="p"/>
            </m:rPr>
            <w:rPr>
              <w:rFonts w:ascii="Cambria Math" w:hAnsi="Cambria Math"/>
            </w:rPr>
            <m:t>K</m:t>
          </m:r>
        </m:oMath>
      </m:oMathPara>
    </w:p>
    <w:p>
      <w:pPr>
        <w:pStyle w:val="Formelblock"/>
      </w:pPr>
      <m:oMathPara xmlns:m="http://schemas.openxmlformats.org/officeDocument/2006/math">
        <m:oMathParaPr>
          <m:jc m:val="center"/>
        </m:oMathParaPr>
        <m:oMath>
          <m:r>
            <m:rPr>
              <m:nor m:val="1"/>
            </m:rPr>
            <w:rPr>
              <w:rFonts w:ascii="Cambria Math" w:hAnsi="Cambria Math"/>
            </w:rPr>
            <m:t>Lasten:</m:t>
          </m:r>
          <m:r>
            <w:rPr>
              <w:rFonts w:ascii="Cambria Math" w:hAnsi="Cambria Math"/>
            </w:rPr>
            <m:t xml:space="preserve"> </m:t>
          </m:r>
          <m:r>
            <m:rPr>
              <m:sty m:val="p"/>
            </m:rPr>
            <w:rPr>
              <w:rFonts w:ascii="Cambria Math" w:hAnsi="Cambria Math"/>
            </w:rPr>
            <m:t>tol</m:t>
          </m:r>
          <m:r>
            <w:rPr>
              <w:rFonts w:ascii="Cambria Math" w:hAnsi="Cambria Math"/>
            </w:rPr>
            <m:t>=</m:t>
          </m:r>
          <m:r>
            <w:rPr>
              <w:rFonts w:ascii="Cambria Math" w:hAnsi="Cambria Math"/>
            </w:rPr>
            <m:t>1</m:t>
          </m:r>
          <m:r>
            <w:rPr>
              <w:rFonts w:ascii="Cambria Math" w:hAnsi="Cambria Math"/>
            </w:rPr>
            <m:t xml:space="preserve"> </m:t>
          </m:r>
          <m:r>
            <m:rPr>
              <m:sty m:val="p"/>
            </m:rPr>
            <w:rPr>
              <w:rFonts w:ascii="Cambria Math" w:hAnsi="Cambria Math"/>
            </w:rPr>
            <m:t>W</m:t>
          </m:r>
          <m:r>
            <w:rPr>
              <w:rFonts w:ascii="Cambria Math" w:hAnsi="Cambria Math"/>
            </w:rPr>
            <m:t>,</m:t>
          </m:r>
          <m:r>
            <w:rPr>
              <w:rFonts w:ascii="Cambria Math" w:hAnsi="Cambria Math"/>
            </w:rPr>
            <m:t xml:space="preserve"> </m:t>
          </m:r>
          <m:f>
            <m:num>
              <m:r>
                <w:rPr>
                  <w:rFonts w:ascii="Cambria Math" w:hAnsi="Cambria Math"/>
                </w:rPr>
                <m:t>1</m:t>
              </m:r>
            </m:num>
            <m:den>
              <m:r>
                <w:rPr>
                  <w:rFonts w:ascii="Cambria Math" w:hAnsi="Cambria Math"/>
                </w:rPr>
                <m:t>2</m:t>
              </m:r>
            </m:den>
          </m:f>
          <m:r>
            <w:rPr>
              <w:rFonts w:ascii="Cambria Math" w:hAnsi="Cambria Math"/>
            </w:rPr>
            <m:t xml:space="preserve"> </m:t>
          </m:r>
          <m:r>
            <m:rPr>
              <m:nor m:val="1"/>
            </m:rPr>
            <w:rPr>
              <w:rFonts w:ascii="Cambria Math" w:hAnsi="Cambria Math"/>
            </w:rPr>
            <m:t>Druckstelle</m:t>
          </m:r>
          <m:r>
            <w:rPr>
              <w:rFonts w:ascii="Cambria Math" w:hAnsi="Cambria Math"/>
            </w:rPr>
            <m:t>=</m:t>
          </m:r>
          <m:r>
            <w:rPr>
              <w:rFonts w:ascii="Cambria Math" w:hAnsi="Cambria Math"/>
            </w:rPr>
            <m:t>0</m:t>
          </m:r>
          <m:r>
            <w:rPr>
              <w:rFonts w:ascii="Cambria Math" w:hAnsi="Cambria Math"/>
            </w:rPr>
            <m:t>,</m:t>
          </m:r>
          <m:r>
            <w:rPr>
              <w:rFonts w:ascii="Cambria Math" w:hAnsi="Cambria Math"/>
            </w:rPr>
            <m:t>5</m:t>
          </m:r>
          <m:r>
            <w:rPr>
              <w:rFonts w:ascii="Cambria Math" w:hAnsi="Cambria Math"/>
            </w:rPr>
            <m:t xml:space="preserve"> </m:t>
          </m:r>
          <m:r>
            <m:rPr>
              <m:sty m:val="p"/>
            </m:rPr>
            <w:rPr>
              <w:rFonts w:ascii="Cambria Math" w:hAnsi="Cambria Math"/>
            </w:rPr>
            <m:t>W</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m:t>
          </m:r>
          <m:r>
            <w:rPr>
              <w:rFonts w:ascii="Cambria Math" w:hAnsi="Cambria Math"/>
            </w:rPr>
            <m:t>1</m:t>
          </m:r>
          <m:r>
            <w:rPr>
              <w:rFonts w:ascii="Cambria Math" w:hAnsi="Cambria Math"/>
            </w:rPr>
            <m:t>,</m:t>
          </m:r>
          <m:r>
            <w:rPr>
              <w:rFonts w:ascii="Cambria Math" w:hAnsi="Cambria Math"/>
            </w:rPr>
            <m:t>5</m:t>
          </m:r>
          <m:r>
            <w:rPr>
              <w:rFonts w:ascii="Cambria Math" w:hAnsi="Cambria Math"/>
            </w:rPr>
            <m:t xml:space="preserve"> </m:t>
          </m:r>
          <m:r>
            <m:rPr>
              <m:sty m:val="p"/>
            </m:rPr>
            <w:rPr>
              <w:rFonts w:ascii="Cambria Math" w:hAnsi="Cambria Math"/>
            </w:rPr>
            <m:t>W</m:t>
          </m:r>
        </m:oMath>
      </m:oMathPara>
    </w:p>
    <w:p>
      <w:r>
        <w:t xml:space="preserve">Die Regel gilt </w:t>
      </w:r>
      <w:r>
        <w:rPr>
          <w:b/>
        </w:rPr>
        <w:t xml:space="preserve">einheitlich für alle Größen und alle zwölf Fälle</w:t>
      </w:r>
      <w:r>
        <w:t xml:space="preserve">, nicht fallweise — sonst hinge das Urteil an der Größe statt an der Regel.</w:t>
      </w:r>
    </w:p>
    <w:p>
      <w:r>
        <w:rPr>
          <w:b/>
        </w:rPr>
        <w:t xml:space="preserve">Stand des Nachweises: 35 von 36 Prüfungen bestanden, 11 von 12 Fällen vollständig im Band.</w:t>
      </w:r>
      <w:r>
        <w:t xml:space="preserve"> Offen ist allein Testbeispiel 11 mit der Kühldecke: zwei Umschaltstunden liegen um 3,4 bzw. 2,8 W neben dem Band mit Druckrundung, gegen das strenge Band um 3,9 bzw. 3,3 W. Die wahrscheinlichste Ursache — das Ein-Knoten-Innenmodell trennt die Kühldecke nicht von den übrigen Innenflächen, der Umschaltzeitpunkt liegt rund 45 s zu früh — ist diagnostisch belegt, aber </w:t>
      </w:r>
      <w:r>
        <w:rPr>
          <w:b/>
        </w:rPr>
        <w:t xml:space="preserve">nicht bewiesen</w:t>
      </w:r>
      <w:r>
        <w:t xml:space="preserve">: belegt ist der Umschaltversatz, nicht seine Ursache. G0 löst ihn über einen eigenen Oberflächenknoten oder weist ihn als bekannte Grenze aus.</w:t>
      </w:r>
    </w:p>
    <w:p>
      <w:r>
        <w:rPr>
          <w:b/>
        </w:rPr>
        <w:t xml:space="preserve">Reine Rechenproben ohne Datenbank:</w:t>
      </w:r>
      <w:r>
        <w:t xml:space="preserve"> beide Eigenwerte reell und negativ in jedem Betriebsfall; </w:t>
      </w:r>
      <m:oMath xmlns:m="http://schemas.openxmlformats.org/officeDocument/2006/math">
        <m:r>
          <w:rPr>
            <w:rFonts w:ascii="Cambria Math" w:hAnsi="Cambria Math"/>
          </w:rPr>
          <m:t>Γ</m:t>
        </m:r>
      </m:oMath>
      <w:r>
        <w:t xml:space="preserve"> gegen </w:t>
      </w:r>
      <m:oMath xmlns:m="http://schemas.openxmlformats.org/officeDocument/2006/math">
        <m:sSup>
          <m:e>
            <m:r>
              <m:rPr>
                <m:sty m:val="b"/>
              </m:rPr>
              <w:rPr>
                <w:rFonts w:ascii="Cambria Math" w:hAnsi="Cambria Math"/>
              </w:rPr>
              <m:t>A</m:t>
            </m:r>
          </m:e>
          <m:sup>
            <m:r>
              <w:rPr>
                <w:rFonts w:ascii="Cambria Math" w:hAnsi="Cambria Math"/>
              </w:rPr>
              <m:t>-</m:t>
            </m:r>
            <m:r>
              <w:rPr>
                <w:rFonts w:ascii="Cambria Math" w:hAnsi="Cambria Math"/>
              </w:rPr>
              <m:t>1</m:t>
            </m:r>
          </m:sup>
        </m:sSup>
        <m:r>
          <w:rPr>
            <w:rFonts w:ascii="Cambria Math" w:hAnsi="Cambria Math"/>
          </w:rPr>
          <m:t>⋅</m:t>
        </m:r>
        <m:r>
          <w:rPr>
            <w:rFonts w:ascii="Cambria Math" w:hAnsi="Cambria Math"/>
          </w:rPr>
          <m:t>(</m:t>
        </m:r>
        <m:r>
          <w:rPr>
            <w:rFonts w:ascii="Cambria Math" w:hAnsi="Cambria Math"/>
          </w:rPr>
          <m:t>Φ</m:t>
        </m:r>
        <m:r>
          <w:rPr>
            <w:rFonts w:ascii="Cambria Math" w:hAnsi="Cambria Math"/>
          </w:rPr>
          <m:t>-</m:t>
        </m:r>
        <m:r>
          <m:rPr>
            <m:sty m:val="b"/>
          </m:rPr>
          <w:rPr>
            <w:rFonts w:ascii="Cambria Math" w:hAnsi="Cambria Math"/>
          </w:rPr>
          <m:t>I</m:t>
        </m:r>
        <m:r>
          <w:rPr>
            <w:rFonts w:ascii="Cambria Math" w:hAnsi="Cambria Math"/>
          </w:rPr>
          <m:t>)</m:t>
        </m:r>
      </m:oMath>
      <w:r>
        <w:t xml:space="preserve"> auf Maschinengenauigkeit; stetiger Übergang der Reihenentwicklung nahe null; zwei Läufe derselben Instanz nach dem Zurücksetzen byte-gleich; Vorlaufkonvergenz unter 0,1 K für Zeitkonstanten bis rund 25 h; der stationäre Grenzfall gegen den </w:t>
      </w:r>
      <w:r>
        <w:rPr>
          <w:b/>
        </w:rPr>
        <w:t xml:space="preserve">wirksamen</w:t>
      </w:r>
      <w:r>
        <w:t xml:space="preserve"> Leitwert, nicht gegen die Summe der U·A; </w:t>
      </w:r>
      <m:oMath xmlns:m="http://schemas.openxmlformats.org/officeDocument/2006/math">
        <m:sSub>
          <m:e>
            <m:r>
              <w:rPr>
                <w:rFonts w:ascii="Cambria Math" w:hAnsi="Cambria Math"/>
              </w:rPr>
              <m:t>R</m:t>
            </m:r>
          </m:e>
          <m:sub>
            <m:r>
              <m:rPr>
                <m:sty m:val="p"/>
              </m:rPr>
              <w:rPr>
                <w:rFonts w:ascii="Cambria Math" w:hAnsi="Cambria Math"/>
              </w:rPr>
              <m:t>Rest,AW</m:t>
            </m:r>
          </m:sub>
        </m:sSub>
        <m:r>
          <w:rPr>
            <w:rFonts w:ascii="Cambria Math" w:hAnsi="Cambria Math"/>
          </w:rPr>
          <m:t>≤</m:t>
        </m:r>
        <m:r>
          <w:rPr>
            <w:rFonts w:ascii="Cambria Math" w:hAnsi="Cambria Math"/>
          </w:rPr>
          <m:t>0</m:t>
        </m:r>
      </m:oMath>
      <w:r>
        <w:t xml:space="preserve"> als benannter Abbruch </w:t>
      </w:r>
      <w:r>
        <w:rPr>
          <w:b/>
        </w:rPr>
        <w:t xml:space="preserve">ohne</w:t>
      </w:r>
      <w:r>
        <w:t xml:space="preserve"> Klemmwert; ein Ferientag außerhalb 1…365 in einem aktiven Fahrplan als benannte Ablehnung; ein Vergleichsverbrauch von null als benannte Ablehnung.</w:t>
      </w:r>
    </w:p>
    <w:p>
      <w:r>
        <w:rPr>
          <w:b/>
        </w:rPr>
        <w:t xml:space="preserve">Grenzfälle:</w:t>
      </w:r>
      <w:r>
        <w:t xml:space="preserve"> ein leichtes Gebäude macht die kleinere Zeitkonstante sehr klein — der Schritt bleibt stabil, weil die Matrixexponentialfunktion exakt gebildet wird; ein schweres Gebäude verlangt, den Vorlauf an der größeren Zeitkonstante zu messen, oberhalb von rund 250 h ist er zu prüfen; sehr gute Dämmung macht das System langsam und ist unkritisch; sehr schlechte Dämmung führt auf den benannten Abbruch; der Fall gleicher Eigenwerte geht in die Ableitungsform der Sylvester-Formel über und ist eigens zu prüfen. Rechenzeit rund 5 ms je Gebäude und Jahr; die Spanne erklärt sich vollständig aus der Zahl der Umschaltereignisse mit rund 7,4 µs je Ereignis.</w:t>
      </w:r>
    </w:p>
    <w:p>
      <w:r>
        <w:rPr>
          <w:b/>
        </w:rPr>
        <w:t xml:space="preserve">Der Produktausweis</w:t>
      </w:r>
      <w:r>
        <w:t xml:space="preserve"> steht unverändert wie in Kapitel 1.4 zitiert. </w:t>
      </w:r>
      <w:r>
        <w:rPr>
          <w:b/>
        </w:rPr>
        <w:t xml:space="preserve">Die Normzahlen werden nicht ausgeliefert</w:t>
      </w:r>
      <w:r>
        <w:t xml:space="preserve">; der ausgelieferte Test führt nur die berechneten Abweichungen und das Bestanden-Kriterium.</w:t>
      </w:r>
    </w:p>
    <w:p>
      <w:pPr>
        <w:pStyle w:val="Heading2"/>
      </w:pPr>
      <w:r>
        <w:t xml:space="preserve">10.12 Die benannten Abweichungen von der Richtlinie</w:t>
      </w:r>
    </w:p>
    <w:p>
      <w:r>
        <w:t xml:space="preserve">Jede Zeile ist eine bewusste Festlegung, keine Lücke. </w:t>
      </w:r>
      <w:r>
        <w:rPr>
          <w:b/>
        </w:rPr>
        <w:t xml:space="preserve">Vierzehn von fünfzehn gelten weiter; Zeile 4 ist mit E14 entfallen</w:t>
      </w:r>
      <w:r>
        <w:t xml:space="preserve"> und bleibt nur als Beschreibung des Prototypwegs stehen.</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w:t>
            </w:r>
          </w:p>
        </w:tc>
        <w:tc>
          <w:tcPr>
            <w:tcW w:w="0" w:type="auto"/>
            <w:shd w:val="clear" w:color="auto" w:fill="D9D9D9"/>
          </w:tcPr>
          <w:p>
            <w:pPr>
              <w:spacing w:after="0" w:line="240" w:lineRule="auto"/>
              <w:rPr>
                <w:b/>
              </w:rPr>
            </w:pPr>
            <w:r>
              <w:rPr>
                <w:b/>
              </w:rPr>
              <w:t xml:space="preserve">Abweichung</w:t>
            </w:r>
          </w:p>
        </w:tc>
        <w:tc>
          <w:tcPr>
            <w:tcW w:w="0" w:type="auto"/>
            <w:shd w:val="clear" w:color="auto" w:fill="D9D9D9"/>
          </w:tcPr>
          <w:p>
            <w:pPr>
              <w:spacing w:after="0" w:line="240" w:lineRule="auto"/>
              <w:rPr>
                <w:b/>
              </w:rPr>
            </w:pPr>
            <w:r>
              <w:rPr>
                <w:b/>
              </w:rPr>
              <w:t xml:space="preserve">Warum in EPOS-Plan</w:t>
            </w:r>
          </w:p>
        </w:tc>
      </w:tr>
      <w:tr>
        <w:tc>
          <w:tcPr>
            <w:tcW w:w="0" w:type="auto"/>
          </w:tcPr>
          <w:p>
            <w:pPr>
              <w:spacing w:after="0" w:line="240" w:lineRule="auto"/>
            </w:pPr>
            <w:r>
              <w:t xml:space="preserve">1</w:t>
            </w:r>
          </w:p>
        </w:tc>
        <w:tc>
          <w:tcPr>
            <w:tcW w:w="0" w:type="auto"/>
          </w:tcPr>
          <w:p>
            <w:pPr>
              <w:spacing w:after="0" w:line="240" w:lineRule="auto"/>
            </w:pPr>
            <w:r>
              <w:rPr>
                <w:b/>
              </w:rPr>
              <w:t xml:space="preserve">Hay-Davies</w:t>
            </w:r>
            <w:r>
              <w:t xml:space="preserve"> statt des vorgeschriebenen Transpositionsmodells</w:t>
            </w:r>
          </w:p>
        </w:tc>
        <w:tc>
          <w:tcPr>
            <w:tcW w:w="0" w:type="auto"/>
          </w:tcPr>
          <w:p>
            <w:pPr>
              <w:spacing w:after="0" w:line="240" w:lineRule="auto"/>
            </w:pPr>
            <w:r>
              <w:t xml:space="preserve">der Bedeckungsgrad fehlt in den Klimadaten, und Blatt 3 verlangt die Koordinaten des Referenzorts, nicht des Projektorts. Hay-Davies ist gegenüber dem isotropen Bestandsweg eine erhebliche Verbesserung; in G1 wird das Normmodell </w:t>
            </w:r>
            <w:r>
              <w:rPr>
                <w:b/>
              </w:rPr>
              <w:t xml:space="preserve">daneben</w:t>
            </w:r>
            <w:r>
              <w:t xml:space="preserve"> gerechnet und gegengehalten</w:t>
            </w:r>
          </w:p>
        </w:tc>
      </w:tr>
      <w:tr>
        <w:tc>
          <w:tcPr>
            <w:tcW w:w="0" w:type="auto"/>
          </w:tcPr>
          <w:p>
            <w:pPr>
              <w:spacing w:after="0" w:line="240" w:lineRule="auto"/>
            </w:pPr>
            <w:r>
              <w:t xml:space="preserve">2</w:t>
            </w:r>
          </w:p>
        </w:tc>
        <w:tc>
          <w:tcPr>
            <w:tcW w:w="0" w:type="auto"/>
          </w:tcPr>
          <w:p>
            <w:pPr>
              <w:spacing w:after="0" w:line="240" w:lineRule="auto"/>
            </w:pPr>
            <w:r>
              <w:rPr>
                <w:b/>
              </w:rPr>
              <w:t xml:space="preserve">Kusuda-Erdreich</w:t>
            </w:r>
          </w:p>
        </w:tc>
        <w:tc>
          <w:tcPr>
            <w:tcW w:w="0" w:type="auto"/>
          </w:tcPr>
          <w:p>
            <w:pPr>
              <w:spacing w:after="0" w:line="240" w:lineRule="auto"/>
            </w:pPr>
            <w:r>
              <w:t xml:space="preserve">die Richtlinie hat kein Erdreichmodell; erdberührte Bauteile laufen über die Nachbarraum-Temperatur. Kusuda liefert genau diese Temperatur, statt sie erfinden zu lassen; </w:t>
            </w:r>
            <w:r>
              <w:rPr>
                <w:rFonts w:ascii="Consolas" w:hAnsi="Consolas" w:cs="Consolas"/>
                <w:noProof/>
                <w:sz w:val="20"/>
                <w:szCs w:val="20"/>
                <w:shd w:val="clear" w:color="auto" w:fill="EFEFEF"/>
              </w:rPr>
              <w:t xml:space="preserve">KELLER</w:t>
            </w:r>
            <w:r>
              <w:t xml:space="preserve"> ist der Normweg mit vorgegebener Temperatur</w:t>
            </w:r>
          </w:p>
        </w:tc>
      </w:tr>
      <w:tr>
        <w:tc>
          <w:tcPr>
            <w:tcW w:w="0" w:type="auto"/>
          </w:tcPr>
          <w:p>
            <w:pPr>
              <w:spacing w:after="0" w:line="240" w:lineRule="auto"/>
            </w:pPr>
            <w:r>
              <w:t xml:space="preserve">3</w:t>
            </w:r>
          </w:p>
        </w:tc>
        <w:tc>
          <w:tcPr>
            <w:tcW w:w="0" w:type="auto"/>
          </w:tcPr>
          <w:p>
            <w:pPr>
              <w:spacing w:after="0" w:line="240" w:lineRule="auto"/>
            </w:pPr>
            <w:r>
              <w:rPr>
                <w:b/>
              </w:rPr>
              <w:t xml:space="preserve">Klassenweg-Parameter</w:t>
            </w:r>
            <w:r>
              <w:t xml:space="preserve"> </w:t>
            </w:r>
            <m:oMath xmlns:m="http://schemas.openxmlformats.org/officeDocument/2006/math">
              <m:sSub>
                <m:e>
                  <m:r>
                    <w:rPr>
                      <w:rFonts w:ascii="Cambria Math" w:hAnsi="Cambria Math"/>
                    </w:rPr>
                    <m:t>h</m:t>
                  </m:r>
                </m:e>
                <m:sub>
                  <m:r>
                    <m:rPr>
                      <m:sty m:val="p"/>
                    </m:rPr>
                    <w:rPr>
                      <w:rFonts w:ascii="Cambria Math" w:hAnsi="Cambria Math"/>
                    </w:rPr>
                    <m:t>ms</m:t>
                  </m:r>
                </m:sub>
              </m:sSub>
              <m:r>
                <w:rPr>
                  <w:rFonts w:ascii="Cambria Math" w:hAnsi="Cambria Math"/>
                </w:rPr>
                <m:t>=</m:t>
              </m:r>
              <m:r>
                <w:rPr>
                  <w:rFonts w:ascii="Cambria Math" w:hAnsi="Cambria Math"/>
                </w:rPr>
                <m:t>9</m:t>
              </m:r>
              <m:r>
                <w:rPr>
                  <w:rFonts w:ascii="Cambria Math" w:hAnsi="Cambria Math"/>
                </w:rPr>
                <m:t>,</m:t>
              </m:r>
              <m:r>
                <w:rPr>
                  <w:rFonts w:ascii="Cambria Math" w:hAnsi="Cambria Math"/>
                </w:rPr>
                <m:t>1</m:t>
              </m:r>
            </m:oMath>
            <w:r>
              <w:t xml:space="preserve"> W/(m²K), </w:t>
            </w:r>
            <m:oMath xmlns:m="http://schemas.openxmlformats.org/officeDocument/2006/math">
              <m:sSub>
                <m:e>
                  <m:r>
                    <w:rPr>
                      <w:rFonts w:ascii="Cambria Math" w:hAnsi="Cambria Math"/>
                    </w:rPr>
                    <m:t>a</m:t>
                  </m:r>
                </m:e>
                <m:sub>
                  <m:r>
                    <m:rPr>
                      <m:sty m:val="p"/>
                    </m:rPr>
                    <w:rPr>
                      <w:rFonts w:ascii="Cambria Math" w:hAnsi="Cambria Math"/>
                    </w:rPr>
                    <m:t>AW</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3</m:t>
              </m:r>
            </m:oMath>
            <w:r>
              <w:t xml:space="preserve">, </w:t>
            </w:r>
            <m:oMath xmlns:m="http://schemas.openxmlformats.org/officeDocument/2006/math">
              <m:sSub>
                <m:e>
                  <m:r>
                    <w:rPr>
                      <w:rFonts w:ascii="Cambria Math" w:hAnsi="Cambria Math"/>
                    </w:rPr>
                    <m:t>f</m:t>
                  </m:r>
                </m:e>
                <m:sub>
                  <m:r>
                    <m:rPr>
                      <m:sty m:val="p"/>
                    </m:rPr>
                    <w:rPr>
                      <w:rFonts w:ascii="Cambria Math" w:hAnsi="Cambria Math"/>
                    </w:rPr>
                    <m:t>IW</m:t>
                  </m:r>
                </m:sub>
              </m:sSub>
              <m:r>
                <w:rPr>
                  <w:rFonts w:ascii="Cambria Math" w:hAnsi="Cambria Math"/>
                </w:rPr>
                <m:t>=</m:t>
              </m:r>
              <m:r>
                <w:rPr>
                  <w:rFonts w:ascii="Cambria Math" w:hAnsi="Cambria Math"/>
                </w:rPr>
                <m:t>2</m:t>
              </m:r>
              <m:r>
                <w:rPr>
                  <w:rFonts w:ascii="Cambria Math" w:hAnsi="Cambria Math"/>
                </w:rPr>
                <m:t>,</m:t>
              </m:r>
              <m:r>
                <w:rPr>
                  <w:rFonts w:ascii="Cambria Math" w:hAnsi="Cambria Math"/>
                </w:rPr>
                <m:t>5</m:t>
              </m:r>
            </m:oMath>
          </w:p>
        </w:tc>
        <w:tc>
          <w:tcPr>
            <w:tcW w:w="0" w:type="auto"/>
          </w:tcPr>
          <w:p>
            <w:pPr>
              <w:spacing w:after="0" w:line="240" w:lineRule="auto"/>
            </w:pPr>
            <w:r>
              <w:rPr>
                <w:rFonts w:ascii="Consolas" w:hAnsi="Consolas" w:cs="Consolas"/>
                <w:noProof/>
                <w:sz w:val="20"/>
                <w:szCs w:val="20"/>
                <w:shd w:val="clear" w:color="auto" w:fill="EFEFEF"/>
              </w:rPr>
              <w:t xml:space="preserve">Tab_Gebaeude</w:t>
            </w:r>
            <w:r>
              <w:t xml:space="preserve"> führt keine Schichtaufbauten; der Klassenweg ist die Brücke, bis Bauteilkatalog und Import sie liefern</w:t>
            </w:r>
          </w:p>
        </w:tc>
      </w:tr>
      <w:tr>
        <w:tc>
          <w:tcPr>
            <w:tcW w:w="0" w:type="auto"/>
          </w:tcPr>
          <w:p>
            <w:pPr>
              <w:spacing w:after="0" w:line="240" w:lineRule="auto"/>
            </w:pPr>
            <w:r>
              <w:t xml:space="preserve">4</w:t>
            </w:r>
          </w:p>
        </w:tc>
        <w:tc>
          <w:tcPr>
            <w:tcW w:w="0" w:type="auto"/>
          </w:tcPr>
          <w:p>
            <w:pPr>
              <w:spacing w:after="0" w:line="240" w:lineRule="auto"/>
            </w:pPr>
            <w:r>
              <w:rPr>
                <w:b/>
              </w:rPr>
              <w:t xml:space="preserve">Entfallen mit E14 (16.09.2026)</w:t>
            </w:r>
            <w:r>
              <w:t xml:space="preserve"> — der Normweg (25)–(28) gilt bereits in G1</w:t>
            </w:r>
          </w:p>
        </w:tc>
        <w:tc>
          <w:tcPr>
            <w:tcW w:w="0" w:type="auto"/>
          </w:tcPr>
          <w:p>
            <w:pPr>
              <w:spacing w:after="0" w:line="240" w:lineRule="auto"/>
            </w:pPr>
            <w:r>
              <w:t xml:space="preserve">Die Abweichung „Fenster im Lüftungszweig statt im Außenwandzweig" war eine bewusste Vereinfachung des Prototyps: der Fensterpfad umging den Massenknoten und das innere Oberflächennetz. Mit E14 liegt das Fenster im Außenwandzweig (A7a), die Zeile ist damit </w:t>
            </w:r>
            <w:r>
              <w:rPr>
                <w:b/>
              </w:rPr>
              <w:t xml:space="preserve">keine Abweichung mehr</w:t>
            </w:r>
            <w:r>
              <w:t xml:space="preserve">; sie bleibt als Beschreibung des Prototypwegs stehen, in dessen Konvention die Zahlen in 10.10 entstanden sind</w:t>
            </w:r>
          </w:p>
        </w:tc>
      </w:tr>
      <w:tr>
        <w:tc>
          <w:tcPr>
            <w:tcW w:w="0" w:type="auto"/>
          </w:tcPr>
          <w:p>
            <w:pPr>
              <w:spacing w:after="0" w:line="240" w:lineRule="auto"/>
            </w:pPr>
            <w:r>
              <w:t xml:space="preserve">5</w:t>
            </w:r>
          </w:p>
        </w:tc>
        <w:tc>
          <w:tcPr>
            <w:tcW w:w="0" w:type="auto"/>
          </w:tcPr>
          <w:p>
            <w:pPr>
              <w:spacing w:after="0" w:line="240" w:lineRule="auto"/>
            </w:pPr>
            <w:r>
              <w:rPr>
                <w:b/>
              </w:rPr>
              <w:t xml:space="preserve">Zeitbezug Stundenanfang statt Stundenmitte</w:t>
            </w:r>
          </w:p>
        </w:tc>
        <w:tc>
          <w:tcPr>
            <w:tcW w:w="0" w:type="auto"/>
          </w:tcPr>
          <w:p>
            <w:pPr>
              <w:spacing w:after="0" w:line="240" w:lineRule="auto"/>
            </w:pPr>
            <w:r>
              <w:t xml:space="preserve">der Klimaimport des Bestands übergibt den Stundenanfang; der Unterschied sind 7,5° Stundenwinkel und trifft Ost und West. Entschieden wird an einer Stelle</w:t>
            </w:r>
          </w:p>
        </w:tc>
      </w:tr>
      <w:tr>
        <w:tc>
          <w:tcPr>
            <w:tcW w:w="0" w:type="auto"/>
          </w:tcPr>
          <w:p>
            <w:pPr>
              <w:spacing w:after="0" w:line="240" w:lineRule="auto"/>
            </w:pPr>
            <w:r>
              <w:t xml:space="preserve">6</w:t>
            </w:r>
          </w:p>
        </w:tc>
        <w:tc>
          <w:tcPr>
            <w:tcW w:w="0" w:type="auto"/>
          </w:tcPr>
          <w:p>
            <w:pPr>
              <w:spacing w:after="0" w:line="240" w:lineRule="auto"/>
            </w:pPr>
            <w:r>
              <w:rPr>
                <w:b/>
              </w:rPr>
              <w:t xml:space="preserve">Rahmenanteil und Winkelkorrektur 0,9</w:t>
            </w:r>
          </w:p>
        </w:tc>
        <w:tc>
          <w:tcPr>
            <w:tcW w:w="0" w:type="auto"/>
          </w:tcPr>
          <w:p>
            <w:pPr>
              <w:spacing w:after="0" w:line="240" w:lineRule="auto"/>
            </w:pPr>
            <w:r>
              <w:t xml:space="preserve">Blatt 2 schließt Rahmen ausdrücklich aus; der Rahmenanteil bildet ab, dass die Katalogfläche die Rohbaufläche ist, und 0,9 ist die Näherung für die winkelabhängige Korrektur, die mit G3 kommt</w:t>
            </w:r>
          </w:p>
        </w:tc>
      </w:tr>
      <w:tr>
        <w:tc>
          <w:tcPr>
            <w:tcW w:w="0" w:type="auto"/>
          </w:tcPr>
          <w:p>
            <w:pPr>
              <w:spacing w:after="0" w:line="240" w:lineRule="auto"/>
            </w:pPr>
            <w:r>
              <w:t xml:space="preserve">7</w:t>
            </w:r>
          </w:p>
        </w:tc>
        <w:tc>
          <w:tcPr>
            <w:tcW w:w="0" w:type="auto"/>
          </w:tcPr>
          <w:p>
            <w:pPr>
              <w:spacing w:after="0" w:line="240" w:lineRule="auto"/>
            </w:pPr>
            <w:r>
              <w:rPr>
                <w:b/>
              </w:rPr>
              <w:t xml:space="preserve">Verschattung als Pauschalfaktor</w:t>
            </w:r>
            <w:r>
              <w:t xml:space="preserve"> (0,9 / 0,8 / 0,7)</w:t>
            </w:r>
          </w:p>
        </w:tc>
        <w:tc>
          <w:tcPr>
            <w:tcW w:w="0" w:type="auto"/>
          </w:tcPr>
          <w:p>
            <w:pPr>
              <w:spacing w:after="0" w:line="240" w:lineRule="auto"/>
            </w:pPr>
            <w:r>
              <w:t xml:space="preserve">die Datenbank führt keine Verbauungsgeometrie; mit dem Import wird sie verfügbar</w:t>
            </w:r>
          </w:p>
        </w:tc>
      </w:tr>
      <w:tr>
        <w:tc>
          <w:tcPr>
            <w:tcW w:w="0" w:type="auto"/>
          </w:tcPr>
          <w:p>
            <w:pPr>
              <w:spacing w:after="0" w:line="240" w:lineRule="auto"/>
            </w:pPr>
            <w:r>
              <w:t xml:space="preserve">8</w:t>
            </w:r>
          </w:p>
        </w:tc>
        <w:tc>
          <w:tcPr>
            <w:tcW w:w="0" w:type="auto"/>
          </w:tcPr>
          <w:p>
            <w:pPr>
              <w:spacing w:after="0" w:line="240" w:lineRule="auto"/>
            </w:pPr>
            <w:r>
              <w:rPr>
                <w:b/>
              </w:rPr>
              <w:t xml:space="preserve">Absorptionsgrad 0,6</w:t>
            </w:r>
            <w:r>
              <w:t xml:space="preserve"> für opake Außenflächen</w:t>
            </w:r>
          </w:p>
        </w:tc>
        <w:tc>
          <w:tcPr>
            <w:tcW w:w="0" w:type="auto"/>
          </w:tcPr>
          <w:p>
            <w:pPr>
              <w:spacing w:after="0" w:line="240" w:lineRule="auto"/>
            </w:pPr>
            <w:r>
              <w:t xml:space="preserve">kein Normwert; EPOS-Vorgabe, je Bauteil eingebbar mit G3. In G1 ist der Term ohnehin abgeschaltet</w:t>
            </w:r>
          </w:p>
        </w:tc>
      </w:tr>
      <w:tr>
        <w:tc>
          <w:tcPr>
            <w:tcW w:w="0" w:type="auto"/>
          </w:tcPr>
          <w:p>
            <w:pPr>
              <w:spacing w:after="0" w:line="240" w:lineRule="auto"/>
            </w:pPr>
            <w:r>
              <w:t xml:space="preserve">9</w:t>
            </w:r>
          </w:p>
        </w:tc>
        <w:tc>
          <w:tcPr>
            <w:tcW w:w="0" w:type="auto"/>
          </w:tcPr>
          <w:p>
            <w:pPr>
              <w:spacing w:after="0" w:line="240" w:lineRule="auto"/>
            </w:pPr>
            <w:r>
              <w:rPr>
                <w:b/>
              </w:rPr>
              <w:t xml:space="preserve">Konvektiver Anteil des Fenstersolars 0,09</w:t>
            </w:r>
            <w:r>
              <w:t xml:space="preserve"> als Vorgabe</w:t>
            </w:r>
          </w:p>
        </w:tc>
        <w:tc>
          <w:tcPr>
            <w:tcW w:w="0" w:type="auto"/>
          </w:tcPr>
          <w:p>
            <w:pPr>
              <w:spacing w:after="0" w:line="240" w:lineRule="auto"/>
            </w:pPr>
            <w:r>
              <w:t xml:space="preserve">gilt für Dreifach-Wärmeschutz; die Tabellenwerte sind je Verglasungsart zu übernehmen</w:t>
            </w:r>
          </w:p>
        </w:tc>
      </w:tr>
      <w:tr>
        <w:tc>
          <w:tcPr>
            <w:tcW w:w="0" w:type="auto"/>
          </w:tcPr>
          <w:p>
            <w:pPr>
              <w:spacing w:after="0" w:line="240" w:lineRule="auto"/>
            </w:pPr>
            <w:r>
              <w:t xml:space="preserve">10</w:t>
            </w:r>
          </w:p>
        </w:tc>
        <w:tc>
          <w:tcPr>
            <w:tcW w:w="0" w:type="auto"/>
          </w:tcPr>
          <w:p>
            <w:pPr>
              <w:spacing w:after="0" w:line="240" w:lineRule="auto"/>
            </w:pPr>
            <m:oMath xmlns:m="http://schemas.openxmlformats.org/officeDocument/2006/math">
              <m:sSub>
                <m:e>
                  <m:r>
                    <w:rPr>
                      <w:rFonts w:ascii="Cambria Math" w:hAnsi="Cambria Math"/>
                    </w:rPr>
                    <m:t>α</m:t>
                  </m:r>
                </m:e>
                <m:sub>
                  <m:r>
                    <m:rPr>
                      <m:sty m:val="p"/>
                    </m:rPr>
                    <w:rPr>
                      <w:rFonts w:ascii="Cambria Math" w:hAnsi="Cambria Math"/>
                    </w:rPr>
                    <m:t>kon,i</m:t>
                  </m:r>
                </m:sub>
              </m:sSub>
              <m:r>
                <w:rPr>
                  <w:rFonts w:ascii="Cambria Math" w:hAnsi="Cambria Math"/>
                </w:rPr>
                <m:t>=</m:t>
              </m:r>
              <m:r>
                <w:rPr>
                  <w:rFonts w:ascii="Cambria Math" w:hAnsi="Cambria Math"/>
                </w:rPr>
                <m:t>2</m:t>
              </m:r>
              <m:r>
                <w:rPr>
                  <w:rFonts w:ascii="Cambria Math" w:hAnsi="Cambria Math"/>
                </w:rPr>
                <m:t>,</m:t>
              </m:r>
              <m:r>
                <w:rPr>
                  <w:rFonts w:ascii="Cambria Math" w:hAnsi="Cambria Math"/>
                </w:rPr>
                <m:t>7</m:t>
              </m:r>
            </m:oMath>
            <w:r>
              <w:rPr>
                <w:b/>
              </w:rPr>
              <w:t xml:space="preserve"> global, </w:t>
            </w:r>
            <m:oMath xmlns:m="http://schemas.openxmlformats.org/officeDocument/2006/math">
              <m:sSub>
                <m:e>
                  <m:r>
                    <w:rPr>
                      <w:rFonts w:ascii="Cambria Math" w:hAnsi="Cambria Math"/>
                    </w:rPr>
                    <m:t>α</m:t>
                  </m:r>
                </m:e>
                <m:sub>
                  <m:r>
                    <m:rPr>
                      <m:sty m:val="p"/>
                    </m:rPr>
                    <w:rPr>
                      <w:rFonts w:ascii="Cambria Math" w:hAnsi="Cambria Math"/>
                    </w:rPr>
                    <m:t>A</m:t>
                  </m:r>
                </m:sub>
              </m:sSub>
              <m:r>
                <w:rPr>
                  <w:rFonts w:ascii="Cambria Math" w:hAnsi="Cambria Math"/>
                </w:rPr>
                <m:t>=</m:t>
              </m:r>
              <m:r>
                <w:rPr>
                  <w:rFonts w:ascii="Cambria Math" w:hAnsi="Cambria Math"/>
                </w:rPr>
                <m:t>2</m:t>
              </m:r>
              <m:r>
                <w:rPr>
                  <w:rFonts w:ascii="Cambria Math" w:hAnsi="Cambria Math"/>
                </w:rPr>
                <m:t>5</m:t>
              </m:r>
            </m:oMath>
            <w:r>
              <w:rPr>
                <w:b/>
              </w:rPr>
              <w:t xml:space="preserve"> als Festwert</w:t>
            </w:r>
          </w:p>
        </w:tc>
        <w:tc>
          <w:tcPr>
            <w:tcW w:w="0" w:type="auto"/>
          </w:tcPr>
          <w:p>
            <w:pPr>
              <w:spacing w:after="0" w:line="240" w:lineRule="auto"/>
            </w:pPr>
            <w:r>
              <w:t xml:space="preserve">im Klassenweg gibt es keine Bauteile, nur zwei Gruppen; 25 ist die Summe der Testraumwerte, </w:t>
            </w:r>
            <w:r>
              <w:rPr>
                <w:b/>
              </w:rPr>
              <w:t xml:space="preserve">kein gesetzter Normwert</w:t>
            </w:r>
            <w:r>
              <w:t xml:space="preserve">. Die Normtestfälle laufen mit den Bauteilwerten</w:t>
            </w:r>
          </w:p>
        </w:tc>
      </w:tr>
      <w:tr>
        <w:tc>
          <w:tcPr>
            <w:tcW w:w="0" w:type="auto"/>
          </w:tcPr>
          <w:p>
            <w:pPr>
              <w:spacing w:after="0" w:line="240" w:lineRule="auto"/>
            </w:pPr>
            <w:r>
              <w:t xml:space="preserve">11</w:t>
            </w:r>
          </w:p>
        </w:tc>
        <w:tc>
          <w:tcPr>
            <w:tcW w:w="0" w:type="auto"/>
          </w:tcPr>
          <w:p>
            <w:pPr>
              <w:spacing w:after="0" w:line="240" w:lineRule="auto"/>
            </w:pPr>
            <w:r>
              <w:rPr>
                <w:b/>
              </w:rPr>
              <w:t xml:space="preserve">Wärmekapazität der Luft 0,34 Wh/(m³K)</w:t>
            </w:r>
          </w:p>
        </w:tc>
        <w:tc>
          <w:tcPr>
            <w:tcW w:w="0" w:type="auto"/>
          </w:tcPr>
          <w:p>
            <w:pPr>
              <w:spacing w:after="0" w:line="240" w:lineRule="auto"/>
            </w:pPr>
            <w:r>
              <w:t xml:space="preserve">stammt aus DIN EN 12831 und gilt für Projektrechnungen; die Normfälle rechnen mit dem dort vorgeschriebenen Wert</w:t>
            </w:r>
          </w:p>
        </w:tc>
      </w:tr>
      <w:tr>
        <w:tc>
          <w:tcPr>
            <w:tcW w:w="0" w:type="auto"/>
          </w:tcPr>
          <w:p>
            <w:pPr>
              <w:spacing w:after="0" w:line="240" w:lineRule="auto"/>
            </w:pPr>
            <w:r>
              <w:t xml:space="preserve">12</w:t>
            </w:r>
          </w:p>
        </w:tc>
        <w:tc>
          <w:tcPr>
            <w:tcW w:w="0" w:type="auto"/>
          </w:tcPr>
          <w:p>
            <w:pPr>
              <w:spacing w:after="0" w:line="240" w:lineRule="auto"/>
            </w:pPr>
            <w:r>
              <w:rPr>
                <w:b/>
              </w:rPr>
              <w:t xml:space="preserve">Bestandsgewichte gestrichen</w:t>
            </w:r>
          </w:p>
        </w:tc>
        <w:tc>
          <w:tcPr>
            <w:tcW w:w="0" w:type="auto"/>
          </w:tcPr>
          <w:p>
            <w:pPr>
              <w:spacing w:after="0" w:line="240" w:lineRule="auto"/>
            </w:pPr>
            <w:r>
              <w:t xml:space="preserve">im Stundenmodell gehen die Transmissionsverluste ungewichtet ein, und jede Fläche bekommt statt dessen ihre eigene Randbedingung; Faktor </w:t>
            </w:r>
            <w:r>
              <w:rPr>
                <w:b/>
              </w:rPr>
              <w:t xml:space="preserve">und</w:t>
            </w:r>
            <w:r>
              <w:t xml:space="preserve"> Randbedingung wären eine doppelte Minderung</w:t>
            </w:r>
          </w:p>
        </w:tc>
      </w:tr>
      <w:tr>
        <w:tc>
          <w:tcPr>
            <w:tcW w:w="0" w:type="auto"/>
          </w:tcPr>
          <w:p>
            <w:pPr>
              <w:spacing w:after="0" w:line="240" w:lineRule="auto"/>
            </w:pPr>
            <w:r>
              <w:t xml:space="preserve">13</w:t>
            </w:r>
          </w:p>
        </w:tc>
        <w:tc>
          <w:tcPr>
            <w:tcW w:w="0" w:type="auto"/>
          </w:tcPr>
          <w:p>
            <w:pPr>
              <w:spacing w:after="0" w:line="240" w:lineRule="auto"/>
            </w:pPr>
            <w:r>
              <w:rPr>
                <w:b/>
              </w:rPr>
              <w:t xml:space="preserve">Validierung nur gegen Blatt 1</w:t>
            </w:r>
          </w:p>
        </w:tc>
        <w:tc>
          <w:tcPr>
            <w:tcW w:w="0" w:type="auto"/>
          </w:tcPr>
          <w:p>
            <w:pPr>
              <w:spacing w:after="0" w:line="240" w:lineRule="auto"/>
            </w:pPr>
            <w:r>
              <w:t xml:space="preserve">die Referenzergebnisse der Nachbarnormen liegen nur auf Datenträgern und setzen ein bestimmtes Testreferenzjahr voraus; beides wird nach E5 nicht beschafft</w:t>
            </w:r>
          </w:p>
        </w:tc>
      </w:tr>
      <w:tr>
        <w:tc>
          <w:tcPr>
            <w:tcW w:w="0" w:type="auto"/>
          </w:tcPr>
          <w:p>
            <w:pPr>
              <w:spacing w:after="0" w:line="240" w:lineRule="auto"/>
            </w:pPr>
            <w:r>
              <w:t xml:space="preserve">14</w:t>
            </w:r>
          </w:p>
        </w:tc>
        <w:tc>
          <w:tcPr>
            <w:tcW w:w="0" w:type="auto"/>
          </w:tcPr>
          <w:p>
            <w:pPr>
              <w:spacing w:after="0" w:line="240" w:lineRule="auto"/>
            </w:pPr>
            <w:r>
              <w:rPr>
                <w:b/>
              </w:rPr>
              <w:t xml:space="preserve">Der Klassenweg gibt die Katalog-U-Werte nicht wieder</w:t>
            </w:r>
          </w:p>
        </w:tc>
        <w:tc>
          <w:tcPr>
            <w:tcW w:w="0" w:type="auto"/>
          </w:tcPr>
          <w:p>
            <w:pPr>
              <w:spacing w:after="0" w:line="240" w:lineRule="auto"/>
            </w:pPr>
            <m:oMath xmlns:m="http://schemas.openxmlformats.org/officeDocument/2006/math">
              <m:sSub>
                <m:e>
                  <m:r>
                    <w:rPr>
                      <w:rFonts w:ascii="Cambria Math" w:hAnsi="Cambria Math"/>
                    </w:rPr>
                    <m:t>R</m:t>
                  </m:r>
                </m:e>
                <m:sub>
                  <m:r>
                    <m:rPr>
                      <m:sty m:val="p"/>
                    </m:rPr>
                    <w:rPr>
                      <w:rFonts w:ascii="Cambria Math" w:hAnsi="Cambria Math"/>
                    </w:rPr>
                    <m:t>si</m:t>
                  </m:r>
                </m:sub>
              </m:sSub>
            </m:oMath>
            <w:r>
              <w:t xml:space="preserve"> wird vom U-Wert abgezogen, im Netz liegt an seiner Stelle die Parallelschaltung der inneren Widerstände; der wirksame Leitwert ist deshalb kleiner — im Beispiel 607,48 statt 686,95 W/K. Der Abzug bleibt, weil der innere Übergang sonst zweimal zählt; mit G3 entfällt die Frage</w:t>
            </w:r>
          </w:p>
        </w:tc>
      </w:tr>
      <w:tr>
        <w:tc>
          <w:tcPr>
            <w:tcW w:w="0" w:type="auto"/>
          </w:tcPr>
          <w:p>
            <w:pPr>
              <w:spacing w:after="0" w:line="240" w:lineRule="auto"/>
            </w:pPr>
            <w:r>
              <w:t xml:space="preserve">15</w:t>
            </w:r>
          </w:p>
        </w:tc>
        <w:tc>
          <w:tcPr>
            <w:tcW w:w="0" w:type="auto"/>
          </w:tcPr>
          <w:p>
            <w:pPr>
              <w:spacing w:after="0" w:line="240" w:lineRule="auto"/>
            </w:pPr>
            <w:r>
              <w:rPr>
                <w:b/>
              </w:rPr>
              <w:t xml:space="preserve">Strahlungslasten flächenproportional verteilt</w:t>
            </w:r>
          </w:p>
        </w:tc>
        <w:tc>
          <w:tcPr>
            <w:tcW w:w="0" w:type="auto"/>
          </w:tcPr>
          <w:p>
            <w:pPr>
              <w:spacing w:after="0" w:line="240" w:lineRule="auto"/>
            </w:pPr>
            <w:r>
              <w:t xml:space="preserve">die orientierungsweise opake Fläche ist im Klassenweg nicht rechenbar; mit dem Bauteilkatalog wird auf (45)/(46) umgestellt</w:t>
            </w:r>
          </w:p>
        </w:tc>
      </w:tr>
    </w:tbl>
    <w:p>
      <w:pPr>
        <w:spacing w:after="120"/>
      </w:pPr>
    </w:p>
    <w:p>
      <w:r>
        <w:rPr>
          <w:b/>
        </w:rPr>
        <w:t xml:space="preserve">Einzelheiten:</w:t>
      </w:r>
      <w:r>
        <w:t xml:space="preserve"> </w:t>
      </w:r>
      <w:r>
        <w:rPr>
          <w:rFonts w:ascii="Consolas" w:hAnsi="Consolas" w:cs="Consolas"/>
          <w:noProof/>
          <w:sz w:val="20"/>
          <w:szCs w:val="20"/>
          <w:shd w:val="clear" w:color="auto" w:fill="EFEFEF"/>
        </w:rPr>
        <w:t xml:space="preserve">Dokumentation/aktuell/Rechenschritte_Gebaeudesimulation_VDI6007_EPOS-Plan.md</w:t>
      </w:r>
      <w:r>
        <w:t xml:space="preserve"> (Kapitel 0 bis 11; Eingaben in 1, Schritte A bis G in 2 bis 8, Zahlenweg in 9, Prüfregeln in 10, Abweichungen in 11) und </w:t>
      </w:r>
      <w:r>
        <w:rPr>
          <w:rFonts w:ascii="Consolas" w:hAnsi="Consolas" w:cs="Consolas"/>
          <w:noProof/>
          <w:sz w:val="20"/>
          <w:szCs w:val="20"/>
          <w:shd w:val="clear" w:color="auto" w:fill="EFEFEF"/>
        </w:rPr>
        <w:t xml:space="preserve">Dokumentation/aktuell/Konzept_Gebaeudesimulation_VDI6007_EPOS-Plan.md</w:t>
      </w:r>
      <w:r>
        <w:t xml:space="preserve"> (Kapitel 4 und 5).</w:t>
      </w:r>
    </w:p>
    <w:p>
      <w:pPr>
        <w:pStyle w:val="Trennlinie"/>
      </w:pPr>
    </w:p>
    <w:p>
      <w:pPr>
        <w:pStyle w:val="Heading1"/>
      </w:pPr>
      <w:r>
        <w:t xml:space="preserve">11 Stufen, Reihenfolge und Aufwand</w:t>
      </w:r>
    </w:p>
    <w:p>
      <w:pPr>
        <w:pStyle w:val="Heading2"/>
      </w:pPr>
      <w:r>
        <w:t xml:space="preserve">11.1 Die Gesamttabelle</w:t>
      </w:r>
    </w:p>
    <w:p>
      <w:r>
        <w:t xml:space="preserve">Aufwände sind Größenordnungen für Entwicklung </w:t>
      </w:r>
      <w:r>
        <w:rPr>
          <w:b/>
        </w:rPr>
        <w:t xml:space="preserve">und Nachweis</w:t>
      </w:r>
      <w:r>
        <w:t xml:space="preserve">; Agentenarbeit verkürzt die Kalenderzeit, nicht die Prüfzeit.</w:t>
      </w:r>
    </w:p>
    <w:p>
      <w:r>
        <w:rPr>
          <w:b/>
        </w:rPr>
        <w:t xml:space="preserve">Hinweis zu den Schrittnummern.</w:t>
      </w:r>
      <w:r>
        <w:t xml:space="preserve"> Die Kürzel </w:t>
      </w:r>
      <w:r>
        <w:rPr>
          <w:b/>
        </w:rPr>
        <w:t xml:space="preserve">GB, M2 bis M4, S-A bis S-G und KU-S1 bis KU-S4</w:t>
      </w:r>
      <w:r>
        <w:t xml:space="preserve"> sind Papiernamen und bleiben die verlässliche Adresse zwischen den Papieren. </w:t>
      </w:r>
      <w:r>
        <w:rPr>
          <w:b/>
        </w:rPr>
        <w:t xml:space="preserve">Schemaschrittnummern vergibt dieses Papier nicht.</w:t>
      </w:r>
      <w:r>
        <w:t xml:space="preserve"> Die in älteren Papieren genannten Zahlen 77 und 78 sind Arbeitsnummern aus der Entwurfszeit und inzwischen vergeben — der Zielstand des SQLite-Zweigs steht auf 78, die nächste freie Nummer ist </w:t>
      </w:r>
      <w:r>
        <w:rPr>
          <w:b/>
        </w:rPr>
        <w:t xml:space="preserve">79</w:t>
      </w:r>
      <w:r>
        <w:t xml:space="preserve">. Verbindlich sind Reihenfolge und Inhalt; die Nummer vergibt der Schritt bei seiner Beauftragung (Frage A11).</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Stufe</w:t>
            </w:r>
          </w:p>
        </w:tc>
        <w:tc>
          <w:tcPr>
            <w:tcW w:w="0" w:type="auto"/>
            <w:shd w:val="clear" w:color="auto" w:fill="D9D9D9"/>
          </w:tcPr>
          <w:p>
            <w:pPr>
              <w:spacing w:after="0" w:line="240" w:lineRule="auto"/>
              <w:rPr>
                <w:b/>
              </w:rPr>
            </w:pPr>
            <w:r>
              <w:rPr>
                <w:b/>
              </w:rPr>
              <w:t xml:space="preserve">Inhalt in einem Satz</w:t>
            </w:r>
          </w:p>
        </w:tc>
        <w:tc>
          <w:tcPr>
            <w:tcW w:w="0" w:type="auto"/>
            <w:shd w:val="clear" w:color="auto" w:fill="D9D9D9"/>
          </w:tcPr>
          <w:p>
            <w:pPr>
              <w:spacing w:after="0" w:line="240" w:lineRule="auto"/>
              <w:rPr>
                <w:b/>
              </w:rPr>
            </w:pPr>
            <w:r>
              <w:rPr>
                <w:b/>
              </w:rPr>
              <w:t xml:space="preserve">Abnahme</w:t>
            </w:r>
          </w:p>
        </w:tc>
        <w:tc>
          <w:tcPr>
            <w:tcW w:w="0" w:type="auto"/>
            <w:shd w:val="clear" w:color="auto" w:fill="D9D9D9"/>
          </w:tcPr>
          <w:p>
            <w:pPr>
              <w:spacing w:after="0" w:line="240" w:lineRule="auto"/>
              <w:rPr>
                <w:b/>
              </w:rPr>
            </w:pPr>
            <w:r>
              <w:rPr>
                <w:b/>
              </w:rPr>
              <w:t xml:space="preserve">Aufwand</w:t>
            </w:r>
          </w:p>
        </w:tc>
      </w:tr>
      <w:tr>
        <w:tc>
          <w:tcPr>
            <w:tcW w:w="0" w:type="auto"/>
          </w:tcPr>
          <w:p>
            <w:pPr>
              <w:spacing w:after="0" w:line="240" w:lineRule="auto"/>
            </w:pPr>
            <w:r>
              <w:rPr>
                <w:b/>
              </w:rPr>
              <w:t xml:space="preserve">G0</w:t>
            </w:r>
          </w:p>
        </w:tc>
        <w:tc>
          <w:tcPr>
            <w:tcW w:w="0" w:type="auto"/>
          </w:tcPr>
          <w:p>
            <w:pPr>
              <w:spacing w:after="0" w:line="240" w:lineRule="auto"/>
            </w:pPr>
            <w:r>
              <w:t xml:space="preserve">Löser, Ersatzparameter, Diskretisierung, ideale Regelung; Normfälle und Rechenproben; Testfall 11 lösen, </w:t>
            </w:r>
            <m:oMath xmlns:m="http://schemas.openxmlformats.org/officeDocument/2006/math">
              <m:sSub>
                <m:e>
                  <m:r>
                    <w:rPr>
                      <w:rFonts w:ascii="Cambria Math" w:hAnsi="Cambria Math"/>
                    </w:rPr>
                    <m:t>α</m:t>
                  </m:r>
                </m:e>
                <m:sub>
                  <m:r>
                    <m:rPr>
                      <m:sty m:val="p"/>
                    </m:rPr>
                    <w:rPr>
                      <w:rFonts w:ascii="Cambria Math" w:hAnsi="Cambria Math"/>
                    </w:rPr>
                    <m:t>kon</m:t>
                  </m:r>
                </m:sub>
              </m:sSub>
            </m:oMath>
            <w:r>
              <w:t xml:space="preserve"> je Bauteil, Band-Prüfregel, Vorlaufkonvergenz. </w:t>
            </w:r>
            <w:r>
              <w:rPr>
                <w:b/>
              </w:rPr>
              <w:t xml:space="preserve">Keine Datenbank, kein Aufrufer</w:t>
            </w:r>
          </w:p>
        </w:tc>
        <w:tc>
          <w:tcPr>
            <w:tcW w:w="0" w:type="auto"/>
          </w:tcPr>
          <w:p>
            <w:pPr>
              <w:spacing w:after="0" w:line="240" w:lineRule="auto"/>
            </w:pPr>
            <w:r>
              <w:t xml:space="preserve">Kern-Filter grün; elf der zwölf Normtestfälle im Band nach E10, </w:t>
            </w:r>
            <w:r>
              <w:rPr>
                <w:b/>
              </w:rPr>
              <w:t xml:space="preserve">lokal</w:t>
            </w:r>
            <w:r>
              <w:t xml:space="preserve">, in der CI schweigend; Referenzlauf </w:t>
            </w:r>
            <w:r>
              <w:rPr>
                <w:b/>
              </w:rPr>
              <w:t xml:space="preserve">unberührt</w:t>
            </w:r>
          </w:p>
        </w:tc>
        <w:tc>
          <w:tcPr>
            <w:tcW w:w="0" w:type="auto"/>
          </w:tcPr>
          <w:p>
            <w:pPr>
              <w:spacing w:after="0" w:line="240" w:lineRule="auto"/>
            </w:pPr>
            <w:r>
              <w:rPr>
                <w:b/>
              </w:rPr>
              <w:t xml:space="preserve">2–4 PT</w:t>
            </w:r>
          </w:p>
        </w:tc>
      </w:tr>
      <w:tr>
        <w:tc>
          <w:tcPr>
            <w:tcW w:w="0" w:type="auto"/>
          </w:tcPr>
          <w:p>
            <w:pPr>
              <w:spacing w:after="0" w:line="240" w:lineRule="auto"/>
            </w:pPr>
            <w:r>
              <w:rPr>
                <w:b/>
              </w:rPr>
              <w:t xml:space="preserve">GB</w:t>
            </w:r>
          </w:p>
        </w:tc>
        <w:tc>
          <w:tcPr>
            <w:tcW w:w="0" w:type="auto"/>
          </w:tcPr>
          <w:p>
            <w:pPr>
              <w:spacing w:after="0" w:line="240" w:lineRule="auto"/>
            </w:pPr>
            <w:r>
              <w:t xml:space="preserve">Instanzzustand statt statischem Feld, Warnungen in der Ferienmaske, Korrektur der Bauweise eines Testgebäudes, Beseitigung der 100-Gebäude-Grenze, Einfrierregel </w:t>
            </w:r>
            <w:r>
              <w:rPr>
                <w:b/>
              </w:rPr>
              <w:t xml:space="preserve">„gesäte Gebäudedaten"</w:t>
            </w:r>
          </w:p>
        </w:tc>
        <w:tc>
          <w:tcPr>
            <w:tcW w:w="0" w:type="auto"/>
          </w:tcPr>
          <w:p>
            <w:pPr>
              <w:spacing w:after="0" w:line="240" w:lineRule="auto"/>
            </w:pPr>
            <w:r>
              <w:t xml:space="preserve">zwei Referenzprojekte ändern sich — </w:t>
            </w:r>
            <w:r>
              <w:rPr>
                <w:b/>
              </w:rPr>
              <w:t xml:space="preserve">eigener Einfrierschritt</w:t>
            </w:r>
            <w:r>
              <w:t xml:space="preserve">; letzte reine Bestandsbasis</w:t>
            </w:r>
          </w:p>
        </w:tc>
        <w:tc>
          <w:tcPr>
            <w:tcW w:w="0" w:type="auto"/>
          </w:tcPr>
          <w:p>
            <w:pPr>
              <w:spacing w:after="0" w:line="240" w:lineRule="auto"/>
            </w:pPr>
            <w:r>
              <w:rPr>
                <w:b/>
              </w:rPr>
              <w:t xml:space="preserve">1–2 PT</w:t>
            </w:r>
          </w:p>
        </w:tc>
      </w:tr>
      <w:tr>
        <w:tc>
          <w:tcPr>
            <w:tcW w:w="0" w:type="auto"/>
          </w:tcPr>
          <w:p>
            <w:pPr>
              <w:spacing w:after="0" w:line="240" w:lineRule="auto"/>
            </w:pPr>
            <w:r>
              <w:rPr>
                <w:b/>
              </w:rPr>
              <w:t xml:space="preserve">KU0</w:t>
            </w:r>
          </w:p>
        </w:tc>
        <w:tc>
          <w:tcPr>
            <w:tcW w:w="0" w:type="auto"/>
          </w:tcPr>
          <w:p>
            <w:pPr>
              <w:spacing w:after="0" w:line="240" w:lineRule="auto"/>
            </w:pPr>
            <w:r>
              <w:t xml:space="preserve">Kühlung (E12, E15): die Papiere — eigenes Konzept, Fortschreibung der Schwesterpapiere, Entscheid über K1 bis K23. </w:t>
            </w:r>
            <w:r>
              <w:rPr>
                <w:b/>
              </w:rPr>
              <w:t xml:space="preserve">Nichts bauen</w:t>
            </w:r>
          </w:p>
        </w:tc>
        <w:tc>
          <w:tcPr>
            <w:tcW w:w="0" w:type="auto"/>
          </w:tcPr>
          <w:p>
            <w:pPr>
              <w:spacing w:after="0" w:line="240" w:lineRule="auto"/>
            </w:pPr>
            <w:r>
              <w:t xml:space="preserve">Papiere widerspruchsfrei, Dokumentationswache grün, Indexzeile gesetzt</w:t>
            </w:r>
          </w:p>
        </w:tc>
        <w:tc>
          <w:tcPr>
            <w:tcW w:w="0" w:type="auto"/>
          </w:tcPr>
          <w:p>
            <w:pPr>
              <w:spacing w:after="0" w:line="240" w:lineRule="auto"/>
            </w:pPr>
            <w:r>
              <w:rPr>
                <w:b/>
              </w:rPr>
              <w:t xml:space="preserve">1–2 PT</w:t>
            </w:r>
          </w:p>
        </w:tc>
      </w:tr>
      <w:tr>
        <w:tc>
          <w:tcPr>
            <w:tcW w:w="0" w:type="auto"/>
          </w:tcPr>
          <w:p>
            <w:pPr>
              <w:spacing w:after="0" w:line="240" w:lineRule="auto"/>
            </w:pPr>
            <w:r>
              <w:rPr>
                <w:b/>
              </w:rPr>
              <w:t xml:space="preserve">M2</w:t>
            </w:r>
          </w:p>
        </w:tc>
        <w:tc>
          <w:tcPr>
            <w:tcW w:w="0" w:type="auto"/>
          </w:tcPr>
          <w:p>
            <w:pPr>
              <w:spacing w:after="0" w:line="240" w:lineRule="auto"/>
            </w:pPr>
            <w:r>
              <w:t xml:space="preserve">Umbenennung des Ostfensterfeldes, 15 Stellen</w:t>
            </w:r>
          </w:p>
        </w:tc>
        <w:tc>
          <w:tcPr>
            <w:tcW w:w="0" w:type="auto"/>
          </w:tcPr>
          <w:p>
            <w:pPr>
              <w:spacing w:after="0" w:line="240" w:lineRule="auto"/>
            </w:pPr>
            <w:r>
              <w:rPr>
                <w:b/>
              </w:rPr>
              <w:t xml:space="preserve">byte-gleich</w:t>
            </w:r>
            <w:r>
              <w:t xml:space="preserve"> gegen die GB-Basis; eigener Merge, weil jede Zeile in die solaren Gewinne mündet</w:t>
            </w:r>
          </w:p>
        </w:tc>
        <w:tc>
          <w:tcPr>
            <w:tcW w:w="0" w:type="auto"/>
          </w:tcPr>
          <w:p>
            <w:pPr>
              <w:spacing w:after="0" w:line="240" w:lineRule="auto"/>
            </w:pPr>
            <w:r>
              <w:rPr>
                <w:b/>
              </w:rPr>
              <w:t xml:space="preserve">0,5 PT</w:t>
            </w:r>
          </w:p>
        </w:tc>
      </w:tr>
      <w:tr>
        <w:tc>
          <w:tcPr>
            <w:tcW w:w="0" w:type="auto"/>
          </w:tcPr>
          <w:p>
            <w:pPr>
              <w:spacing w:after="0" w:line="240" w:lineRule="auto"/>
            </w:pPr>
            <w:r>
              <w:rPr>
                <w:b/>
              </w:rPr>
              <w:t xml:space="preserve">M3</w:t>
            </w:r>
          </w:p>
        </w:tc>
        <w:tc>
          <w:tcPr>
            <w:tcW w:w="0" w:type="auto"/>
          </w:tcPr>
          <w:p>
            <w:pPr>
              <w:spacing w:after="0" w:line="240" w:lineRule="auto"/>
            </w:pPr>
            <w:r>
              <w:t xml:space="preserve">Schemaschritt mit 15 Spalten je Tabelle, Sichtneubau, Namensleser, Persistenzwerte, </w:t>
            </w:r>
            <w:r>
              <w:rPr>
                <w:b/>
              </w:rPr>
              <w:t xml:space="preserve">NULL-erhaltende Katalogkopie</w:t>
            </w:r>
            <w:r>
              <w:t xml:space="preserve">, Sichtquellen-Wache</w:t>
            </w:r>
          </w:p>
        </w:tc>
        <w:tc>
          <w:tcPr>
            <w:tcW w:w="0" w:type="auto"/>
          </w:tcPr>
          <w:p>
            <w:pPr>
              <w:spacing w:after="0" w:line="240" w:lineRule="auto"/>
            </w:pPr>
            <w:r>
              <w:t xml:space="preserve">byte-gleich; die Probe </w:t>
            </w:r>
            <w:r>
              <w:rPr>
                <w:b/>
              </w:rPr>
              <w:t xml:space="preserve">ist</w:t>
            </w:r>
            <w:r>
              <w:t xml:space="preserve"> der Sichtneubau; SQL-Dialekt-Prüfer grün</w:t>
            </w:r>
          </w:p>
        </w:tc>
        <w:tc>
          <w:tcPr>
            <w:tcW w:w="0" w:type="auto"/>
          </w:tcPr>
          <w:p>
            <w:pPr>
              <w:spacing w:after="0" w:line="240" w:lineRule="auto"/>
            </w:pPr>
            <w:r>
              <w:rPr>
                <w:b/>
              </w:rPr>
              <w:t xml:space="preserve">1,5–2 PT</w:t>
            </w:r>
          </w:p>
        </w:tc>
      </w:tr>
      <w:tr>
        <w:tc>
          <w:tcPr>
            <w:tcW w:w="0" w:type="auto"/>
          </w:tcPr>
          <w:p>
            <w:pPr>
              <w:spacing w:after="0" w:line="240" w:lineRule="auto"/>
            </w:pPr>
            <w:r>
              <w:rPr>
                <w:b/>
              </w:rPr>
              <w:t xml:space="preserve">M4</w:t>
            </w:r>
          </w:p>
        </w:tc>
        <w:tc>
          <w:tcPr>
            <w:tcW w:w="0" w:type="auto"/>
          </w:tcPr>
          <w:p>
            <w:pPr>
              <w:spacing w:after="0" w:line="240" w:lineRule="auto"/>
            </w:pPr>
            <w:r>
              <w:t xml:space="preserve">drei Klimaspalten in </w:t>
            </w:r>
            <w:r>
              <w:rPr>
                <w:rFonts w:ascii="Consolas" w:hAnsi="Consolas" w:cs="Consolas"/>
                <w:noProof/>
                <w:sz w:val="20"/>
                <w:szCs w:val="20"/>
                <w:shd w:val="clear" w:color="auto" w:fill="EFEFEF"/>
              </w:rPr>
              <w:t xml:space="preserve">Tab_Solar</w:t>
            </w:r>
            <w:r>
              <w:t xml:space="preserve"> und Zwilling, Leseweg der PVGIS-Antwort, Einfrierregel </w:t>
            </w:r>
            <w:r>
              <w:rPr>
                <w:b/>
              </w:rPr>
              <w:t xml:space="preserve">„gesäte Klimareihen"</w:t>
            </w:r>
          </w:p>
        </w:tc>
        <w:tc>
          <w:tcPr>
            <w:tcW w:w="0" w:type="auto"/>
          </w:tcPr>
          <w:p>
            <w:pPr>
              <w:spacing w:after="0" w:line="240" w:lineRule="auto"/>
            </w:pPr>
            <w:r>
              <w:t xml:space="preserve">byte-gleich; die Importprobe liefert dieselben Strahlungsreihen</w:t>
            </w:r>
          </w:p>
        </w:tc>
        <w:tc>
          <w:tcPr>
            <w:tcW w:w="0" w:type="auto"/>
          </w:tcPr>
          <w:p>
            <w:pPr>
              <w:spacing w:after="0" w:line="240" w:lineRule="auto"/>
            </w:pPr>
            <w:r>
              <w:rPr>
                <w:b/>
              </w:rPr>
              <w:t xml:space="preserve">0,5–1 PT</w:t>
            </w:r>
          </w:p>
        </w:tc>
      </w:tr>
      <w:tr>
        <w:tc>
          <w:tcPr>
            <w:tcW w:w="0" w:type="auto"/>
          </w:tcPr>
          <w:p>
            <w:pPr>
              <w:spacing w:after="0" w:line="240" w:lineRule="auto"/>
            </w:pPr>
            <w:r>
              <w:rPr>
                <w:b/>
              </w:rPr>
              <w:t xml:space="preserve">G1 + G2</w:t>
            </w:r>
          </w:p>
        </w:tc>
        <w:tc>
          <w:tcPr>
            <w:tcW w:w="0" w:type="auto"/>
          </w:tcPr>
          <w:p>
            <w:pPr>
              <w:spacing w:after="0" w:line="240" w:lineRule="auto"/>
            </w:pPr>
            <w:r>
              <w:rPr>
                <w:b/>
              </w:rPr>
              <w:t xml:space="preserve">zuerst</w:t>
            </w:r>
            <w:r>
              <w:t xml:space="preserve"> der Altweg Zeichen für Zeichen nach </w:t>
            </w:r>
            <w:r>
              <w:rPr>
                <w:rFonts w:ascii="Consolas" w:hAnsi="Consolas" w:cs="Consolas"/>
                <w:noProof/>
                <w:sz w:val="20"/>
                <w:szCs w:val="20"/>
                <w:shd w:val="clear" w:color="auto" w:fill="EFEFEF"/>
              </w:rPr>
              <w:t xml:space="preserve">Altweg/</w:t>
            </w:r>
            <w:r>
              <w:t xml:space="preserve">, dazu Fassade und modellfreier Vorbereitungsschritt (E20); </w:t>
            </w:r>
            <w:r>
              <w:rPr>
                <w:b/>
              </w:rPr>
              <w:t xml:space="preserve">dann</w:t>
            </w:r>
            <w:r>
              <w:t xml:space="preserve"> Klimaweg, Eingangsbau, Ergebnis, Gebäudeprüfung; </w:t>
            </w:r>
            <w:r>
              <w:rPr>
                <w:b/>
              </w:rPr>
              <w:t xml:space="preserve">eine</w:t>
            </w:r>
            <w:r>
              <w:t xml:space="preserve"> Weiche am Eingang; vierter Parameter der Auskunft; </w:t>
            </w:r>
            <w:r>
              <w:rPr>
                <w:b/>
              </w:rPr>
              <w:t xml:space="preserve">ein Schreibweg im Editor</w:t>
            </w:r>
            <w:r>
              <w:t xml:space="preserve">, </w:t>
            </w:r>
            <w:r>
              <w:rPr>
                <w:b/>
              </w:rPr>
              <w:t xml:space="preserve">alle Dialoge in VDI-Struktur</w:t>
            </w:r>
            <w:r>
              <w:t xml:space="preserve"> mit dem eingeklappten Abschnitt „Tagesbilanz (Bestandsweg)", Reiter „Hülle und Rechenweg", Platzhalter am Zahlenfeld, Schalter „Rechenweg"; </w:t>
            </w:r>
            <w:r>
              <w:rPr>
                <w:b/>
              </w:rPr>
              <w:t xml:space="preserve">Hüllenumzug</w:t>
            </w:r>
            <w:r>
              <w:t xml:space="preserve"> samt Naht; Bedarfsdialog mit Vergleich, zweitem Bild und drei Spitzenkennzahlen; Kennzahlen und neue Gruppe; drei bedingte Reihen im Export; Glossarabschnitt, beide Sprachdateien, Dialogkatalog; Wiki-Seite und Logbuch-Entwurf</w:t>
            </w:r>
          </w:p>
        </w:tc>
        <w:tc>
          <w:tcPr>
            <w:tcW w:w="0" w:type="auto"/>
          </w:tcPr>
          <w:p>
            <w:pPr>
              <w:spacing w:after="0" w:line="240" w:lineRule="auto"/>
            </w:pPr>
            <w:r>
              <w:rPr>
                <w:b/>
              </w:rPr>
              <w:t xml:space="preserve">erster Schritt byte-gleich</w:t>
            </w:r>
            <w:r>
              <w:t xml:space="preserve"> — die Verschiebung des Altwegs wird vor der Anbindung des VDI-Wegs nachgewiesen; danach </w:t>
            </w:r>
            <w:r>
              <w:rPr>
                <w:b/>
              </w:rPr>
              <w:t xml:space="preserve">alle dreizehn Projekte ändern sich — Basis vollständig neu</w:t>
            </w:r>
            <w:r>
              <w:t xml:space="preserve">; Rückweg-Test auf der Arbeitskopie; Diagrammproben grün; Sichtabnahme Windows; </w:t>
            </w:r>
            <w:r>
              <w:rPr>
                <w:b/>
              </w:rPr>
              <w:t xml:space="preserve">Versionsnummer beim Anwender erfragt</w:t>
            </w:r>
          </w:p>
        </w:tc>
        <w:tc>
          <w:tcPr>
            <w:tcW w:w="0" w:type="auto"/>
          </w:tcPr>
          <w:p>
            <w:pPr>
              <w:spacing w:after="0" w:line="240" w:lineRule="auto"/>
            </w:pPr>
            <w:r>
              <w:rPr>
                <w:b/>
              </w:rPr>
              <w:t xml:space="preserve">19–27 PT</w:t>
            </w:r>
            <w:r>
              <w:t xml:space="preserve"> (15–21 + 3–5 für Trennung und byte-gleichen Nachweis + 1 für den Bestandsweg-Abschnitt)</w:t>
            </w:r>
          </w:p>
        </w:tc>
      </w:tr>
      <w:tr>
        <w:tc>
          <w:tcPr>
            <w:tcW w:w="0" w:type="auto"/>
          </w:tcPr>
          <w:p>
            <w:pPr>
              <w:spacing w:after="0" w:line="240" w:lineRule="auto"/>
            </w:pPr>
            <w:r>
              <w:rPr>
                <w:b/>
              </w:rPr>
              <w:t xml:space="preserve">KU1</w:t>
            </w:r>
          </w:p>
        </w:tc>
        <w:tc>
          <w:tcPr>
            <w:tcW w:w="0" w:type="auto"/>
          </w:tcPr>
          <w:p>
            <w:pPr>
              <w:spacing w:after="0" w:line="240" w:lineRule="auto"/>
            </w:pPr>
            <w:r>
              <w:t xml:space="preserve">Kühlung, der Kanal: Schemaschritte und Ergebnisspalten </w:t>
            </w:r>
            <w:r>
              <w:rPr>
                <w:b/>
              </w:rPr>
              <w:t xml:space="preserve">vor</w:t>
            </w:r>
            <w:r>
              <w:t xml:space="preserve"> der erhöhten Kanalzahl, zwei Kanallisten samt den zwei Ausnahmen, Text↔Index, toleranter Knappheitsparser, Kanalanzeige der Warnkriterien, Ressourcen, Kühlsollwert und Kühlleistungsgrenze, Export der Kühlreihe, Wächter — </w:t>
            </w:r>
            <w:r>
              <w:rPr>
                <w:b/>
              </w:rPr>
              <w:t xml:space="preserve">gefüllt vom Gebäudemodell, gedeckt von niemandem</w:t>
            </w:r>
          </w:p>
        </w:tc>
        <w:tc>
          <w:tcPr>
            <w:tcW w:w="0" w:type="auto"/>
          </w:tcPr>
          <w:p>
            <w:pPr>
              <w:spacing w:after="0" w:line="240" w:lineRule="auto"/>
            </w:pPr>
            <w:r>
              <w:t xml:space="preserve">Kern-Gate grün; </w:t>
            </w:r>
            <w:r>
              <w:rPr>
                <w:b/>
              </w:rPr>
              <w:t xml:space="preserve">derselbe Merge und derselbe Einfrierschritt wie G1 + G2</w:t>
            </w:r>
            <w:r>
              <w:t xml:space="preserve">; die zwölf Projekte ohne Kühlung byte-gleich</w:t>
            </w:r>
          </w:p>
        </w:tc>
        <w:tc>
          <w:tcPr>
            <w:tcW w:w="0" w:type="auto"/>
          </w:tcPr>
          <w:p>
            <w:pPr>
              <w:spacing w:after="0" w:line="240" w:lineRule="auto"/>
            </w:pPr>
            <w:r>
              <w:rPr>
                <w:b/>
              </w:rPr>
              <w:t xml:space="preserve">10–15 PT</w:t>
            </w:r>
          </w:p>
        </w:tc>
      </w:tr>
      <w:tr>
        <w:tc>
          <w:tcPr>
            <w:tcW w:w="0" w:type="auto"/>
          </w:tcPr>
          <w:p>
            <w:pPr>
              <w:spacing w:after="0" w:line="240" w:lineRule="auto"/>
            </w:pPr>
            <w:r>
              <w:rPr>
                <w:b/>
              </w:rPr>
              <w:t xml:space="preserve">KU2</w:t>
            </w:r>
          </w:p>
        </w:tc>
        <w:tc>
          <w:tcPr>
            <w:tcW w:w="0" w:type="auto"/>
          </w:tcPr>
          <w:p>
            <w:pPr>
              <w:spacing w:after="0" w:line="240" w:lineRule="auto"/>
            </w:pPr>
            <w:r>
              <w:t xml:space="preserve">Kühlung, der Erzeuger samt Auswahl und Konfiguration (E15): vier Spalten je Anlagentabelle, reversible Wärmepumpe über die vorhandene Kühlkennlinie, Umschaltregel, Senke „Kältekreis", eigener Deckungsgrad-Zweig, Kältestrom, Wirtschaftlichkeit und Emissionen, Kennzahlen und Bericht, Katalogfilter „nur mit Kühlfunktion", Dialoge, Import der Kühlsollwerte</w:t>
            </w:r>
          </w:p>
        </w:tc>
        <w:tc>
          <w:tcPr>
            <w:tcW w:w="0" w:type="auto"/>
          </w:tcPr>
          <w:p>
            <w:pPr>
              <w:spacing w:after="0" w:line="240" w:lineRule="auto"/>
            </w:pPr>
            <w:r>
              <w:rPr>
                <w:b/>
              </w:rPr>
              <w:t xml:space="preserve">nach G2</w:t>
            </w:r>
            <w:r>
              <w:t xml:space="preserve">, nie davor; Referenzprojekt mit Kälteerzeuger — </w:t>
            </w:r>
            <w:r>
              <w:rPr>
                <w:b/>
              </w:rPr>
              <w:t xml:space="preserve">eigener, kleiner Einfrierschritt, ein Projekt bewegt sich</w:t>
            </w:r>
            <w:r>
              <w:t xml:space="preserve">; Rechenprobe je Vorlauf; Diagrammproben grün</w:t>
            </w:r>
          </w:p>
        </w:tc>
        <w:tc>
          <w:tcPr>
            <w:tcW w:w="0" w:type="auto"/>
          </w:tcPr>
          <w:p>
            <w:pPr>
              <w:spacing w:after="0" w:line="240" w:lineRule="auto"/>
            </w:pPr>
            <w:r>
              <w:rPr>
                <w:b/>
              </w:rPr>
              <w:t xml:space="preserve">16–26 PT</w:t>
            </w:r>
          </w:p>
        </w:tc>
      </w:tr>
      <w:tr>
        <w:tc>
          <w:tcPr>
            <w:tcW w:w="0" w:type="auto"/>
          </w:tcPr>
          <w:p>
            <w:pPr>
              <w:spacing w:after="0" w:line="240" w:lineRule="auto"/>
            </w:pPr>
            <w:r>
              <w:rPr>
                <w:b/>
              </w:rPr>
              <w:t xml:space="preserve">G3</w:t>
            </w:r>
          </w:p>
        </w:tc>
        <w:tc>
          <w:tcPr>
            <w:tcW w:w="0" w:type="auto"/>
          </w:tcPr>
          <w:p>
            <w:pPr>
              <w:spacing w:after="0" w:line="240" w:lineRule="auto"/>
            </w:pPr>
            <w:r>
              <w:t xml:space="preserve">Bauteilreduktion gefüllt, zweiter Fabrikweg der Ersatzparameter; Baustoff-, Aufbau- und Zonenschema; Controller und Modelle; Baustoff- und Bauteilaufbau-Dialog mit Schichtenraster; </w:t>
            </w:r>
            <w:r>
              <w:rPr>
                <w:b/>
              </w:rPr>
              <w:t xml:space="preserve">zwei Menüzeilen gemeinsam</w:t>
            </w:r>
            <w:r>
              <w:t xml:space="preserve">; Übernahmeknopf „Gebäude als eine Zone"; </w:t>
            </w:r>
            <w:r>
              <w:rPr>
                <w:b/>
              </w:rPr>
              <w:t xml:space="preserve">Bauteildialog und Zonendialog in der Grundform</w:t>
            </w:r>
            <w:r>
              <w:t xml:space="preserve"> — ohne sie wäre der Bauteilweg dieser Stufe nur über Import oder Testdaten zu füllen; Katalogseite auf die virtualisierte Liste samt Rasterprobe</w:t>
            </w:r>
          </w:p>
        </w:tc>
        <w:tc>
          <w:tcPr>
            <w:tcW w:w="0" w:type="auto"/>
          </w:tcPr>
          <w:p>
            <w:pPr>
              <w:spacing w:after="0" w:line="240" w:lineRule="auto"/>
            </w:pPr>
            <w:r>
              <w:t xml:space="preserve">Reduktion trifft die Vergleichswerte; Bauteilweg gleich Klassenweg im Grenzfall; Referenzlauf </w:t>
            </w:r>
            <w:r>
              <w:rPr>
                <w:b/>
              </w:rPr>
              <w:t xml:space="preserve">byte-gleich</w:t>
            </w:r>
            <w:r>
              <w:t xml:space="preserve">; Auslieferungsvorlage grün</w:t>
            </w:r>
          </w:p>
        </w:tc>
        <w:tc>
          <w:tcPr>
            <w:tcW w:w="0" w:type="auto"/>
          </w:tcPr>
          <w:p>
            <w:pPr>
              <w:spacing w:after="0" w:line="240" w:lineRule="auto"/>
            </w:pPr>
            <w:r>
              <w:rPr>
                <w:b/>
              </w:rPr>
              <w:t xml:space="preserve">8–12 PT</w:t>
            </w:r>
          </w:p>
        </w:tc>
      </w:tr>
      <w:tr>
        <w:tc>
          <w:tcPr>
            <w:tcW w:w="0" w:type="auto"/>
          </w:tcPr>
          <w:p>
            <w:pPr>
              <w:spacing w:after="0" w:line="240" w:lineRule="auto"/>
            </w:pPr>
            <w:r>
              <w:rPr>
                <w:b/>
              </w:rPr>
              <w:t xml:space="preserve">AK1</w:t>
            </w:r>
          </w:p>
        </w:tc>
        <w:tc>
          <w:tcPr>
            <w:tcW w:w="0" w:type="auto"/>
          </w:tcPr>
          <w:p>
            <w:pPr>
              <w:spacing w:after="0" w:line="240" w:lineRule="auto"/>
            </w:pPr>
            <w:r>
              <w:rPr>
                <w:b/>
              </w:rPr>
              <w:t xml:space="preserve">Anlagenkopplung, erste Stufe (E22):</w:t>
            </w:r>
            <w:r>
              <w:t xml:space="preserve"> Heizkreis als Randbedingung — Übergabegleichung mit Exponent je Übergabeart, Heizkurve, Sollwert-Wochenraster, </w:t>
            </w:r>
            <w:r>
              <w:rPr>
                <w:b/>
              </w:rPr>
              <w:t xml:space="preserve">vierter Betriebsfall</w:t>
            </w:r>
            <w:r>
              <w:t xml:space="preserve"> im Zonenmodell samt Sekantenleitwert, gerechneter Vorlauf in die Kennlinienwahl; Schemaschritte </w:t>
            </w:r>
            <w:r>
              <w:rPr>
                <w:rFonts w:ascii="Consolas" w:hAnsi="Consolas" w:cs="Consolas"/>
                <w:noProof/>
                <w:sz w:val="20"/>
                <w:szCs w:val="20"/>
                <w:shd w:val="clear" w:color="auto" w:fill="EFEFEF"/>
              </w:rPr>
              <w:t xml:space="preserve">AK-S1</w:t>
            </w:r>
            <w:r>
              <w:t xml:space="preserve"> und Wärmeteil </w:t>
            </w:r>
            <w:r>
              <w:rPr>
                <w:rFonts w:ascii="Consolas" w:hAnsi="Consolas" w:cs="Consolas"/>
                <w:noProof/>
                <w:sz w:val="20"/>
                <w:szCs w:val="20"/>
                <w:shd w:val="clear" w:color="auto" w:fill="EFEFEF"/>
              </w:rPr>
              <w:t xml:space="preserve">AK-S3</w:t>
            </w:r>
            <w:r>
              <w:t xml:space="preserve"> samt Sichtneubau und NULL-erhaltender Katalogkopie; Dialoggruppe „Wärmeübergabe" mit dem </w:t>
            </w:r>
            <w:r>
              <w:rPr>
                <w:b/>
              </w:rPr>
              <w:t xml:space="preserve">Wochenraster-Baustein</w:t>
            </w:r>
            <w:r>
              <w:t xml:space="preserve">; zwei Kacheln, ein Bild, Berichtsabschnitt, drei bedingte Reihen im Export. </w:t>
            </w:r>
            <w:r>
              <w:rPr>
                <w:b/>
              </w:rPr>
              <w:t xml:space="preserve">Voraussetzung: G2 steht</w:t>
            </w:r>
          </w:p>
        </w:tc>
        <w:tc>
          <w:tcPr>
            <w:tcW w:w="0" w:type="auto"/>
          </w:tcPr>
          <w:p>
            <w:pPr>
              <w:spacing w:after="0" w:line="240" w:lineRule="auto"/>
            </w:pPr>
            <w:r>
              <w:rPr>
                <w:b/>
              </w:rPr>
              <w:t xml:space="preserve">nach G2</w:t>
            </w:r>
            <w:r>
              <w:t xml:space="preserve">, nie davor; eigener, kleiner </w:t>
            </w:r>
            <w:r>
              <w:rPr>
                <w:b/>
              </w:rPr>
              <w:t xml:space="preserve">Einfrierschritt</w:t>
            </w:r>
            <w:r>
              <w:t xml:space="preserve"> — ein Projekt bewegt sich, die zwölf übrigen byte-gleich; </w:t>
            </w:r>
            <w:r>
              <w:rPr>
                <w:b/>
              </w:rPr>
              <w:t xml:space="preserve">die beiden Grenzfallproben sind Gate</w:t>
            </w:r>
            <w:r>
              <w:t xml:space="preserve">: Schalter aus byte-gleich, unbegrenzte Übergabe bitgleich zur idealen Regelung; ChartProben grün</w:t>
            </w:r>
          </w:p>
        </w:tc>
        <w:tc>
          <w:tcPr>
            <w:tcW w:w="0" w:type="auto"/>
          </w:tcPr>
          <w:p>
            <w:pPr>
              <w:spacing w:after="0" w:line="240" w:lineRule="auto"/>
            </w:pPr>
            <w:r>
              <w:rPr>
                <w:b/>
              </w:rPr>
              <w:t xml:space="preserve">9–13 PT</w:t>
            </w:r>
          </w:p>
        </w:tc>
      </w:tr>
      <w:tr>
        <w:tc>
          <w:tcPr>
            <w:tcW w:w="0" w:type="auto"/>
          </w:tcPr>
          <w:p>
            <w:pPr>
              <w:spacing w:after="0" w:line="240" w:lineRule="auto"/>
            </w:pPr>
            <w:r>
              <w:rPr>
                <w:b/>
              </w:rPr>
              <w:t xml:space="preserve">AK2</w:t>
            </w:r>
          </w:p>
        </w:tc>
        <w:tc>
          <w:tcPr>
            <w:tcW w:w="0" w:type="auto"/>
          </w:tcPr>
          <w:p>
            <w:pPr>
              <w:spacing w:after="0" w:line="240" w:lineRule="auto"/>
            </w:pPr>
            <w:r>
              <w:rPr>
                <w:b/>
              </w:rPr>
              <w:t xml:space="preserve">Anlagenkopplung, zweite Stufe:</w:t>
            </w:r>
            <w:r>
              <w:t xml:space="preserve"> Erzeugerfahrplan als Verfügbarkeit je Stunde — Schemaschritt </w:t>
            </w:r>
            <w:r>
              <w:rPr>
                <w:rFonts w:ascii="Consolas" w:hAnsi="Consolas" w:cs="Consolas"/>
                <w:noProof/>
                <w:sz w:val="20"/>
                <w:szCs w:val="20"/>
                <w:shd w:val="clear" w:color="auto" w:fill="EFEFEF"/>
              </w:rPr>
              <w:t xml:space="preserve">AK-S2</w:t>
            </w:r>
            <w:r>
              <w:t xml:space="preserve"> und Komfortteil </w:t>
            </w:r>
            <w:r>
              <w:rPr>
                <w:rFonts w:ascii="Consolas" w:hAnsi="Consolas" w:cs="Consolas"/>
                <w:noProof/>
                <w:sz w:val="20"/>
                <w:szCs w:val="20"/>
                <w:shd w:val="clear" w:color="auto" w:fill="EFEFEF"/>
              </w:rPr>
              <w:t xml:space="preserve">AK-S3</w:t>
            </w:r>
            <w:r>
              <w:t xml:space="preserve">; Klasse </w:t>
            </w:r>
            <w:r>
              <w:rPr>
                <w:rFonts w:ascii="Consolas" w:hAnsi="Consolas" w:cs="Consolas"/>
                <w:noProof/>
                <w:sz w:val="20"/>
                <w:szCs w:val="20"/>
                <w:shd w:val="clear" w:color="auto" w:fill="EFEFEF"/>
              </w:rPr>
              <w:t xml:space="preserve">Anlagenfahrplan</w:t>
            </w:r>
            <w:r>
              <w:t xml:space="preserve"> samt Naht </w:t>
            </w:r>
            <w:r>
              <w:rPr>
                <w:rFonts w:ascii="Consolas" w:hAnsi="Consolas" w:cs="Consolas"/>
                <w:noProof/>
                <w:sz w:val="20"/>
                <w:szCs w:val="20"/>
                <w:shd w:val="clear" w:color="auto" w:fill="EFEFEF"/>
              </w:rPr>
              <w:t xml:space="preserve">Anlagenverfuegbarkeit</w:t>
            </w:r>
            <w:r>
              <w:t xml:space="preserve"> (Profilweg mit Speichervorrat über die Sperrdauer, </w:t>
            </w:r>
            <w:r>
              <w:rPr>
                <w:b/>
              </w:rPr>
              <w:t xml:space="preserve">außerhalb</w:t>
            </w:r>
            <w:r>
              <w:t xml:space="preserve"> von </w:t>
            </w:r>
            <w:r>
              <w:rPr>
                <w:rFonts w:ascii="Consolas" w:hAnsi="Consolas" w:cs="Consolas"/>
                <w:noProof/>
                <w:sz w:val="20"/>
                <w:szCs w:val="20"/>
                <w:shd w:val="clear" w:color="auto" w:fill="EFEFEF"/>
              </w:rPr>
              <w:t xml:space="preserve">Gebaeude/</w:t>
            </w:r>
            <w:r>
              <w:t xml:space="preserve"> und </w:t>
            </w:r>
            <w:r>
              <w:rPr>
                <w:rFonts w:ascii="Consolas" w:hAnsi="Consolas" w:cs="Consolas"/>
                <w:noProof/>
                <w:sz w:val="20"/>
                <w:szCs w:val="20"/>
                <w:shd w:val="clear" w:color="auto" w:fill="EFEFEF"/>
              </w:rPr>
              <w:t xml:space="preserve">Altweg/</w:t>
            </w:r>
            <w:r>
              <w:t xml:space="preserve">); Wochenraster im Erzeugerdialog; vierte Grenze in der Kette; </w:t>
            </w:r>
            <w:r>
              <w:rPr>
                <w:b/>
              </w:rPr>
              <w:t xml:space="preserve">Komfortstunden</w:t>
            </w:r>
            <w:r>
              <w:t xml:space="preserve">, Bild „Raumtemperatur und Sollwert", Berichtszeile; eine Zeile mehr für die </w:t>
            </w:r>
            <w:r>
              <w:rPr>
                <w:rFonts w:ascii="Consolas" w:hAnsi="Consolas" w:cs="Consolas"/>
                <w:noProof/>
                <w:sz w:val="20"/>
                <w:szCs w:val="20"/>
                <w:shd w:val="clear" w:color="auto" w:fill="EFEFEF"/>
              </w:rPr>
              <w:t xml:space="preserve">Modultrennungswache</w:t>
            </w:r>
            <w:r>
              <w:t xml:space="preserve">. </w:t>
            </w:r>
            <w:r>
              <w:rPr>
                <w:b/>
              </w:rPr>
              <w:t xml:space="preserve">Voraussetzung: AK1 abgenommen und im Feld</w:t>
            </w:r>
            <w:r>
              <w:t xml:space="preserve"> — Altweg-Gebäude gehen als feste Last ein (E23)</w:t>
            </w:r>
          </w:p>
        </w:tc>
        <w:tc>
          <w:tcPr>
            <w:tcW w:w="0" w:type="auto"/>
          </w:tcPr>
          <w:p>
            <w:pPr>
              <w:spacing w:after="0" w:line="240" w:lineRule="auto"/>
            </w:pPr>
            <w:r>
              <w:rPr>
                <w:b/>
              </w:rPr>
              <w:t xml:space="preserve">nach AK1 und einer Feldphase</w:t>
            </w:r>
            <w:r>
              <w:t xml:space="preserve">; eigener Einfrierschritt; die vier AK2-Proben; </w:t>
            </w:r>
            <w:r>
              <w:rPr>
                <w:b/>
              </w:rPr>
              <w:t xml:space="preserve">Restbedarf und Komfortstunden stehen im Bericht nebeneinander</w:t>
            </w:r>
            <w:r>
              <w:t xml:space="preserve">, nie eines ohne das andere</w:t>
            </w:r>
          </w:p>
        </w:tc>
        <w:tc>
          <w:tcPr>
            <w:tcW w:w="0" w:type="auto"/>
          </w:tcPr>
          <w:p>
            <w:pPr>
              <w:spacing w:after="0" w:line="240" w:lineRule="auto"/>
            </w:pPr>
            <w:r>
              <w:rPr>
                <w:b/>
              </w:rPr>
              <w:t xml:space="preserve">11–15 PT</w:t>
            </w:r>
          </w:p>
        </w:tc>
      </w:tr>
      <w:tr>
        <w:tc>
          <w:tcPr>
            <w:tcW w:w="0" w:type="auto"/>
          </w:tcPr>
          <w:p>
            <w:pPr>
              <w:spacing w:after="0" w:line="240" w:lineRule="auto"/>
            </w:pPr>
            <w:r>
              <w:rPr>
                <w:b/>
              </w:rPr>
              <w:t xml:space="preserve">AK3</w:t>
            </w:r>
          </w:p>
        </w:tc>
        <w:tc>
          <w:tcPr>
            <w:tcW w:w="0" w:type="auto"/>
          </w:tcPr>
          <w:p>
            <w:pPr>
              <w:spacing w:after="0" w:line="240" w:lineRule="auto"/>
            </w:pPr>
            <w:r>
              <w:rPr>
                <w:b/>
              </w:rPr>
              <w:t xml:space="preserve">Anlagenkopplung, dritte Stufe:</w:t>
            </w:r>
            <w:r>
              <w:t xml:space="preserve"> der geschlossene Kreis — Iterationsrahmen nach dem Muster von ADR-005 (feste Reihenfolge, drei Abbruchmaße, Höchstzahl 20, benannter Fehler), </w:t>
            </w:r>
            <w:r>
              <w:rPr>
                <w:b/>
              </w:rPr>
              <w:t xml:space="preserve">Umkehr der Laufordnung</w:t>
            </w:r>
            <w:r>
              <w:t xml:space="preserve"> in Bedarfs- und Deckungsrechnung, vorlaufabhängige Kennlinie je Stunde für die Wärmepumpe mit benannter Ablehnung für Kessel und BHKW, Ladezustand des Speichers in der Verfügbarkeit, raumgeführte Heizkurve. </w:t>
            </w:r>
            <w:r>
              <w:rPr>
                <w:b/>
              </w:rPr>
              <w:t xml:space="preserve">Voraussetzung: AK2 abgenommen und im Feld</w:t>
            </w:r>
            <w:r>
              <w:t xml:space="preserve">; ob überhaupt gebaut wird, ist Frage </w:t>
            </w:r>
            <w:r>
              <w:rPr>
                <w:b/>
              </w:rPr>
              <w:t xml:space="preserve">H6</w:t>
            </w:r>
          </w:p>
        </w:tc>
        <w:tc>
          <w:tcPr>
            <w:tcW w:w="0" w:type="auto"/>
          </w:tcPr>
          <w:p>
            <w:pPr>
              <w:spacing w:after="0" w:line="240" w:lineRule="auto"/>
            </w:pPr>
            <w:r>
              <w:t xml:space="preserve">Prüforakel getroffen; „ein Erzeuger ohne Grenzen bitgleich zu AK1" als Gate; Laufzeit an einem Mehrzonengebäude </w:t>
            </w:r>
            <w:r>
              <w:rPr>
                <w:b/>
              </w:rPr>
              <w:t xml:space="preserve">gemessen</w:t>
            </w:r>
            <w:r>
              <w:t xml:space="preserve">, nicht geschätzt; eigener Einfrierschritt</w:t>
            </w:r>
          </w:p>
        </w:tc>
        <w:tc>
          <w:tcPr>
            <w:tcW w:w="0" w:type="auto"/>
          </w:tcPr>
          <w:p>
            <w:pPr>
              <w:spacing w:after="0" w:line="240" w:lineRule="auto"/>
            </w:pPr>
            <w:r>
              <w:rPr>
                <w:b/>
              </w:rPr>
              <w:t xml:space="preserve">23–38 PT</w:t>
            </w:r>
          </w:p>
        </w:tc>
      </w:tr>
      <w:tr>
        <w:tc>
          <w:tcPr>
            <w:tcW w:w="0" w:type="auto"/>
          </w:tcPr>
          <w:p>
            <w:pPr>
              <w:spacing w:after="0" w:line="240" w:lineRule="auto"/>
            </w:pPr>
            <w:r>
              <w:rPr>
                <w:b/>
              </w:rPr>
              <w:t xml:space="preserve">G4a</w:t>
            </w:r>
          </w:p>
        </w:tc>
        <w:tc>
          <w:tcPr>
            <w:tcW w:w="0" w:type="auto"/>
          </w:tcPr>
          <w:p>
            <w:pPr>
              <w:spacing w:after="0" w:line="240" w:lineRule="auto"/>
            </w:pPr>
            <w:r>
              <w:t xml:space="preserve">IFC-Import: Paket und Lizenzseite, Leser, Azimut, Zuordnung, Vorgabetabelle je Baualtersklasse, Dialog und Hülle, Importprobe, iOS-Dateifilter</w:t>
            </w:r>
          </w:p>
        </w:tc>
        <w:tc>
          <w:tcPr>
            <w:tcW w:w="0" w:type="auto"/>
          </w:tcPr>
          <w:p>
            <w:pPr>
              <w:spacing w:after="0" w:line="240" w:lineRule="auto"/>
            </w:pPr>
            <w:r>
              <w:t xml:space="preserve">Importprobe bestanden; </w:t>
            </w:r>
            <w:r>
              <w:rPr>
                <w:b/>
              </w:rPr>
              <w:t xml:space="preserve">Referenzlauf unverändert</w:t>
            </w:r>
            <w:r>
              <w:t xml:space="preserve">; Windows-Sichtabnahme; iOS-Lauf </w:t>
            </w:r>
            <w:r>
              <w:rPr>
                <w:b/>
              </w:rPr>
              <w:t xml:space="preserve">nur nach Rückfrage</w:t>
            </w:r>
          </w:p>
        </w:tc>
        <w:tc>
          <w:tcPr>
            <w:tcW w:w="0" w:type="auto"/>
          </w:tcPr>
          <w:p>
            <w:pPr>
              <w:spacing w:after="0" w:line="240" w:lineRule="auto"/>
            </w:pPr>
            <w:r>
              <w:rPr>
                <w:b/>
              </w:rPr>
              <w:t xml:space="preserve">13,5–21 PT</w:t>
            </w:r>
          </w:p>
        </w:tc>
      </w:tr>
      <w:tr>
        <w:tc>
          <w:tcPr>
            <w:tcW w:w="0" w:type="auto"/>
          </w:tcPr>
          <w:p>
            <w:pPr>
              <w:spacing w:after="0" w:line="240" w:lineRule="auto"/>
            </w:pPr>
            <w:r>
              <w:rPr>
                <w:b/>
              </w:rPr>
              <w:t xml:space="preserve">G4b</w:t>
            </w:r>
          </w:p>
        </w:tc>
        <w:tc>
          <w:tcPr>
            <w:tcW w:w="0" w:type="auto"/>
          </w:tcPr>
          <w:p>
            <w:pPr>
              <w:spacing w:after="0" w:line="240" w:lineRule="auto"/>
            </w:pPr>
            <w:r>
              <w:t xml:space="preserve">IFC auf Bauteilebene: je Bauteil eine Zeile mit Schichten, Azimut, Neigung, Herkunft</w:t>
            </w:r>
          </w:p>
        </w:tc>
        <w:tc>
          <w:tcPr>
            <w:tcW w:w="0" w:type="auto"/>
          </w:tcPr>
          <w:p>
            <w:pPr>
              <w:spacing w:after="0" w:line="240" w:lineRule="auto"/>
            </w:pPr>
            <w:r>
              <w:t xml:space="preserve">nach G3, und erst wenn G4a im Feld war</w:t>
            </w:r>
          </w:p>
        </w:tc>
        <w:tc>
          <w:tcPr>
            <w:tcW w:w="0" w:type="auto"/>
          </w:tcPr>
          <w:p>
            <w:pPr>
              <w:spacing w:after="0" w:line="240" w:lineRule="auto"/>
            </w:pPr>
            <w:r>
              <w:rPr>
                <w:b/>
              </w:rPr>
              <w:t xml:space="preserve">4–6 PT</w:t>
            </w:r>
          </w:p>
        </w:tc>
      </w:tr>
      <w:tr>
        <w:tc>
          <w:tcPr>
            <w:tcW w:w="0" w:type="auto"/>
          </w:tcPr>
          <w:p>
            <w:pPr>
              <w:spacing w:after="0" w:line="240" w:lineRule="auto"/>
            </w:pPr>
            <w:r>
              <w:rPr>
                <w:b/>
              </w:rPr>
              <w:t xml:space="preserve">G4c</w:t>
            </w:r>
          </w:p>
        </w:tc>
        <w:tc>
          <w:tcPr>
            <w:tcW w:w="0" w:type="auto"/>
          </w:tcPr>
          <w:p>
            <w:pPr>
              <w:spacing w:after="0" w:line="240" w:lineRule="auto"/>
            </w:pPr>
            <w:r>
              <w:t xml:space="preserve">gbXML-Import (Pflicht nach E9): Lesemodell, Einheiten global und lokal, Aggregation, Nachbarschaftsauflösung, Fensterabzug, Aufbauprüfung, Einzonen-Zonenregel, Meldungen in beiden Sprachen, Anschluss an den gemeinsamen Zuordnungsdialog — </w:t>
            </w:r>
            <w:r>
              <w:rPr>
                <w:b/>
              </w:rPr>
              <w:t xml:space="preserve">dazu die Persistenz</w:t>
            </w:r>
            <w:r>
              <w:t xml:space="preserve"> (Schemaschritt, zwei Tabellen, Register, Reduzierskript, Auslieferungsvorlage, Umbenennungen)</w:t>
            </w:r>
          </w:p>
        </w:tc>
        <w:tc>
          <w:tcPr>
            <w:tcW w:w="0" w:type="auto"/>
          </w:tcPr>
          <w:p>
            <w:pPr>
              <w:spacing w:after="0" w:line="240" w:lineRule="auto"/>
            </w:pPr>
            <w:r>
              <w:t xml:space="preserve">Importproben; </w:t>
            </w:r>
            <w:r>
              <w:rPr>
                <w:b/>
              </w:rPr>
              <w:t xml:space="preserve">Referenzlauf unverändert</w:t>
            </w:r>
            <w:r>
              <w:t xml:space="preserve">; Reihenfolge zu G4a ist ein Anwenderentscheid</w:t>
            </w:r>
          </w:p>
        </w:tc>
        <w:tc>
          <w:tcPr>
            <w:tcW w:w="0" w:type="auto"/>
          </w:tcPr>
          <w:p>
            <w:pPr>
              <w:spacing w:after="0" w:line="240" w:lineRule="auto"/>
            </w:pPr>
            <w:r>
              <w:rPr>
                <w:b/>
              </w:rPr>
              <w:t xml:space="preserve">17–28 PT</w:t>
            </w:r>
          </w:p>
        </w:tc>
      </w:tr>
      <w:tr>
        <w:tc>
          <w:tcPr>
            <w:tcW w:w="0" w:type="auto"/>
          </w:tcPr>
          <w:p>
            <w:pPr>
              <w:spacing w:after="0" w:line="240" w:lineRule="auto"/>
            </w:pPr>
            <w:r>
              <w:rPr>
                <w:b/>
              </w:rPr>
              <w:t xml:space="preserve">G5</w:t>
            </w:r>
          </w:p>
        </w:tc>
        <w:tc>
          <w:tcPr>
            <w:tcW w:w="0" w:type="auto"/>
          </w:tcPr>
          <w:p>
            <w:pPr>
              <w:spacing w:after="0" w:line="240" w:lineRule="auto"/>
            </w:pPr>
            <w:r>
              <w:t xml:space="preserve">Geometrieableitung aus Extrusionskörpern und Placement-Kette, Öffnungsabzug</w:t>
            </w:r>
          </w:p>
        </w:tc>
        <w:tc>
          <w:tcPr>
            <w:tcW w:w="0" w:type="auto"/>
          </w:tcPr>
          <w:p>
            <w:pPr>
              <w:spacing w:after="0" w:line="240" w:lineRule="auto"/>
            </w:pPr>
            <w:r>
              <w:rPr>
                <w:b/>
              </w:rPr>
              <w:t xml:space="preserve">nur bei Bedarf aus der Praxis</w:t>
            </w:r>
            <w:r>
              <w:t xml:space="preserve">; unabhängiger Zweig, G6 braucht ihn nicht</w:t>
            </w:r>
          </w:p>
        </w:tc>
        <w:tc>
          <w:tcPr>
            <w:tcW w:w="0" w:type="auto"/>
          </w:tcPr>
          <w:p>
            <w:pPr>
              <w:spacing w:after="0" w:line="240" w:lineRule="auto"/>
            </w:pPr>
            <w:r>
              <w:rPr>
                <w:b/>
              </w:rPr>
              <w:t xml:space="preserve">30–60 PT</w:t>
            </w:r>
          </w:p>
        </w:tc>
      </w:tr>
      <w:tr>
        <w:tc>
          <w:tcPr>
            <w:tcW w:w="0" w:type="auto"/>
          </w:tcPr>
          <w:p>
            <w:pPr>
              <w:spacing w:after="0" w:line="240" w:lineRule="auto"/>
            </w:pPr>
            <w:r>
              <w:rPr>
                <w:b/>
              </w:rPr>
              <w:t xml:space="preserve">G6a</w:t>
            </w:r>
          </w:p>
        </w:tc>
        <w:tc>
          <w:tcPr>
            <w:tcW w:w="0" w:type="auto"/>
          </w:tcPr>
          <w:p>
            <w:pPr>
              <w:spacing w:after="0" w:line="240" w:lineRule="auto"/>
            </w:pPr>
            <w:r>
              <w:t xml:space="preserve">Zonen-Datenmodell und Pflege: Schemaschritte, Schema-Klassen, Baustoffsaat, Kataloge in der Administration, Editoren, Controller, Kopierwege, Bericht-Zonentabelle</w:t>
            </w:r>
          </w:p>
        </w:tc>
        <w:tc>
          <w:tcPr>
            <w:tcW w:w="0" w:type="auto"/>
          </w:tcPr>
          <w:p>
            <w:pPr>
              <w:spacing w:after="0" w:line="240" w:lineRule="auto"/>
            </w:pPr>
            <w:r>
              <w:t xml:space="preserve">Migrationstests grün, Auslieferungsvorlage grün, Referenzlauf byte-gleich</w:t>
            </w:r>
          </w:p>
        </w:tc>
        <w:tc>
          <w:tcPr>
            <w:tcW w:w="0" w:type="auto"/>
          </w:tcPr>
          <w:p>
            <w:pPr>
              <w:spacing w:after="0" w:line="240" w:lineRule="auto"/>
            </w:pPr>
            <w:r>
              <w:rPr>
                <w:b/>
              </w:rPr>
              <w:t xml:space="preserve">10–15 PT</w:t>
            </w:r>
          </w:p>
        </w:tc>
      </w:tr>
      <w:tr>
        <w:tc>
          <w:tcPr>
            <w:tcW w:w="0" w:type="auto"/>
          </w:tcPr>
          <w:p>
            <w:pPr>
              <w:spacing w:after="0" w:line="240" w:lineRule="auto"/>
            </w:pPr>
            <w:r>
              <w:rPr>
                <w:b/>
              </w:rPr>
              <w:t xml:space="preserve">G6b</w:t>
            </w:r>
          </w:p>
        </w:tc>
        <w:tc>
          <w:tcPr>
            <w:tcW w:w="0" w:type="auto"/>
          </w:tcPr>
          <w:p>
            <w:pPr>
              <w:spacing w:after="0" w:line="240" w:lineRule="auto"/>
            </w:pPr>
            <w:r>
              <w:t xml:space="preserve">Zoneneingabe und Rechenweg: Zonenreiter, Zonen- und Bauteildialog, Hülle; Zonenschleife; Gruppenbildung mit adiabatem Vorlauf; Nachbarraum-Randbedingung mit Gewichtssumme 1; Gauß-Seidel; unbeheizte Zonen; zwölf Proben</w:t>
            </w:r>
          </w:p>
        </w:tc>
        <w:tc>
          <w:tcPr>
            <w:tcW w:w="0" w:type="auto"/>
          </w:tcPr>
          <w:p>
            <w:pPr>
              <w:spacing w:after="0" w:line="240" w:lineRule="auto"/>
            </w:pPr>
            <w:r>
              <w:t xml:space="preserve">Testbeispiel 10 im Normband; </w:t>
            </w:r>
            <w:r>
              <w:rPr>
                <w:b/>
              </w:rPr>
              <w:t xml:space="preserve">„eine Zone bitgleich" ist Gate</w:t>
            </w:r>
            <w:r>
              <w:t xml:space="preserve">; Laufzeit gemessen</w:t>
            </w:r>
          </w:p>
        </w:tc>
        <w:tc>
          <w:tcPr>
            <w:tcW w:w="0" w:type="auto"/>
          </w:tcPr>
          <w:p>
            <w:pPr>
              <w:spacing w:after="0" w:line="240" w:lineRule="auto"/>
            </w:pPr>
            <w:r>
              <w:rPr>
                <w:b/>
              </w:rPr>
              <w:t xml:space="preserve">12–18 PT</w:t>
            </w:r>
          </w:p>
        </w:tc>
      </w:tr>
      <w:tr>
        <w:tc>
          <w:tcPr>
            <w:tcW w:w="0" w:type="auto"/>
          </w:tcPr>
          <w:p>
            <w:pPr>
              <w:spacing w:after="0" w:line="240" w:lineRule="auto"/>
            </w:pPr>
            <w:r>
              <w:rPr>
                <w:b/>
              </w:rPr>
              <w:t xml:space="preserve">G6c</w:t>
            </w:r>
          </w:p>
        </w:tc>
        <w:tc>
          <w:tcPr>
            <w:tcW w:w="0" w:type="auto"/>
          </w:tcPr>
          <w:p>
            <w:pPr>
              <w:spacing w:after="0" w:line="240" w:lineRule="auto"/>
            </w:pPr>
            <w:r>
              <w:t xml:space="preserve">Zonenimport aus IFC (mit D16 auch aus gbXML) samt Persistenz der Zuordnung, Namensabgleich, Zuordnungsdialog; </w:t>
            </w:r>
            <w:r>
              <w:rPr>
                <w:b/>
              </w:rPr>
              <w:t xml:space="preserve">Zonengeometrie-Modell und 2D-Grundriss (E11)</w:t>
            </w:r>
          </w:p>
        </w:tc>
        <w:tc>
          <w:tcPr>
            <w:tcW w:w="0" w:type="auto"/>
          </w:tcPr>
          <w:p>
            <w:pPr>
              <w:spacing w:after="0" w:line="240" w:lineRule="auto"/>
            </w:pPr>
            <w:r>
              <w:t xml:space="preserve">Importproben und die beiden Proben der Grundrissansicht; iOS-Lauf nach Rückfrage</w:t>
            </w:r>
          </w:p>
        </w:tc>
        <w:tc>
          <w:tcPr>
            <w:tcW w:w="0" w:type="auto"/>
          </w:tcPr>
          <w:p>
            <w:pPr>
              <w:spacing w:after="0" w:line="240" w:lineRule="auto"/>
            </w:pPr>
            <w:r>
              <w:rPr>
                <w:b/>
              </w:rPr>
              <w:t xml:space="preserve">16–26 PT</w:t>
            </w:r>
          </w:p>
        </w:tc>
      </w:tr>
      <w:tr>
        <w:tc>
          <w:tcPr>
            <w:tcW w:w="0" w:type="auto"/>
          </w:tcPr>
          <w:p>
            <w:pPr>
              <w:spacing w:after="0" w:line="240" w:lineRule="auto"/>
            </w:pPr>
            <w:r>
              <w:rPr>
                <w:b/>
              </w:rPr>
              <w:t xml:space="preserve">G6d</w:t>
            </w:r>
          </w:p>
        </w:tc>
        <w:tc>
          <w:tcPr>
            <w:tcW w:w="0" w:type="auto"/>
          </w:tcPr>
          <w:p>
            <w:pPr>
              <w:spacing w:after="0" w:line="240" w:lineRule="auto"/>
            </w:pPr>
            <w:r>
              <w:t xml:space="preserve">Zonenprojekt in der Testdatenbank säen, Einfrierregel </w:t>
            </w:r>
            <w:r>
              <w:rPr>
                <w:b/>
              </w:rPr>
              <w:t xml:space="preserve">„gesäte Zonendaten"</w:t>
            </w:r>
            <w:r>
              <w:t xml:space="preserve">, Referenzlauf, Begründung, Wiki und Logbuch</w:t>
            </w:r>
          </w:p>
        </w:tc>
        <w:tc>
          <w:tcPr>
            <w:tcW w:w="0" w:type="auto"/>
          </w:tcPr>
          <w:p>
            <w:pPr>
              <w:spacing w:after="0" w:line="240" w:lineRule="auto"/>
            </w:pPr>
            <w:r>
              <w:t xml:space="preserve">grüner Kern-Lauf, neue Basis begründet</w:t>
            </w:r>
          </w:p>
        </w:tc>
        <w:tc>
          <w:tcPr>
            <w:tcW w:w="0" w:type="auto"/>
          </w:tcPr>
          <w:p>
            <w:pPr>
              <w:spacing w:after="0" w:line="240" w:lineRule="auto"/>
            </w:pPr>
            <w:r>
              <w:rPr>
                <w:b/>
              </w:rPr>
              <w:t xml:space="preserve">2–3 PT</w:t>
            </w:r>
          </w:p>
        </w:tc>
      </w:tr>
      <w:tr>
        <w:tc>
          <w:tcPr>
            <w:tcW w:w="0" w:type="auto"/>
          </w:tcPr>
          <w:p>
            <w:pPr>
              <w:spacing w:after="0" w:line="240" w:lineRule="auto"/>
            </w:pPr>
            <w:r>
              <w:rPr>
                <w:b/>
              </w:rPr>
              <w:t xml:space="preserve">G7a</w:t>
            </w:r>
          </w:p>
        </w:tc>
        <w:tc>
          <w:tcPr>
            <w:tcW w:w="0" w:type="auto"/>
          </w:tcPr>
          <w:p>
            <w:pPr>
              <w:spacing w:after="0" w:line="240" w:lineRule="auto"/>
            </w:pPr>
            <w:r>
              <w:t xml:space="preserve">gbXML-Export Stufe 1: schemagültiger Datenexport mit Version 6.01, vollständige Aufbaukette mit Schichtumkehr, Ersatzschichtung samt Kennzeichnung, deterministische Kennungen, Schemaprüfung im Test</w:t>
            </w:r>
          </w:p>
        </w:tc>
        <w:tc>
          <w:tcPr>
            <w:tcW w:w="0" w:type="auto"/>
          </w:tcPr>
          <w:p>
            <w:pPr>
              <w:spacing w:after="0" w:line="240" w:lineRule="auto"/>
            </w:pPr>
            <w:r>
              <w:t xml:space="preserve">vier Proben</w:t>
            </w:r>
          </w:p>
        </w:tc>
        <w:tc>
          <w:tcPr>
            <w:tcW w:w="0" w:type="auto"/>
          </w:tcPr>
          <w:p>
            <w:pPr>
              <w:spacing w:after="0" w:line="240" w:lineRule="auto"/>
            </w:pPr>
            <w:r>
              <w:rPr>
                <w:b/>
              </w:rPr>
              <w:t xml:space="preserve">9–14 PT</w:t>
            </w:r>
          </w:p>
        </w:tc>
      </w:tr>
      <w:tr>
        <w:tc>
          <w:tcPr>
            <w:tcW w:w="0" w:type="auto"/>
          </w:tcPr>
          <w:p>
            <w:pPr>
              <w:spacing w:after="0" w:line="240" w:lineRule="auto"/>
            </w:pPr>
            <w:r>
              <w:rPr>
                <w:b/>
              </w:rPr>
              <w:t xml:space="preserve">G7b</w:t>
            </w:r>
          </w:p>
        </w:tc>
        <w:tc>
          <w:tcPr>
            <w:tcW w:w="0" w:type="auto"/>
          </w:tcPr>
          <w:p>
            <w:pPr>
              <w:spacing w:after="0" w:line="240" w:lineRule="auto"/>
            </w:pPr>
            <w:r>
              <w:t xml:space="preserve">gbXML Stufe 2: synthetische Quadergeometrie </w:t>
            </w:r>
            <w:r>
              <w:rPr>
                <w:b/>
              </w:rPr>
              <w:t xml:space="preserve">aus dem Zonengeometrie-Modell</w:t>
            </w:r>
            <w:r>
              <w:t xml:space="preserve">, kantenschlüssige Polygone, Fenster als Rechtecke, Hülle, Ergebnisse je Zone, Kennzeichnung</w:t>
            </w:r>
          </w:p>
        </w:tc>
        <w:tc>
          <w:tcPr>
            <w:tcW w:w="0" w:type="auto"/>
          </w:tcPr>
          <w:p>
            <w:pPr>
              <w:spacing w:after="0" w:line="240" w:lineRule="auto"/>
            </w:pPr>
            <w:r>
              <w:t xml:space="preserve">eine Probe; Sichtprobe in mindestens einem Zielwerkzeug</w:t>
            </w:r>
          </w:p>
        </w:tc>
        <w:tc>
          <w:tcPr>
            <w:tcW w:w="0" w:type="auto"/>
          </w:tcPr>
          <w:p>
            <w:pPr>
              <w:spacing w:after="0" w:line="240" w:lineRule="auto"/>
            </w:pPr>
            <w:r>
              <w:rPr>
                <w:b/>
              </w:rPr>
              <w:t xml:space="preserve">7–12 PT</w:t>
            </w:r>
          </w:p>
        </w:tc>
      </w:tr>
      <w:tr>
        <w:tc>
          <w:tcPr>
            <w:tcW w:w="0" w:type="auto"/>
          </w:tcPr>
          <w:p>
            <w:pPr>
              <w:spacing w:after="0" w:line="240" w:lineRule="auto"/>
            </w:pPr>
            <w:r>
              <w:rPr>
                <w:b/>
              </w:rPr>
              <w:t xml:space="preserve">G7c</w:t>
            </w:r>
          </w:p>
        </w:tc>
        <w:tc>
          <w:tcPr>
            <w:tcW w:w="0" w:type="auto"/>
          </w:tcPr>
          <w:p>
            <w:pPr>
              <w:spacing w:after="0" w:line="240" w:lineRule="auto"/>
            </w:pPr>
            <w:r>
              <w:t xml:space="preserve">IFC-Export Semantik: Ablauf und Profil, vollständige Abbildung, eigene Eigenschaftssätze, vollständige Einheitenzuweisung für kWh, eigene Kennungs- und Historienerzeugung, Validator, Beipackzettel</w:t>
            </w:r>
          </w:p>
        </w:tc>
        <w:tc>
          <w:tcPr>
            <w:tcW w:w="0" w:type="auto"/>
          </w:tcPr>
          <w:p>
            <w:pPr>
              <w:spacing w:after="0" w:line="240" w:lineRule="auto"/>
            </w:pPr>
            <w:r>
              <w:t xml:space="preserve">sieben Proben; Lizenzhinweisseite vorhanden</w:t>
            </w:r>
          </w:p>
        </w:tc>
        <w:tc>
          <w:tcPr>
            <w:tcW w:w="0" w:type="auto"/>
          </w:tcPr>
          <w:p>
            <w:pPr>
              <w:spacing w:after="0" w:line="240" w:lineRule="auto"/>
            </w:pPr>
            <w:r>
              <w:rPr>
                <w:b/>
              </w:rPr>
              <w:t xml:space="preserve">12–20 PT</w:t>
            </w:r>
          </w:p>
        </w:tc>
      </w:tr>
      <w:tr>
        <w:tc>
          <w:tcPr>
            <w:tcW w:w="0" w:type="auto"/>
          </w:tcPr>
          <w:p>
            <w:pPr>
              <w:spacing w:after="0" w:line="240" w:lineRule="auto"/>
            </w:pPr>
            <w:r>
              <w:rPr>
                <w:b/>
              </w:rPr>
              <w:t xml:space="preserve">G7d</w:t>
            </w:r>
          </w:p>
        </w:tc>
        <w:tc>
          <w:tcPr>
            <w:tcW w:w="0" w:type="auto"/>
          </w:tcPr>
          <w:p>
            <w:pPr>
              <w:spacing w:after="0" w:line="240" w:lineRule="auto"/>
            </w:pPr>
            <w:r>
              <w:t xml:space="preserve">IFC-Round-Trip: Wiederfinden über die Importzuordnung, erneute Dateiwahl mit Hash-Abgleich, Schema- und Protokollsperre, Ergänzen statt Doppeln, neuer Name, eigene Anwendungskennung</w:t>
            </w:r>
          </w:p>
        </w:tc>
        <w:tc>
          <w:tcPr>
            <w:tcW w:w="0" w:type="auto"/>
          </w:tcPr>
          <w:p>
            <w:pPr>
              <w:spacing w:after="0" w:line="240" w:lineRule="auto"/>
            </w:pPr>
            <w:r>
              <w:t xml:space="preserve">eine Probe; </w:t>
            </w:r>
            <w:r>
              <w:rPr>
                <w:b/>
              </w:rPr>
              <w:t xml:space="preserve">vertragliche Frage vorher geklärt</w:t>
            </w:r>
          </w:p>
        </w:tc>
        <w:tc>
          <w:tcPr>
            <w:tcW w:w="0" w:type="auto"/>
          </w:tcPr>
          <w:p>
            <w:pPr>
              <w:spacing w:after="0" w:line="240" w:lineRule="auto"/>
            </w:pPr>
            <w:r>
              <w:rPr>
                <w:b/>
              </w:rPr>
              <w:t xml:space="preserve">6–11 PT</w:t>
            </w:r>
          </w:p>
        </w:tc>
      </w:tr>
      <w:tr>
        <w:tc>
          <w:tcPr>
            <w:tcW w:w="0" w:type="auto"/>
          </w:tcPr>
          <w:p>
            <w:pPr>
              <w:spacing w:after="0" w:line="240" w:lineRule="auto"/>
            </w:pPr>
            <w:r>
              <w:rPr>
                <w:b/>
              </w:rPr>
              <w:t xml:space="preserve">G7e</w:t>
            </w:r>
          </w:p>
        </w:tc>
        <w:tc>
          <w:tcPr>
            <w:tcW w:w="0" w:type="auto"/>
          </w:tcPr>
          <w:p>
            <w:pPr>
              <w:spacing w:after="0" w:line="240" w:lineRule="auto"/>
            </w:pPr>
            <w:r>
              <w:t xml:space="preserve">IFC-Körper: Quader je Zone, Platte je Bauteil </w:t>
            </w:r>
            <w:r>
              <w:rPr>
                <w:b/>
              </w:rPr>
              <w:t xml:space="preserve">aus dem Zonengeometrie-Modell</w:t>
            </w:r>
            <w:r>
              <w:t xml:space="preserve">, Placement-Kette, Azimut als Drehung, Kennzeichnung, Prüfbilder</w:t>
            </w:r>
          </w:p>
        </w:tc>
        <w:tc>
          <w:tcPr>
            <w:tcW w:w="0" w:type="auto"/>
          </w:tcPr>
          <w:p>
            <w:pPr>
              <w:spacing w:after="0" w:line="240" w:lineRule="auto"/>
            </w:pPr>
            <w:r>
              <w:t xml:space="preserve">Probe mit Bildern; Validator grün trotz Placement-Pflicht</w:t>
            </w:r>
          </w:p>
        </w:tc>
        <w:tc>
          <w:tcPr>
            <w:tcW w:w="0" w:type="auto"/>
          </w:tcPr>
          <w:p>
            <w:pPr>
              <w:spacing w:after="0" w:line="240" w:lineRule="auto"/>
            </w:pPr>
            <w:r>
              <w:rPr>
                <w:b/>
              </w:rPr>
              <w:t xml:space="preserve">8–15 PT</w:t>
            </w:r>
          </w:p>
        </w:tc>
      </w:tr>
      <w:tr>
        <w:tc>
          <w:tcPr>
            <w:tcW w:w="0" w:type="auto"/>
          </w:tcPr>
          <w:p>
            <w:pPr>
              <w:spacing w:after="0" w:line="240" w:lineRule="auto"/>
            </w:pPr>
            <w:r>
              <w:rPr>
                <w:b/>
              </w:rPr>
              <w:t xml:space="preserve">KU3</w:t>
            </w:r>
          </w:p>
        </w:tc>
        <w:tc>
          <w:tcPr>
            <w:tcW w:w="0" w:type="auto"/>
          </w:tcPr>
          <w:p>
            <w:pPr>
              <w:spacing w:after="0" w:line="240" w:lineRule="auto"/>
            </w:pPr>
            <w:r>
              <w:t xml:space="preserve">Kühlung, das Umfeld: Kältemaschine als eigener Erzeugertyp samt Rückkühlung, freie Kühlung über die Quelle, Kältespeicher (nur bei Ja zu K7), Kühlung je Zone, Kühlsollwert Nacht, Kälteangaben in beiden Exporten</w:t>
            </w:r>
          </w:p>
        </w:tc>
        <w:tc>
          <w:tcPr>
            <w:tcW w:w="0" w:type="auto"/>
          </w:tcPr>
          <w:p>
            <w:pPr>
              <w:spacing w:after="0" w:line="240" w:lineRule="auto"/>
            </w:pPr>
            <w:r>
              <w:t xml:space="preserve">nach G6 (Zonen) und G7 (Export); wie KU2, dazu Rundlaufprobe des Exports</w:t>
            </w:r>
          </w:p>
        </w:tc>
        <w:tc>
          <w:tcPr>
            <w:tcW w:w="0" w:type="auto"/>
          </w:tcPr>
          <w:p>
            <w:pPr>
              <w:spacing w:after="0" w:line="240" w:lineRule="auto"/>
            </w:pPr>
            <w:r>
              <w:rPr>
                <w:b/>
              </w:rPr>
              <w:t xml:space="preserve">17–26 PT</w:t>
            </w:r>
            <w:r>
              <w:t xml:space="preserve">, mit Kältespeicher </w:t>
            </w:r>
            <w:r>
              <w:rPr>
                <w:b/>
              </w:rPr>
              <w:t xml:space="preserve">20–31 PT</w:t>
            </w:r>
          </w:p>
        </w:tc>
      </w:tr>
      <w:tr>
        <w:tc>
          <w:tcPr>
            <w:tcW w:w="0" w:type="auto"/>
          </w:tcPr>
          <w:p>
            <w:pPr>
              <w:spacing w:after="0" w:line="240" w:lineRule="auto"/>
            </w:pPr>
            <w:r>
              <w:rPr>
                <w:b/>
              </w:rPr>
              <w:t xml:space="preserve">Gebäudebetrachter (E11)</w:t>
            </w:r>
          </w:p>
        </w:tc>
        <w:tc>
          <w:tcPr>
            <w:tcW w:w="0" w:type="auto"/>
          </w:tcPr>
          <w:p>
            <w:pPr>
              <w:spacing w:after="0" w:line="240" w:lineRule="auto"/>
            </w:pPr>
            <w:r>
              <w:t xml:space="preserve">Zonengeometrie-Modell im Kern, 2D-Grundriss mit G6c, Körperansicht mit G7b; eine Komponente, Umschalter, three.js lokal, Kennzeichnung „schematisch"</w:t>
            </w:r>
          </w:p>
        </w:tc>
        <w:tc>
          <w:tcPr>
            <w:tcW w:w="0" w:type="auto"/>
          </w:tcPr>
          <w:p>
            <w:pPr>
              <w:spacing w:after="0" w:line="240" w:lineRule="auto"/>
            </w:pPr>
            <w:r>
              <w:t xml:space="preserve">drei Proben; Sichtabnahme Windows und iOS</w:t>
            </w:r>
          </w:p>
        </w:tc>
        <w:tc>
          <w:tcPr>
            <w:tcW w:w="0" w:type="auto"/>
          </w:tcPr>
          <w:p>
            <w:pPr>
              <w:spacing w:after="0" w:line="240" w:lineRule="auto"/>
            </w:pPr>
            <w:r>
              <w:rPr>
                <w:b/>
              </w:rPr>
              <w:t xml:space="preserve">10–17 PT</w:t>
            </w:r>
            <w:r>
              <w:t xml:space="preserve">, davon 6–10 in G6c und 4–7 in G7b</w:t>
            </w:r>
          </w:p>
        </w:tc>
      </w:tr>
    </w:tbl>
    <w:p>
      <w:pPr>
        <w:spacing w:after="120"/>
      </w:pPr>
    </w:p>
    <w:p>
      <w:pPr>
        <w:pStyle w:val="Heading2"/>
      </w:pPr>
      <w:r>
        <w:t xml:space="preserve">11.2 Summen</w:t>
      </w:r>
    </w:p>
    <w:tbl>
      <w:tblPr>
        <w:tblStyle w:val="TableGrid"/>
        <w:tblW w:w="5000" w:type="pct"/>
        <w:tblLayout w:type="autofit"/>
        <w:tblLook w:val="04A0" w:firstRow="true" w:lastRow="false" w:firstColumn="false" w:lastColumn="false" w:noHBand="false" w:noVBand="true"/>
      </w:tblPr>
      <w:tblGrid>
        <w:gridCol w:w="4819"/>
        <w:gridCol w:w="4819"/>
      </w:tblGrid>
      <w:tr>
        <w:trPr>
          <w:tblHeader/>
        </w:trPr>
        <w:tc>
          <w:tcPr>
            <w:tcW w:w="0" w:type="auto"/>
            <w:shd w:val="clear" w:color="auto" w:fill="D9D9D9"/>
          </w:tcPr>
          <w:p>
            <w:pPr>
              <w:spacing w:after="0" w:line="240" w:lineRule="auto"/>
              <w:rPr>
                <w:b/>
              </w:rPr>
            </w:pPr>
            <w:r>
              <w:rPr>
                <w:b/>
              </w:rPr>
              <w:t xml:space="preserve">Abschnitt</w:t>
            </w:r>
          </w:p>
        </w:tc>
        <w:tc>
          <w:tcPr>
            <w:tcW w:w="0" w:type="auto"/>
            <w:shd w:val="clear" w:color="auto" w:fill="D9D9D9"/>
          </w:tcPr>
          <w:p>
            <w:pPr>
              <w:spacing w:after="0" w:line="240" w:lineRule="auto"/>
              <w:rPr>
                <w:b/>
              </w:rPr>
            </w:pPr>
            <w:r>
              <w:rPr>
                <w:b/>
              </w:rPr>
              <w:t xml:space="preserve">Summe</w:t>
            </w:r>
          </w:p>
        </w:tc>
      </w:tr>
      <w:tr>
        <w:tc>
          <w:tcPr>
            <w:tcW w:w="0" w:type="auto"/>
          </w:tcPr>
          <w:p>
            <w:pPr>
              <w:spacing w:after="0" w:line="240" w:lineRule="auto"/>
            </w:pPr>
            <w:r>
              <w:t xml:space="preserve">G0 + GB</w:t>
            </w:r>
          </w:p>
        </w:tc>
        <w:tc>
          <w:tcPr>
            <w:tcW w:w="0" w:type="auto"/>
          </w:tcPr>
          <w:p>
            <w:pPr>
              <w:spacing w:after="0" w:line="240" w:lineRule="auto"/>
            </w:pPr>
            <w:r>
              <w:t xml:space="preserve">3–6 PT</w:t>
            </w:r>
          </w:p>
        </w:tc>
      </w:tr>
      <w:tr>
        <w:tc>
          <w:tcPr>
            <w:tcW w:w="0" w:type="auto"/>
          </w:tcPr>
          <w:p>
            <w:pPr>
              <w:spacing w:after="0" w:line="240" w:lineRule="auto"/>
            </w:pPr>
            <w:r>
              <w:t xml:space="preserve">bis einschließlich G1 + G2</w:t>
            </w:r>
          </w:p>
        </w:tc>
        <w:tc>
          <w:tcPr>
            <w:tcW w:w="0" w:type="auto"/>
          </w:tcPr>
          <w:p>
            <w:pPr>
              <w:spacing w:after="0" w:line="240" w:lineRule="auto"/>
            </w:pPr>
            <w:r>
              <w:rPr>
                <w:b/>
              </w:rPr>
              <w:t xml:space="preserve">24,5–36,5 PT</w:t>
            </w:r>
            <w:r>
              <w:t xml:space="preserve"> (mit der Trennung nach E20)</w:t>
            </w:r>
          </w:p>
        </w:tc>
      </w:tr>
      <w:tr>
        <w:tc>
          <w:tcPr>
            <w:tcW w:w="0" w:type="auto"/>
          </w:tcPr>
          <w:p>
            <w:pPr>
              <w:spacing w:after="0" w:line="240" w:lineRule="auto"/>
            </w:pPr>
            <w:r>
              <w:rPr>
                <w:b/>
              </w:rPr>
              <w:t xml:space="preserve">mit der Kühlung bis einschließlich G1 + G2 + KU1</w:t>
            </w:r>
            <w:r>
              <w:t xml:space="preserve"> (KU0 mitgerechnet)</w:t>
            </w:r>
          </w:p>
        </w:tc>
        <w:tc>
          <w:tcPr>
            <w:tcW w:w="0" w:type="auto"/>
          </w:tcPr>
          <w:p>
            <w:pPr>
              <w:spacing w:after="0" w:line="240" w:lineRule="auto"/>
            </w:pPr>
            <w:r>
              <w:rPr>
                <w:b/>
              </w:rPr>
              <w:t xml:space="preserve">35,5–53,5 PT</w:t>
            </w:r>
          </w:p>
        </w:tc>
      </w:tr>
      <w:tr>
        <w:tc>
          <w:tcPr>
            <w:tcW w:w="0" w:type="auto"/>
          </w:tcPr>
          <w:p>
            <w:pPr>
              <w:spacing w:after="0" w:line="240" w:lineRule="auto"/>
            </w:pPr>
            <w:r>
              <w:t xml:space="preserve">bis G3</w:t>
            </w:r>
          </w:p>
        </w:tc>
        <w:tc>
          <w:tcPr>
            <w:tcW w:w="0" w:type="auto"/>
          </w:tcPr>
          <w:p>
            <w:pPr>
              <w:spacing w:after="0" w:line="240" w:lineRule="auto"/>
            </w:pPr>
            <w:r>
              <w:t xml:space="preserve">32,5–48,5 PT</w:t>
            </w:r>
          </w:p>
        </w:tc>
      </w:tr>
      <w:tr>
        <w:tc>
          <w:tcPr>
            <w:tcW w:w="0" w:type="auto"/>
          </w:tcPr>
          <w:p>
            <w:pPr>
              <w:spacing w:after="0" w:line="240" w:lineRule="auto"/>
            </w:pPr>
            <w:r>
              <w:t xml:space="preserve">bis G4a</w:t>
            </w:r>
          </w:p>
        </w:tc>
        <w:tc>
          <w:tcPr>
            <w:tcW w:w="0" w:type="auto"/>
          </w:tcPr>
          <w:p>
            <w:pPr>
              <w:spacing w:after="0" w:line="240" w:lineRule="auto"/>
            </w:pPr>
            <w:r>
              <w:t xml:space="preserve">46–69,5 PT</w:t>
            </w:r>
          </w:p>
        </w:tc>
      </w:tr>
      <w:tr>
        <w:tc>
          <w:tcPr>
            <w:tcW w:w="0" w:type="auto"/>
          </w:tcPr>
          <w:p>
            <w:pPr>
              <w:spacing w:after="0" w:line="240" w:lineRule="auto"/>
            </w:pPr>
            <w:r>
              <w:t xml:space="preserve">gbXML-Import G4c zusätzlich</w:t>
            </w:r>
          </w:p>
        </w:tc>
        <w:tc>
          <w:tcPr>
            <w:tcW w:w="0" w:type="auto"/>
          </w:tcPr>
          <w:p>
            <w:pPr>
              <w:spacing w:after="0" w:line="240" w:lineRule="auto"/>
            </w:pPr>
            <w:r>
              <w:t xml:space="preserve">17–28 PT</w:t>
            </w:r>
          </w:p>
        </w:tc>
      </w:tr>
      <w:tr>
        <w:tc>
          <w:tcPr>
            <w:tcW w:w="0" w:type="auto"/>
          </w:tcPr>
          <w:p>
            <w:pPr>
              <w:spacing w:after="0" w:line="240" w:lineRule="auto"/>
            </w:pPr>
            <w:r>
              <w:t xml:space="preserve">Mehrzonenmodell G6a bis G6d</w:t>
            </w:r>
          </w:p>
        </w:tc>
        <w:tc>
          <w:tcPr>
            <w:tcW w:w="0" w:type="auto"/>
          </w:tcPr>
          <w:p>
            <w:pPr>
              <w:spacing w:after="0" w:line="240" w:lineRule="auto"/>
            </w:pPr>
            <w:r>
              <w:rPr>
                <w:b/>
              </w:rPr>
              <w:t xml:space="preserve">40–62 PT</w:t>
            </w:r>
            <w:r>
              <w:t xml:space="preserve"> (einschließlich Grundriss aus E11)</w:t>
            </w:r>
          </w:p>
        </w:tc>
      </w:tr>
      <w:tr>
        <w:tc>
          <w:tcPr>
            <w:tcW w:w="0" w:type="auto"/>
          </w:tcPr>
          <w:p>
            <w:pPr>
              <w:spacing w:after="0" w:line="240" w:lineRule="auto"/>
            </w:pPr>
            <w:r>
              <w:t xml:space="preserve">Exporte G7a bis G7e</w:t>
            </w:r>
          </w:p>
        </w:tc>
        <w:tc>
          <w:tcPr>
            <w:tcW w:w="0" w:type="auto"/>
          </w:tcPr>
          <w:p>
            <w:pPr>
              <w:spacing w:after="0" w:line="240" w:lineRule="auto"/>
            </w:pPr>
            <w:r>
              <w:rPr>
                <w:b/>
              </w:rPr>
              <w:t xml:space="preserve">42–72 PT</w:t>
            </w:r>
            <w:r>
              <w:t xml:space="preserve">, mit Körperansicht aus E11 </w:t>
            </w:r>
            <w:r>
              <w:rPr>
                <w:b/>
              </w:rPr>
              <w:t xml:space="preserve">46–79 PT</w:t>
            </w:r>
          </w:p>
        </w:tc>
      </w:tr>
      <w:tr>
        <w:tc>
          <w:tcPr>
            <w:tcW w:w="0" w:type="auto"/>
          </w:tcPr>
          <w:p>
            <w:pPr>
              <w:spacing w:after="0" w:line="240" w:lineRule="auto"/>
            </w:pPr>
            <w:r>
              <w:t xml:space="preserve">G4c + G7 zusammen</w:t>
            </w:r>
          </w:p>
        </w:tc>
        <w:tc>
          <w:tcPr>
            <w:tcW w:w="0" w:type="auto"/>
          </w:tcPr>
          <w:p>
            <w:pPr>
              <w:spacing w:after="0" w:line="240" w:lineRule="auto"/>
            </w:pPr>
            <w:r>
              <w:t xml:space="preserve">63–107 PT</w:t>
            </w:r>
          </w:p>
        </w:tc>
      </w:tr>
      <w:tr>
        <w:tc>
          <w:tcPr>
            <w:tcW w:w="0" w:type="auto"/>
          </w:tcPr>
          <w:p>
            <w:pPr>
              <w:spacing w:after="0" w:line="240" w:lineRule="auto"/>
            </w:pPr>
            <w:r>
              <w:rPr>
                <w:b/>
              </w:rPr>
              <w:t xml:space="preserve">Kühlung KU0 bis KU3</w:t>
            </w:r>
          </w:p>
        </w:tc>
        <w:tc>
          <w:tcPr>
            <w:tcW w:w="0" w:type="auto"/>
          </w:tcPr>
          <w:p>
            <w:pPr>
              <w:spacing w:after="0" w:line="240" w:lineRule="auto"/>
            </w:pPr>
            <w:r>
              <w:rPr>
                <w:b/>
              </w:rPr>
              <w:t xml:space="preserve">47–74 PT</w:t>
            </w:r>
            <w:r>
              <w:t xml:space="preserve">, ohne Kältespeicher </w:t>
            </w:r>
            <w:r>
              <w:rPr>
                <w:b/>
              </w:rPr>
              <w:t xml:space="preserve">44–69 PT</w:t>
            </w:r>
            <w:r>
              <w:t xml:space="preserve">; davon </w:t>
            </w:r>
            <w:r>
              <w:rPr>
                <w:b/>
              </w:rPr>
              <w:t xml:space="preserve">11–17 PT</w:t>
            </w:r>
            <w:r>
              <w:t xml:space="preserve"> in der laufenden G-Kette (KU0 + KU1)</w:t>
            </w:r>
          </w:p>
        </w:tc>
      </w:tr>
      <w:tr>
        <w:tc>
          <w:tcPr>
            <w:tcW w:w="0" w:type="auto"/>
          </w:tcPr>
          <w:p>
            <w:pPr>
              <w:spacing w:after="0" w:line="240" w:lineRule="auto"/>
            </w:pPr>
            <w:r>
              <w:rPr>
                <w:b/>
              </w:rPr>
              <w:t xml:space="preserve">Anlagenkopplung AK0 bis AK3 (E22)</w:t>
            </w:r>
          </w:p>
        </w:tc>
        <w:tc>
          <w:tcPr>
            <w:tcW w:w="0" w:type="auto"/>
          </w:tcPr>
          <w:p>
            <w:pPr>
              <w:spacing w:after="0" w:line="240" w:lineRule="auto"/>
            </w:pPr>
            <w:r>
              <w:rPr>
                <w:b/>
              </w:rPr>
              <w:t xml:space="preserve">44–68 PT</w:t>
            </w:r>
            <w:r>
              <w:t xml:space="preserve">, je Stufe einzeln wählbar und einzeln eingefroren: AK0 1–2, AK1 </w:t>
            </w:r>
            <w:r>
              <w:rPr>
                <w:b/>
              </w:rPr>
              <w:t xml:space="preserve">9–13</w:t>
            </w:r>
            <w:r>
              <w:t xml:space="preserve"> (nach G2), AK2 </w:t>
            </w:r>
            <w:r>
              <w:rPr>
                <w:b/>
              </w:rPr>
              <w:t xml:space="preserve">11–15</w:t>
            </w:r>
            <w:r>
              <w:t xml:space="preserve"> (nach AK1 und Feldphase), AK3 </w:t>
            </w:r>
            <w:r>
              <w:rPr>
                <w:b/>
              </w:rPr>
              <w:t xml:space="preserve">23–38</w:t>
            </w:r>
            <w:r>
              <w:t xml:space="preserve">; welche Stufe wann beauftragt wird, ist Frage </w:t>
            </w:r>
            <w:r>
              <w:rPr>
                <w:b/>
              </w:rPr>
              <w:t xml:space="preserve">Q26</w:t>
            </w:r>
          </w:p>
        </w:tc>
      </w:tr>
    </w:tbl>
    <w:p>
      <w:pPr>
        <w:spacing w:after="120"/>
      </w:pPr>
    </w:p>
    <w:p>
      <w:r>
        <w:rPr>
          <w:b/>
        </w:rPr>
        <w:t xml:space="preserve">Warum die Kühlung so viel wiegt.</w:t>
      </w:r>
      <w:r>
        <w:t xml:space="preserve"> 47–74 PT sind rund das </w:t>
      </w:r>
      <w:r>
        <w:rPr>
          <w:b/>
        </w:rPr>
        <w:t xml:space="preserve">Dreifache</w:t>
      </w:r>
      <w:r>
        <w:t xml:space="preserve"> des Ansatzes für G1 + G2 zusammen. Die Kühlung ist kein Anbau an das Gebäudemodell: Sie berührt Kanal, Erzeuger, Strom, Wirtschaftlichkeit, Oberfläche und Regressionsnetz zugleich (Kapitel 8a).</w:t>
      </w:r>
    </w:p>
    <w:p>
      <w:r>
        <w:rPr>
          <w:b/>
        </w:rPr>
        <w:t xml:space="preserve">Warum das über dem ersten Konzeptrahmen liegt.</w:t>
      </w:r>
      <w:r>
        <w:t xml:space="preserve"> Das Konzept veranschlagte G1 mit 6–10 PT und G2 mit 3–5 PT. Allein die Oberfläche ist gemessen 8,0 PT, und dazu kommen vier Dinge, die das Konzept nicht kannte: der erste Sichtneubau des SQLite-Zweigs samt Namensleser, die NULL-erhaltende Katalogkopie, die Vorrichtung für nicht ausgelieferte Normzahlen — und mit </w:t>
      </w:r>
      <w:r>
        <w:rPr>
          <w:b/>
        </w:rPr>
        <w:t xml:space="preserve">E20</w:t>
      </w:r>
      <w:r>
        <w:t xml:space="preserve"> die Trennung der Rechenwege samt byte-gleichem Nachweis der Verschiebung (3–5 PT) und dem Bestandsweg-Abschnitt im Dialog (1 PT).</w:t>
      </w:r>
    </w:p>
    <w:p>
      <w:pPr>
        <w:pStyle w:val="Heading2"/>
      </w:pPr>
      <w:r>
        <w:t xml:space="preserve">11.3 Reihenfolge</w:t>
      </w:r>
    </w:p>
    <w:p>
      <w:pPr>
        <w:pStyle w:val="Diagrammbild"/>
      </w:pPr>
      <w:r>
        <w:drawing>
          <wp:inline xmlns:wp="http://schemas.openxmlformats.org/drawingml/2006/wordprocessingDrawing" distT="0" distB="0" distL="0" distR="0">
            <wp:extent cx="3450041" cy="7920000"/>
            <wp:effectExtent l="0" t="0" r="0" b="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_Design_Rechenweg_Gebaeudesimulation_EPOS-Plan_16.png"/>
                    <pic:cNvPicPr/>
                  </pic:nvPicPr>
                  <pic:blipFill>
                    <a:blip xmlns:r="http://schemas.openxmlformats.org/officeDocument/2006/relationships" r:embed="R7fe7eaa3de904768"/>
                    <a:stretch>
                      <a:fillRect/>
                    </a:stretch>
                  </pic:blipFill>
                  <pic:spPr>
                    <a:xfrm>
                      <a:off x="0" y="0"/>
                      <a:ext cx="3450041" cy="7920000"/>
                    </a:xfrm>
                    <a:prstGeom prst="rect">
                      <a:avLst/>
                    </a:prstGeom>
                  </pic:spPr>
                </pic:pic>
              </a:graphicData>
            </a:graphic>
          </wp:inline>
        </w:drawing>
      </w:r>
    </w:p>
    <w:p>
      <w:pPr>
        <w:pStyle w:val="Bildunterschrift"/>
      </w:pPr>
      <w:r>
        <w:rPr>
          <w:i/>
          <w:iCs/>
        </w:rPr>
        <w:t xml:space="preserve">Bild 16: 11.3 Reihenfolge</w:t>
      </w:r>
    </w:p>
    <w:p>
      <w:r>
        <w:rPr>
          <w:b/>
        </w:rPr>
        <w:t xml:space="preserve">Sechs Begründungen der Reihenfolge.</w:t>
      </w:r>
      <w:r>
        <w:t xml:space="preserve"> G0 zuerst, weil ohne bestandene Normtests keine Anbindung sinnvoll ist. GB </w:t>
      </w:r>
      <w:r>
        <w:rPr>
          <w:b/>
        </w:rPr>
        <w:t xml:space="preserve">vor</w:t>
      </w:r>
      <w:r>
        <w:t xml:space="preserve"> G1, damit getrennt nachvollziehbar bleibt, was der Bestand und was das neue Modell verändert hat — und aus demselben Grund steht </w:t>
      </w:r>
      <w:r>
        <w:rPr>
          <w:b/>
        </w:rPr>
        <w:t xml:space="preserve">innerhalb von G1 die Verschiebung des Altwegs vorn</w:t>
      </w:r>
      <w:r>
        <w:t xml:space="preserve"> (E20): Sie ist ergebnisneutral und mit einem </w:t>
      </w:r>
      <w:r>
        <w:rPr>
          <w:b/>
        </w:rPr>
        <w:t xml:space="preserve">byte-gleichen</w:t>
      </w:r>
      <w:r>
        <w:t xml:space="preserve"> Referenzlauf abzunehmen, bevor der VDI-Weg angebunden wird; danach ließe sich nicht mehr trennen, was die Verschiebung und was das neue Modell bewegt hat. </w:t>
      </w:r>
      <w:r>
        <w:rPr>
          <w:b/>
        </w:rPr>
        <w:t xml:space="preserve">Jeder Merge zwischen GB und G1+G2 muss </w:t>
      </w:r>
      <w:r>
        <w:rPr>
          <w:rFonts w:ascii="Consolas" w:hAnsi="Consolas" w:cs="Consolas"/>
          <w:b/>
          <w:noProof/>
          <w:sz w:val="20"/>
          <w:szCs w:val="20"/>
          <w:shd w:val="clear" w:color="auto" w:fill="EFEFEF"/>
        </w:rPr>
        <w:t xml:space="preserve">GESAMT: PASS</w:t>
      </w:r>
      <w:r>
        <w:rPr>
          <w:b/>
        </w:rPr>
        <w:t xml:space="preserve"> melden</w:t>
      </w:r>
      <w:r>
        <w:t xml:space="preserve"> — wer M3 und G1 zusammenlegt, kann hinterher nicht mehr sagen, ob eine Abweichung vom Schema oder vom Modell kommt. Und die Importe stehen hinter G1+G2, weil ein Import in ein Modell, das die Daten nicht nutzt, keinen Gegenstand hat; die </w:t>
      </w:r>
      <w:r>
        <w:rPr>
          <w:b/>
        </w:rPr>
        <w:t xml:space="preserve">Persistenz der Zuordnung gehört in die erste gebaute Importstufe</w:t>
      </w:r>
      <w:r>
        <w:t xml:space="preserve">, egal welche, weil sie nachzurüsten hieße, für alle vorher importierten Gebäude keine Zuordnung zu haben. </w:t>
      </w:r>
      <w:r>
        <w:rPr>
          <w:b/>
        </w:rPr>
        <w:t xml:space="preserve">Fünftens die Kühlung:</w:t>
      </w:r>
      <w:r>
        <w:t xml:space="preserve"> KU1 läuft </w:t>
      </w:r>
      <w:r>
        <w:rPr>
          <w:b/>
        </w:rPr>
        <w:t xml:space="preserve">mit</w:t>
      </w:r>
      <w:r>
        <w:t xml:space="preserve"> G1 + G2 in einem Merge und einem Einfrierschritt, weil seine neue Vektordatei sonst ein zweites Neu-Einfrieren derselben Sache erzwingt; KU2 läuft </w:t>
      </w:r>
      <w:r>
        <w:rPr>
          <w:b/>
        </w:rPr>
        <w:t xml:space="preserve">nach</w:t>
      </w:r>
      <w:r>
        <w:t xml:space="preserve"> G2, weil ohne Sommerlüftung auf eine überzeichnete Kühllast ausgelegt würde.</w:t>
      </w:r>
    </w:p>
    <w:p>
      <w:pPr>
        <w:pStyle w:val="Heading2"/>
      </w:pPr>
      <w:r>
        <w:t xml:space="preserve">11.4 Die Einfrierschritte und ihre Sperrpunkte</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Einfrierschritt</w:t>
            </w:r>
          </w:p>
        </w:tc>
        <w:tc>
          <w:tcPr>
            <w:tcW w:w="0" w:type="auto"/>
            <w:shd w:val="clear" w:color="auto" w:fill="D9D9D9"/>
          </w:tcPr>
          <w:p>
            <w:pPr>
              <w:spacing w:after="0" w:line="240" w:lineRule="auto"/>
              <w:rPr>
                <w:b/>
              </w:rPr>
            </w:pPr>
            <w:r>
              <w:rPr>
                <w:b/>
              </w:rPr>
              <w:t xml:space="preserve">Anlass</w:t>
            </w:r>
          </w:p>
        </w:tc>
        <w:tc>
          <w:tcPr>
            <w:tcW w:w="0" w:type="auto"/>
            <w:shd w:val="clear" w:color="auto" w:fill="D9D9D9"/>
          </w:tcPr>
          <w:p>
            <w:pPr>
              <w:spacing w:after="0" w:line="240" w:lineRule="auto"/>
              <w:rPr>
                <w:b/>
              </w:rPr>
            </w:pPr>
            <w:r>
              <w:rPr>
                <w:b/>
              </w:rPr>
              <w:t xml:space="preserve">Regel, die dabei entsteht</w:t>
            </w:r>
          </w:p>
        </w:tc>
      </w:tr>
      <w:tr>
        <w:tc>
          <w:tcPr>
            <w:tcW w:w="0" w:type="auto"/>
          </w:tcPr>
          <w:p>
            <w:pPr>
              <w:spacing w:after="0" w:line="240" w:lineRule="auto"/>
            </w:pPr>
            <w:r>
              <w:rPr>
                <w:b/>
              </w:rPr>
              <w:t xml:space="preserve">GB</w:t>
            </w:r>
          </w:p>
        </w:tc>
        <w:tc>
          <w:tcPr>
            <w:tcW w:w="0" w:type="auto"/>
          </w:tcPr>
          <w:p>
            <w:pPr>
              <w:spacing w:after="0" w:line="240" w:lineRule="auto"/>
            </w:pPr>
            <w:r>
              <w:t xml:space="preserve">der Gebäudezustand ist heute statisch, das Ergebnis hängt an der Zeilenreihenfolge</w:t>
            </w:r>
          </w:p>
        </w:tc>
        <w:tc>
          <w:tcPr>
            <w:tcW w:w="0" w:type="auto"/>
          </w:tcPr>
          <w:p>
            <w:pPr>
              <w:spacing w:after="0" w:line="240" w:lineRule="auto"/>
            </w:pPr>
            <w:r>
              <w:rPr>
                <w:b/>
              </w:rPr>
              <w:t xml:space="preserve">„gesäte Gebäudedaten"</w:t>
            </w:r>
            <w:r>
              <w:t xml:space="preserve"> der Testdatenbank</w:t>
            </w:r>
          </w:p>
        </w:tc>
      </w:tr>
      <w:tr>
        <w:tc>
          <w:tcPr>
            <w:tcW w:w="0" w:type="auto"/>
          </w:tcPr>
          <w:p>
            <w:pPr>
              <w:spacing w:after="0" w:line="240" w:lineRule="auto"/>
            </w:pPr>
            <w:r>
              <w:rPr>
                <w:b/>
              </w:rPr>
              <w:t xml:space="preserve">G1 + G2 + KU1</w:t>
            </w:r>
          </w:p>
        </w:tc>
        <w:tc>
          <w:tcPr>
            <w:tcW w:w="0" w:type="auto"/>
          </w:tcPr>
          <w:p>
            <w:pPr>
              <w:spacing w:after="0" w:line="240" w:lineRule="auto"/>
            </w:pPr>
            <w:r>
              <w:t xml:space="preserve">dreizehn Projekte rechnen stündlich, und der Kühlkanal bringt eine </w:t>
            </w:r>
            <w:r>
              <w:rPr>
                <w:b/>
              </w:rPr>
              <w:t xml:space="preserve">neue Vektordatei</w:t>
            </w:r>
            <w:r>
              <w:t xml:space="preserve">, gegen die es keinen Schalter gibt</w:t>
            </w:r>
          </w:p>
        </w:tc>
        <w:tc>
          <w:tcPr>
            <w:tcW w:w="0" w:type="auto"/>
          </w:tcPr>
          <w:p>
            <w:pPr>
              <w:spacing w:after="0" w:line="240" w:lineRule="auto"/>
            </w:pPr>
            <w:r>
              <w:t xml:space="preserve">— (die Gebäudedaten-Regel wächst um die fünfzehn neuen Spalten)</w:t>
            </w:r>
          </w:p>
        </w:tc>
      </w:tr>
      <w:tr>
        <w:tc>
          <w:tcPr>
            <w:tcW w:w="0" w:type="auto"/>
          </w:tcPr>
          <w:p>
            <w:pPr>
              <w:spacing w:after="0" w:line="240" w:lineRule="auto"/>
            </w:pPr>
            <w:r>
              <w:rPr>
                <w:b/>
              </w:rPr>
              <w:t xml:space="preserve">KU2</w:t>
            </w:r>
          </w:p>
        </w:tc>
        <w:tc>
          <w:tcPr>
            <w:tcW w:w="0" w:type="auto"/>
          </w:tcPr>
          <w:p>
            <w:pPr>
              <w:spacing w:after="0" w:line="240" w:lineRule="auto"/>
            </w:pPr>
            <w:r>
              <w:t xml:space="preserve">der Kühlbetrieb wird in </w:t>
            </w:r>
            <w:r>
              <w:rPr>
                <w:b/>
              </w:rPr>
              <w:t xml:space="preserve">genau einem</w:t>
            </w:r>
            <w:r>
              <w:t xml:space="preserve"> Referenzprojekt eingeschaltet</w:t>
            </w:r>
          </w:p>
        </w:tc>
        <w:tc>
          <w:tcPr>
            <w:tcW w:w="0" w:type="auto"/>
          </w:tcPr>
          <w:p>
            <w:pPr>
              <w:spacing w:after="0" w:line="240" w:lineRule="auto"/>
            </w:pPr>
            <w:r>
              <w:rPr>
                <w:b/>
              </w:rPr>
              <w:t xml:space="preserve">„gesäte Kältedaten"</w:t>
            </w:r>
            <w:r>
              <w:t xml:space="preserve"> — Kühlkennlinie und Kühlbetrieb des Referenzprojekts</w:t>
            </w:r>
          </w:p>
        </w:tc>
      </w:tr>
      <w:tr>
        <w:tc>
          <w:tcPr>
            <w:tcW w:w="0" w:type="auto"/>
          </w:tcPr>
          <w:p>
            <w:pPr>
              <w:spacing w:after="0" w:line="240" w:lineRule="auto"/>
            </w:pPr>
            <w:r>
              <w:rPr>
                <w:b/>
              </w:rPr>
              <w:t xml:space="preserve">G6d</w:t>
            </w:r>
          </w:p>
        </w:tc>
        <w:tc>
          <w:tcPr>
            <w:tcW w:w="0" w:type="auto"/>
          </w:tcPr>
          <w:p>
            <w:pPr>
              <w:spacing w:after="0" w:line="240" w:lineRule="auto"/>
            </w:pPr>
            <w:r>
              <w:t xml:space="preserve">ein Referenzprojekt wird auf Zonen umgestellt</w:t>
            </w:r>
          </w:p>
        </w:tc>
        <w:tc>
          <w:tcPr>
            <w:tcW w:w="0" w:type="auto"/>
          </w:tcPr>
          <w:p>
            <w:pPr>
              <w:spacing w:after="0" w:line="240" w:lineRule="auto"/>
            </w:pPr>
            <w:r>
              <w:rPr>
                <w:b/>
              </w:rPr>
              <w:t xml:space="preserve">„gesäte Zonendaten"</w:t>
            </w:r>
          </w:p>
        </w:tc>
      </w:tr>
      <w:tr>
        <w:tc>
          <w:tcPr>
            <w:tcW w:w="0" w:type="auto"/>
          </w:tcPr>
          <w:p>
            <w:pPr>
              <w:spacing w:after="0" w:line="240" w:lineRule="auto"/>
            </w:pPr>
            <w:r>
              <w:rPr>
                <w:b/>
              </w:rPr>
              <w:t xml:space="preserve">M4</w:t>
            </w:r>
            <w:r>
              <w:t xml:space="preserve"> (ergebnisneutral, aber regelbildend)</w:t>
            </w:r>
          </w:p>
        </w:tc>
        <w:tc>
          <w:tcPr>
            <w:tcW w:w="0" w:type="auto"/>
          </w:tcPr>
          <w:p>
            <w:pPr>
              <w:spacing w:after="0" w:line="240" w:lineRule="auto"/>
            </w:pPr>
            <w:r>
              <w:t xml:space="preserve">die neuen Klimaspalten werden später gelesen</w:t>
            </w:r>
          </w:p>
        </w:tc>
        <w:tc>
          <w:tcPr>
            <w:tcW w:w="0" w:type="auto"/>
          </w:tcPr>
          <w:p>
            <w:pPr>
              <w:spacing w:after="0" w:line="240" w:lineRule="auto"/>
            </w:pPr>
            <w:r>
              <w:rPr>
                <w:b/>
              </w:rPr>
              <w:t xml:space="preserve">„gesäte Klimareihen"</w:t>
            </w:r>
          </w:p>
        </w:tc>
      </w:tr>
      <w:tr>
        <w:tc>
          <w:tcPr>
            <w:tcW w:w="0" w:type="auto"/>
          </w:tcPr>
          <w:p>
            <w:pPr>
              <w:spacing w:after="0" w:line="240" w:lineRule="auto"/>
            </w:pPr>
            <w:r>
              <w:rPr>
                <w:b/>
              </w:rPr>
              <w:t xml:space="preserve">Verschiebung des Altwegs</w:t>
            </w:r>
            <w:r>
              <w:t xml:space="preserve"> (ergebnisneutral, erster Schritt von G1)</w:t>
            </w:r>
          </w:p>
        </w:tc>
        <w:tc>
          <w:tcPr>
            <w:tcW w:w="0" w:type="auto"/>
          </w:tcPr>
          <w:p>
            <w:pPr>
              <w:spacing w:after="0" w:line="240" w:lineRule="auto"/>
            </w:pPr>
            <w:r>
              <w:t xml:space="preserve">derselbe Quelltext in </w:t>
            </w:r>
            <w:r>
              <w:rPr>
                <w:rFonts w:ascii="Consolas" w:hAnsi="Consolas" w:cs="Consolas"/>
                <w:noProof/>
                <w:sz w:val="20"/>
                <w:szCs w:val="20"/>
                <w:shd w:val="clear" w:color="auto" w:fill="EFEFEF"/>
              </w:rPr>
              <w:t xml:space="preserve">Altweg/</w:t>
            </w:r>
            <w:r>
              <w:t xml:space="preserve">, Fassade und Vorbereitungsschritt darum</w:t>
            </w:r>
          </w:p>
        </w:tc>
        <w:tc>
          <w:tcPr>
            <w:tcW w:w="0" w:type="auto"/>
          </w:tcPr>
          <w:p>
            <w:pPr>
              <w:spacing w:after="0" w:line="240" w:lineRule="auto"/>
            </w:pPr>
            <w:r>
              <w:t xml:space="preserve">kein Einfrieren — </w:t>
            </w:r>
            <w:r>
              <w:rPr>
                <w:b/>
              </w:rPr>
              <w:t xml:space="preserve">byte-gleich</w:t>
            </w:r>
            <w:r>
              <w:t xml:space="preserve">, und das ist zu </w:t>
            </w:r>
            <w:r>
              <w:rPr>
                <w:b/>
              </w:rPr>
              <w:t xml:space="preserve">führen</w:t>
            </w:r>
            <w:r>
              <w:t xml:space="preserve">, nicht zu behaupten</w:t>
            </w:r>
          </w:p>
        </w:tc>
      </w:tr>
      <w:tr>
        <w:tc>
          <w:tcPr>
            <w:tcW w:w="0" w:type="auto"/>
          </w:tcPr>
          <w:p>
            <w:pPr>
              <w:spacing w:after="0" w:line="240" w:lineRule="auto"/>
            </w:pPr>
            <w:r>
              <w:t xml:space="preserve">Schemaschritte der Kühlung (ergebnisneutral)</w:t>
            </w:r>
          </w:p>
        </w:tc>
        <w:tc>
          <w:tcPr>
            <w:tcW w:w="0" w:type="auto"/>
          </w:tcPr>
          <w:p>
            <w:pPr>
              <w:spacing w:after="0" w:line="240" w:lineRule="auto"/>
            </w:pPr>
            <w:r>
              <w:t xml:space="preserve">sechs neue Ergebnisspalten, alle NULL</w:t>
            </w:r>
          </w:p>
        </w:tc>
        <w:tc>
          <w:tcPr>
            <w:tcW w:w="0" w:type="auto"/>
          </w:tcPr>
          <w:p>
            <w:pPr>
              <w:spacing w:after="0" w:line="240" w:lineRule="auto"/>
            </w:pPr>
            <w:r>
              <w:t xml:space="preserve">kein Einfrieren — byte-gleich in allen alten Schlüsseln, die sechs neuen benannt ausgenommen; der Nachweis ist zu </w:t>
            </w:r>
            <w:r>
              <w:rPr>
                <w:b/>
              </w:rPr>
              <w:t xml:space="preserve">führen</w:t>
            </w:r>
            <w:r>
              <w:t xml:space="preserve">, nicht zu behaupten</w:t>
            </w:r>
          </w:p>
        </w:tc>
      </w:tr>
    </w:tbl>
    <w:p>
      <w:pPr>
        <w:spacing w:after="120"/>
      </w:pPr>
    </w:p>
    <w:p>
      <w:r>
        <w:rPr>
          <w:b/>
        </w:rPr>
        <w:t xml:space="preserve">Die Anlagenkopplung fügt je aktivierter AK-Stufe einen eigenen Einfrierschritt hinzu</w:t>
      </w:r>
      <w:r>
        <w:t xml:space="preserve"> (AK1 nach G2, AK2 nach abgenommenem AK1 und einer Feldphase, AK3 danach): Jede Stufe erzeugt eine neue bedingte Reihe im Export, und gegen eine Datei, die nur im neuen Lauf liegt, gibt es keinen Schalter — der Schemaschritt davor bleibt byte-gleich mit benanntem Schlüsselausschluss, und auch dieser Nachweis ist zu </w:t>
      </w:r>
      <w:r>
        <w:rPr>
          <w:b/>
        </w:rPr>
        <w:t xml:space="preserve">führen</w:t>
      </w:r>
      <w:r>
        <w:t xml:space="preserve">, nicht zu behaupten (Kapitel 8b).</w:t>
      </w:r>
    </w:p>
    <w:p>
      <w:r>
        <w:t xml:space="preserve">Vier Sperrpunkte tragen die Kette: die </w:t>
      </w:r>
      <w:r>
        <w:rPr>
          <w:b/>
        </w:rPr>
        <w:t xml:space="preserve">NULL-erhaltende Katalogkopie</w:t>
      </w:r>
      <w:r>
        <w:t xml:space="preserve"> als Schritt </w:t>
      </w:r>
      <w:r>
        <w:rPr>
          <w:b/>
        </w:rPr>
        <w:t xml:space="preserve">S-E</w:t>
      </w:r>
      <w:r>
        <w:t xml:space="preserve"> in M3 — ohne sie ist „NULL = Vorgabe" nur eine Behauptung des Papiers, und der Fehler vererbt sich an jede Zone; der </w:t>
      </w:r>
      <w:r>
        <w:rPr>
          <w:b/>
        </w:rPr>
        <w:t xml:space="preserve">byte-gleiche Referenzlauf der Altweg-Verschiebung</w:t>
      </w:r>
      <w:r>
        <w:t xml:space="preserve"> am Anfang von G1 (E20), ohne den nicht mehr zu trennen ist, was die Verschiebung und was das neue Modell bewegt hat; die </w:t>
      </w:r>
      <w:r>
        <w:rPr>
          <w:b/>
        </w:rPr>
        <w:t xml:space="preserve">Umstellung der Katalogseite samt Rasterprobe</w:t>
      </w:r>
      <w:r>
        <w:t xml:space="preserve"> in G3; und die </w:t>
      </w:r>
      <w:r>
        <w:rPr>
          <w:b/>
        </w:rPr>
        <w:t xml:space="preserve">Lizenzhinweisseite</w:t>
      </w:r>
      <w:r>
        <w:t xml:space="preserve"> vor G4a, ohne die der IFC-Weg nicht auslieferbar ist.</w:t>
      </w:r>
    </w:p>
    <w:p>
      <w:r>
        <w:rPr>
          <w:b/>
        </w:rPr>
        <w:t xml:space="preserve">Der Rückweg-Test bleibt dauerhaft.</w:t>
      </w:r>
      <w:r>
        <w:t xml:space="preserve"> Er läuft auf der gitignorierten Arbeitskopie und hält ein Referenzprojekt </w:t>
      </w:r>
      <w:r>
        <w:rPr>
          <w:b/>
        </w:rPr>
        <w:t xml:space="preserve">dauerhaft</w:t>
      </w:r>
      <w:r>
        <w:t xml:space="preserve"> auf dem Altweg (A15); mit </w:t>
      </w:r>
      <w:r>
        <w:rPr>
          <w:b/>
        </w:rPr>
        <w:t xml:space="preserve">E23</w:t>
      </w:r>
      <w:r>
        <w:t xml:space="preserve"> bleibt es dort, und der Test wird nicht eingestellt. Der Altweg bekommt </w:t>
      </w:r>
      <w:r>
        <w:rPr>
          <w:b/>
        </w:rPr>
        <w:t xml:space="preserve">keine Änderung außer Fehlerbehebung</w:t>
      </w:r>
      <w:r>
        <w:t xml:space="preserve">.</w:t>
      </w:r>
    </w:p>
    <w:p>
      <w:r>
        <w:rPr>
          <w:b/>
        </w:rPr>
        <w:t xml:space="preserve">Einzelheiten:</w:t>
      </w:r>
      <w:r>
        <w:t xml:space="preserve"> </w:t>
      </w:r>
      <w:r>
        <w:rPr>
          <w:rFonts w:ascii="Consolas" w:hAnsi="Consolas" w:cs="Consolas"/>
          <w:noProof/>
          <w:sz w:val="20"/>
          <w:szCs w:val="20"/>
          <w:shd w:val="clear" w:color="auto" w:fill="EFEFEF"/>
        </w:rPr>
        <w:t xml:space="preserve">Dokumentation/aktuell/Umsetzungskonzept_Gebaeudesimulation_VDI6007_EPOS-Plan.md</w:t>
      </w:r>
      <w:r>
        <w:t xml:space="preserve"> (Kapitel 4 und der Hinweis zu den Schrittnummern in 1.6), </w:t>
      </w:r>
      <w:r>
        <w:rPr>
          <w:rFonts w:ascii="Consolas" w:hAnsi="Consolas" w:cs="Consolas"/>
          <w:noProof/>
          <w:sz w:val="20"/>
          <w:szCs w:val="20"/>
          <w:shd w:val="clear" w:color="auto" w:fill="EFEFEF"/>
        </w:rPr>
        <w:t xml:space="preserve">Dokumentation/aktuell/Konzept_Mehrzonenmodell_IFC_EPOS-Plan.md</w:t>
      </w:r>
      <w:r>
        <w:t xml:space="preserve"> (Kapitel 9), </w:t>
      </w:r>
      <w:r>
        <w:rPr>
          <w:rFonts w:ascii="Consolas" w:hAnsi="Consolas" w:cs="Consolas"/>
          <w:noProof/>
          <w:sz w:val="20"/>
          <w:szCs w:val="20"/>
          <w:shd w:val="clear" w:color="auto" w:fill="EFEFEF"/>
        </w:rPr>
        <w:t xml:space="preserve">Dokumentation/aktuell/Konzept_Datenaustausch_gbXML_IFC_EPOS-Plan.md</w:t>
      </w:r>
      <w:r>
        <w:t xml:space="preserve"> (Kapitel 10), </w:t>
      </w:r>
      <w:r>
        <w:rPr>
          <w:rFonts w:ascii="Consolas" w:hAnsi="Consolas" w:cs="Consolas"/>
          <w:noProof/>
          <w:sz w:val="20"/>
          <w:szCs w:val="20"/>
          <w:shd w:val="clear" w:color="auto" w:fill="EFEFEF"/>
        </w:rPr>
        <w:t xml:space="preserve">Dokumentation/aktuell/Konzept_Kuehlung_Gebaeudesimulation_EPOS-Plan.md</w:t>
      </w:r>
      <w:r>
        <w:t xml:space="preserve"> (Kapitel 10.5 und 11) und </w:t>
      </w:r>
      <w:r>
        <w:rPr>
          <w:rFonts w:ascii="Consolas" w:hAnsi="Consolas" w:cs="Consolas"/>
          <w:noProof/>
          <w:sz w:val="20"/>
          <w:szCs w:val="20"/>
          <w:shd w:val="clear" w:color="auto" w:fill="EFEFEF"/>
        </w:rPr>
        <w:t xml:space="preserve">Dokumentation/aktuell/Softwarearchitektur_Gebaeudesimulation_EPOS-Plan.md</w:t>
      </w:r>
      <w:r>
        <w:t xml:space="preserve"> (Kapitel 5).</w:t>
      </w:r>
    </w:p>
    <w:p>
      <w:pPr>
        <w:pStyle w:val="Trennlinie"/>
      </w:pPr>
    </w:p>
    <w:p>
      <w:pPr>
        <w:pStyle w:val="Heading1"/>
      </w:pPr>
      <w:r>
        <w:t xml:space="preserve">12 Offene Entscheide des Anwenders</w:t>
      </w:r>
    </w:p>
    <w:p>
      <w:r>
        <w:rPr>
          <w:b/>
        </w:rPr>
        <w:t xml:space="preserve">Die offenen Punkte werden seit dem 16.09.2026 an einer Stelle geführt:</w:t>
      </w:r>
      <w:r>
        <w:t xml:space="preserve"> </w:t>
      </w:r>
      <w:r>
        <w:rPr>
          <w:rFonts w:ascii="Consolas" w:hAnsi="Consolas" w:cs="Consolas"/>
          <w:noProof/>
          <w:sz w:val="20"/>
          <w:szCs w:val="20"/>
          <w:shd w:val="clear" w:color="auto" w:fill="EFEFEF"/>
        </w:rPr>
        <w:t xml:space="preserve">Dokumentation/aktuell/Offene_Entscheide_Gebaeudesimulation_EPOS-Plan.md</w:t>
      </w:r>
      <w:r>
        <w:t xml:space="preserve"> — Frage, Hintergrund, Optionen, Empfehlung des jeweiligen Papiers, Folge bei Nichtentscheid und der Zeitpunkt, bis zu dem die Antwort vorliegen muss. Das Register entscheidet nichts; entschieden wird weiter im Konzept-Nachtrag und in der Statusdatei, und beim Entscheid wird es um den betroffenen Punkt gekürzt. </w:t>
      </w:r>
      <w:r>
        <w:rPr>
          <w:b/>
        </w:rPr>
        <w:t xml:space="preserve">Umfang: 62 offene Punkte</w:t>
      </w:r>
      <w:r>
        <w:t xml:space="preserve"> (nach den Entscheiden E16 bis E24 vom 16.09.2026) — 1 im Konzept (</w:t>
      </w:r>
      <w:r>
        <w:rPr>
          <w:b/>
        </w:rPr>
        <w:t xml:space="preserve">Q26</w:t>
      </w:r>
      <w:r>
        <w:t xml:space="preserve"> zum Stufenplan der Anlagenkopplung), 13 im Umsetzungskonzept, 12 im Mehrzonenkonzept, 7 im Datenaustauschkonzept, 15 in der Softwarearchitektur, 14 im Kühlkonzept und </w:t>
      </w:r>
      <w:r>
        <w:rPr>
          <w:b/>
        </w:rPr>
        <w:t xml:space="preserve">keiner</w:t>
      </w:r>
      <w:r>
        <w:t xml:space="preserve"> mehr im Papier der Anlagenkopplung (H1 bis H12 sind mit E24 entschieden), dazu drei Listen zur Kenntnis. </w:t>
      </w:r>
      <w:r>
        <w:rPr>
          <w:b/>
        </w:rPr>
        <w:t xml:space="preserve">U2</w:t>
      </w:r>
      <w:r>
        <w:t xml:space="preserve"> und </w:t>
      </w:r>
      <w:r>
        <w:rPr>
          <w:b/>
        </w:rPr>
        <w:t xml:space="preserve">A16</w:t>
      </w:r>
      <w:r>
        <w:t xml:space="preserve"> sind mit E20 gegenstandslos, </w:t>
      </w:r>
      <w:r>
        <w:rPr>
          <w:b/>
        </w:rPr>
        <w:t xml:space="preserve">K1</w:t>
      </w:r>
      <w:r>
        <w:t xml:space="preserve"> ist mit E21 entschieden, </w:t>
      </w:r>
      <w:r>
        <w:rPr>
          <w:b/>
        </w:rPr>
        <w:t xml:space="preserve">Q24</w:t>
      </w:r>
      <w:r>
        <w:t xml:space="preserve"> und </w:t>
      </w:r>
      <w:r>
        <w:rPr>
          <w:b/>
        </w:rPr>
        <w:t xml:space="preserve">Q25</w:t>
      </w:r>
      <w:r>
        <w:t xml:space="preserve"> sind mit E23 erledigt; ADR-004, ADR-005 und ADR-006 sind angenommen.</w:t>
      </w:r>
    </w:p>
    <w:p>
      <w:r>
        <w:t xml:space="preserve">Dieses Kapitel nennt davon </w:t>
      </w:r>
      <w:r>
        <w:rPr>
          <w:b/>
        </w:rPr>
        <w:t xml:space="preserve">das, was jetzt fällig ist</w:t>
      </w:r>
      <w:r>
        <w:t xml:space="preserve">, und danach je Papier nur noch die Nummern der übrigen Punkte. Die Erläuterung jedes einzelnen steht im Register.</w:t>
      </w:r>
    </w:p>
    <w:p>
      <w:pPr>
        <w:pStyle w:val="Heading2"/>
      </w:pPr>
      <w:r>
        <w:t xml:space="preserve">12.1 Was jetzt zu entscheiden ist</w:t>
      </w:r>
    </w:p>
    <w:p>
      <w:r>
        <w:t xml:space="preserve">Kriterium dieser Liste: Der Punkt legt </w:t>
      </w:r>
      <w:r>
        <w:rPr>
          <w:b/>
        </w:rPr>
        <w:t xml:space="preserve">Schema, Referenzbasis, Datenmodell oder eine Fremdbibliothek unwiderruflich</w:t>
      </w:r>
      <w:r>
        <w:t xml:space="preserve"> fest, oder er ist für den Anwender in der Oberfläche sichtbar und lässt sich nachträglich nicht stillschweigend ändern. Alles Übrige darf mit der Stufe entschieden werden, zu der es gehört.</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Nr.</w:t>
            </w:r>
          </w:p>
        </w:tc>
        <w:tc>
          <w:tcPr>
            <w:tcW w:w="0" w:type="auto"/>
            <w:shd w:val="clear" w:color="auto" w:fill="D9D9D9"/>
          </w:tcPr>
          <w:p>
            <w:pPr>
              <w:spacing w:after="0" w:line="240" w:lineRule="auto"/>
              <w:rPr>
                <w:b/>
              </w:rPr>
            </w:pPr>
            <w:r>
              <w:rPr>
                <w:b/>
              </w:rPr>
              <w:t xml:space="preserve">Frage in einem Satz</w:t>
            </w:r>
          </w:p>
        </w:tc>
        <w:tc>
          <w:tcPr>
            <w:tcW w:w="0" w:type="auto"/>
            <w:shd w:val="clear" w:color="auto" w:fill="D9D9D9"/>
          </w:tcPr>
          <w:p>
            <w:pPr>
              <w:spacing w:after="0" w:line="240" w:lineRule="auto"/>
              <w:rPr>
                <w:b/>
              </w:rPr>
            </w:pPr>
            <w:r>
              <w:rPr>
                <w:b/>
              </w:rPr>
              <w:t xml:space="preserve">Empfehlung in einem Satz</w:t>
            </w:r>
          </w:p>
        </w:tc>
        <w:tc>
          <w:tcPr>
            <w:tcW w:w="0" w:type="auto"/>
            <w:shd w:val="clear" w:color="auto" w:fill="D9D9D9"/>
          </w:tcPr>
          <w:p>
            <w:pPr>
              <w:spacing w:after="0" w:line="240" w:lineRule="auto"/>
              <w:rPr>
                <w:b/>
              </w:rPr>
            </w:pPr>
            <w:r>
              <w:rPr>
                <w:b/>
              </w:rPr>
              <w:t xml:space="preserve">Spätestens vor</w:t>
            </w:r>
          </w:p>
        </w:tc>
      </w:tr>
      <w:tr>
        <w:tc>
          <w:tcPr>
            <w:tcW w:w="0" w:type="auto"/>
          </w:tcPr>
          <w:p>
            <w:pPr>
              <w:spacing w:after="0" w:line="240" w:lineRule="auto"/>
            </w:pPr>
            <w:r>
              <w:rPr>
                <w:b/>
              </w:rPr>
              <w:t xml:space="preserve">U8</w:t>
            </w:r>
          </w:p>
        </w:tc>
        <w:tc>
          <w:tcPr>
            <w:tcW w:w="0" w:type="auto"/>
          </w:tcPr>
          <w:p>
            <w:pPr>
              <w:spacing w:after="0" w:line="240" w:lineRule="auto"/>
            </w:pPr>
            <w:r>
              <w:t xml:space="preserve">Werden die Normzahlen als gitignorierte, lokal beizustellende Datei geführt — mit der Folge, dass der Normfallnachweis lokal und nicht in der CI läuft?</w:t>
            </w:r>
          </w:p>
        </w:tc>
        <w:tc>
          <w:tcPr>
            <w:tcW w:w="0" w:type="auto"/>
          </w:tcPr>
          <w:p>
            <w:pPr>
              <w:spacing w:after="0" w:line="240" w:lineRule="auto"/>
            </w:pPr>
            <w:r>
              <w:t xml:space="preserve">Ja; das Ausliefern wäre eine Vervielfältigung, und die Lücke im Gate gehört ins Protokoll.</w:t>
            </w:r>
          </w:p>
        </w:tc>
        <w:tc>
          <w:tcPr>
            <w:tcW w:w="0" w:type="auto"/>
          </w:tcPr>
          <w:p>
            <w:pPr>
              <w:spacing w:after="0" w:line="240" w:lineRule="auto"/>
            </w:pPr>
            <w:r>
              <w:rPr>
                <w:b/>
              </w:rPr>
              <w:t xml:space="preserve">G0</w:t>
            </w:r>
          </w:p>
        </w:tc>
      </w:tr>
      <w:tr>
        <w:tc>
          <w:tcPr>
            <w:tcW w:w="0" w:type="auto"/>
          </w:tcPr>
          <w:p>
            <w:pPr>
              <w:spacing w:after="0" w:line="240" w:lineRule="auto"/>
            </w:pPr>
            <w:r>
              <w:rPr>
                <w:b/>
              </w:rPr>
              <w:t xml:space="preserve">U5</w:t>
            </w:r>
          </w:p>
        </w:tc>
        <w:tc>
          <w:tcPr>
            <w:tcW w:w="0" w:type="auto"/>
          </w:tcPr>
          <w:p>
            <w:pPr>
              <w:spacing w:after="0" w:line="240" w:lineRule="auto"/>
            </w:pPr>
            <w:r>
              <w:t xml:space="preserve">Werden die zwei Gebäudespalten-Schemaschritte zu </w:t>
            </w:r>
            <w:r>
              <w:rPr>
                <w:b/>
              </w:rPr>
              <w:t xml:space="preserve">einem</w:t>
            </w:r>
            <w:r>
              <w:t xml:space="preserve"> verschmolzen (ein Sichtneubau statt zwei)?</w:t>
            </w:r>
          </w:p>
        </w:tc>
        <w:tc>
          <w:tcPr>
            <w:tcW w:w="0" w:type="auto"/>
          </w:tcPr>
          <w:p>
            <w:pPr>
              <w:spacing w:after="0" w:line="240" w:lineRule="auto"/>
            </w:pPr>
            <w:r>
              <w:t xml:space="preserve">Ja — G1 und G2 werden gemeinsam ausgeliefert; der Klimaschritt bleibt getrennt.</w:t>
            </w:r>
          </w:p>
        </w:tc>
        <w:tc>
          <w:tcPr>
            <w:tcW w:w="0" w:type="auto"/>
          </w:tcPr>
          <w:p>
            <w:pPr>
              <w:spacing w:after="0" w:line="240" w:lineRule="auto"/>
            </w:pPr>
            <w:r>
              <w:rPr>
                <w:b/>
              </w:rPr>
              <w:t xml:space="preserve">G1</w:t>
            </w:r>
          </w:p>
        </w:tc>
      </w:tr>
      <w:tr>
        <w:tc>
          <w:tcPr>
            <w:tcW w:w="0" w:type="auto"/>
          </w:tcPr>
          <w:p>
            <w:pPr>
              <w:spacing w:after="0" w:line="240" w:lineRule="auto"/>
            </w:pPr>
            <w:r>
              <w:rPr>
                <w:b/>
              </w:rPr>
              <w:t xml:space="preserve">U1</w:t>
            </w:r>
          </w:p>
        </w:tc>
        <w:tc>
          <w:tcPr>
            <w:tcW w:w="0" w:type="auto"/>
          </w:tcPr>
          <w:p>
            <w:pPr>
              <w:spacing w:after="0" w:line="240" w:lineRule="auto"/>
            </w:pPr>
            <w:r>
              <w:t xml:space="preserve">Bekommt der Katalogeditor </w:t>
            </w:r>
            <w:r>
              <w:rPr>
                <w:b/>
              </w:rPr>
              <w:t xml:space="preserve">einen</w:t>
            </w:r>
            <w:r>
              <w:t xml:space="preserve"> Schreibweg statt der heutigen mehreren — eine für den Anwender sichtbare Änderung?</w:t>
            </w:r>
          </w:p>
        </w:tc>
        <w:tc>
          <w:tcPr>
            <w:tcW w:w="0" w:type="auto"/>
          </w:tcPr>
          <w:p>
            <w:pPr>
              <w:spacing w:after="0" w:line="240" w:lineRule="auto"/>
            </w:pPr>
            <w:r>
              <w:t xml:space="preserve">Ja, mit G1; „Speichern unter…" bleibt als nicht schließender Zweitknopf.</w:t>
            </w:r>
          </w:p>
        </w:tc>
        <w:tc>
          <w:tcPr>
            <w:tcW w:w="0" w:type="auto"/>
          </w:tcPr>
          <w:p>
            <w:pPr>
              <w:spacing w:after="0" w:line="240" w:lineRule="auto"/>
            </w:pPr>
            <w:r>
              <w:rPr>
                <w:b/>
              </w:rPr>
              <w:t xml:space="preserve">G1</w:t>
            </w:r>
          </w:p>
        </w:tc>
      </w:tr>
      <w:tr>
        <w:tc>
          <w:tcPr>
            <w:tcW w:w="0" w:type="auto"/>
          </w:tcPr>
          <w:p>
            <w:pPr>
              <w:spacing w:after="0" w:line="240" w:lineRule="auto"/>
            </w:pPr>
            <w:r>
              <w:rPr>
                <w:b/>
              </w:rPr>
              <w:t xml:space="preserve">U3</w:t>
            </w:r>
          </w:p>
        </w:tc>
        <w:tc>
          <w:tcPr>
            <w:tcW w:w="0" w:type="auto"/>
          </w:tcPr>
          <w:p>
            <w:pPr>
              <w:spacing w:after="0" w:line="240" w:lineRule="auto"/>
            </w:pPr>
            <w:r>
              <w:t xml:space="preserve">Bekommt das </w:t>
            </w:r>
            <w:r>
              <w:rPr>
                <w:rFonts w:ascii="Consolas" w:hAnsi="Consolas" w:cs="Consolas"/>
                <w:noProof/>
                <w:sz w:val="20"/>
                <w:szCs w:val="20"/>
                <w:shd w:val="clear" w:color="auto" w:fill="EFEFEF"/>
              </w:rPr>
              <w:t xml:space="preserve">Zahlenfeld</w:t>
            </w:r>
            <w:r>
              <w:t xml:space="preserve"> einen </w:t>
            </w:r>
            <w:r>
              <w:rPr>
                <w:rFonts w:ascii="Consolas" w:hAnsi="Consolas" w:cs="Consolas"/>
                <w:noProof/>
                <w:sz w:val="20"/>
                <w:szCs w:val="20"/>
                <w:shd w:val="clear" w:color="auto" w:fill="EFEFEF"/>
              </w:rPr>
              <w:t xml:space="preserve">Platzhalter</w:t>
            </w:r>
            <w:r>
              <w:t xml:space="preserve"> — ein Eingriff in einen Standardbaustein, den jeder Dialog benutzt?</w:t>
            </w:r>
          </w:p>
        </w:tc>
        <w:tc>
          <w:tcPr>
            <w:tcW w:w="0" w:type="auto"/>
          </w:tcPr>
          <w:p>
            <w:pPr>
              <w:spacing w:after="0" w:line="240" w:lineRule="auto"/>
            </w:pPr>
            <w:r>
              <w:t xml:space="preserve">Ja, rein additiv; zieht die Stilblatt-Tests nach sich.</w:t>
            </w:r>
          </w:p>
        </w:tc>
        <w:tc>
          <w:tcPr>
            <w:tcW w:w="0" w:type="auto"/>
          </w:tcPr>
          <w:p>
            <w:pPr>
              <w:spacing w:after="0" w:line="240" w:lineRule="auto"/>
            </w:pPr>
            <w:r>
              <w:rPr>
                <w:b/>
              </w:rPr>
              <w:t xml:space="preserve">G1</w:t>
            </w:r>
          </w:p>
        </w:tc>
      </w:tr>
      <w:tr>
        <w:tc>
          <w:tcPr>
            <w:tcW w:w="0" w:type="auto"/>
          </w:tcPr>
          <w:p>
            <w:pPr>
              <w:spacing w:after="0" w:line="240" w:lineRule="auto"/>
            </w:pPr>
            <w:r>
              <w:rPr>
                <w:b/>
              </w:rPr>
              <w:t xml:space="preserve">A15</w:t>
            </w:r>
          </w:p>
        </w:tc>
        <w:tc>
          <w:tcPr>
            <w:tcW w:w="0" w:type="auto"/>
          </w:tcPr>
          <w:p>
            <w:pPr>
              <w:spacing w:after="0" w:line="240" w:lineRule="auto"/>
            </w:pPr>
            <w:r>
              <w:t xml:space="preserve">Was geschieht mit der letzten reinen Bestandsbasis, gegen die der Rückweg-Nachweis läuft?</w:t>
            </w:r>
          </w:p>
        </w:tc>
        <w:tc>
          <w:tcPr>
            <w:tcW w:w="0" w:type="auto"/>
          </w:tcPr>
          <w:p>
            <w:pPr>
              <w:spacing w:after="0" w:line="240" w:lineRule="auto"/>
            </w:pPr>
            <w:r>
              <w:t xml:space="preserve">Keine zweite Basis, sondern ein Referenzprojekt, das </w:t>
            </w:r>
            <w:r>
              <w:rPr>
                <w:b/>
              </w:rPr>
              <w:t xml:space="preserve">dauerhaft</w:t>
            </w:r>
            <w:r>
              <w:t xml:space="preserve"> auf dem Altweg steht und in der neuen Basis mit eingefroren wird (E23: keine Umstellung, der Altweg bleibt).</w:t>
            </w:r>
          </w:p>
        </w:tc>
        <w:tc>
          <w:tcPr>
            <w:tcW w:w="0" w:type="auto"/>
          </w:tcPr>
          <w:p>
            <w:pPr>
              <w:spacing w:after="0" w:line="240" w:lineRule="auto"/>
            </w:pPr>
            <w:r>
              <w:rPr>
                <w:b/>
              </w:rPr>
              <w:t xml:space="preserve">G1 + G2</w:t>
            </w:r>
          </w:p>
        </w:tc>
      </w:tr>
      <w:tr>
        <w:tc>
          <w:tcPr>
            <w:tcW w:w="0" w:type="auto"/>
          </w:tcPr>
          <w:p>
            <w:pPr>
              <w:spacing w:after="0" w:line="240" w:lineRule="auto"/>
            </w:pPr>
            <w:r>
              <w:rPr>
                <w:b/>
              </w:rPr>
              <w:t xml:space="preserve">A18</w:t>
            </w:r>
          </w:p>
        </w:tc>
        <w:tc>
          <w:tcPr>
            <w:tcW w:w="0" w:type="auto"/>
          </w:tcPr>
          <w:p>
            <w:pPr>
              <w:spacing w:after="0" w:line="240" w:lineRule="auto"/>
            </w:pPr>
            <w:r>
              <w:t xml:space="preserve">Bleibt der Klimaweg des Gebäudemodells eine </w:t>
            </w:r>
            <w:r>
              <w:rPr>
                <w:b/>
              </w:rPr>
              <w:t xml:space="preserve">eigene Klasse</w:t>
            </w:r>
            <w:r>
              <w:t xml:space="preserve"> oder fällt er in den Eingangsbauer zurück?</w:t>
            </w:r>
          </w:p>
        </w:tc>
        <w:tc>
          <w:tcPr>
            <w:tcW w:w="0" w:type="auto"/>
          </w:tcPr>
          <w:p>
            <w:pPr>
              <w:spacing w:after="0" w:line="240" w:lineRule="auto"/>
            </w:pPr>
            <w:r>
              <w:t xml:space="preserve">Eigene Klasse behalten, aber ausschließlich vom Eingangsbauer gerufen.</w:t>
            </w:r>
          </w:p>
        </w:tc>
        <w:tc>
          <w:tcPr>
            <w:tcW w:w="0" w:type="auto"/>
          </w:tcPr>
          <w:p>
            <w:pPr>
              <w:spacing w:after="0" w:line="240" w:lineRule="auto"/>
            </w:pPr>
            <w:r>
              <w:rPr>
                <w:b/>
              </w:rPr>
              <w:t xml:space="preserve">G1</w:t>
            </w:r>
          </w:p>
        </w:tc>
      </w:tr>
      <w:tr>
        <w:tc>
          <w:tcPr>
            <w:tcW w:w="0" w:type="auto"/>
          </w:tcPr>
          <w:p>
            <w:pPr>
              <w:spacing w:after="0" w:line="240" w:lineRule="auto"/>
            </w:pPr>
            <w:r>
              <w:rPr>
                <w:b/>
              </w:rPr>
              <w:t xml:space="preserve">A10</w:t>
            </w:r>
          </w:p>
        </w:tc>
        <w:tc>
          <w:tcPr>
            <w:tcW w:w="0" w:type="auto"/>
          </w:tcPr>
          <w:p>
            <w:pPr>
              <w:spacing w:after="0" w:line="240" w:lineRule="auto"/>
            </w:pPr>
            <w:r>
              <w:t xml:space="preserve">Zieht der Gebäudedialog schon mit G1 nach </w:t>
            </w:r>
            <w:r>
              <w:rPr>
                <w:rFonts w:ascii="Consolas" w:hAnsi="Consolas" w:cs="Consolas"/>
                <w:noProof/>
                <w:sz w:val="20"/>
                <w:szCs w:val="20"/>
                <w:shd w:val="clear" w:color="auto" w:fill="EFEFEF"/>
              </w:rPr>
              <w:t xml:space="preserve">EPOS.UI.Daten</w:t>
            </w:r>
            <w:r>
              <w:t xml:space="preserve"> oder erst mit G6?</w:t>
            </w:r>
          </w:p>
        </w:tc>
        <w:tc>
          <w:tcPr>
            <w:tcW w:w="0" w:type="auto"/>
          </w:tcPr>
          <w:p>
            <w:pPr>
              <w:spacing w:after="0" w:line="240" w:lineRule="auto"/>
            </w:pPr>
            <w:r>
              <w:t xml:space="preserve">Mit G1 — die Hülle wird ohnehin neu geschnitten, und der Importweg setzt einen plattformfreien Schreibweg voraus.</w:t>
            </w:r>
          </w:p>
        </w:tc>
        <w:tc>
          <w:tcPr>
            <w:tcW w:w="0" w:type="auto"/>
          </w:tcPr>
          <w:p>
            <w:pPr>
              <w:spacing w:after="0" w:line="240" w:lineRule="auto"/>
            </w:pPr>
            <w:r>
              <w:rPr>
                <w:b/>
              </w:rPr>
              <w:t xml:space="preserve">G1</w:t>
            </w:r>
          </w:p>
        </w:tc>
      </w:tr>
      <w:tr>
        <w:tc>
          <w:tcPr>
            <w:tcW w:w="0" w:type="auto"/>
          </w:tcPr>
          <w:p>
            <w:pPr>
              <w:spacing w:after="0" w:line="240" w:lineRule="auto"/>
            </w:pPr>
            <w:r>
              <w:rPr>
                <w:b/>
              </w:rPr>
              <w:t xml:space="preserve">A12</w:t>
            </w:r>
          </w:p>
        </w:tc>
        <w:tc>
          <w:tcPr>
            <w:tcW w:w="0" w:type="auto"/>
          </w:tcPr>
          <w:p>
            <w:pPr>
              <w:spacing w:after="0" w:line="240" w:lineRule="auto"/>
            </w:pPr>
            <w:r>
              <w:t xml:space="preserve">Wo erscheint der Produktausweis — Wiki-Seite </w:t>
            </w:r>
            <w:r>
              <w:rPr>
                <w:b/>
              </w:rPr>
              <w:t xml:space="preserve">und</w:t>
            </w:r>
            <w:r>
              <w:t xml:space="preserve"> Berichtskopf?</w:t>
            </w:r>
          </w:p>
        </w:tc>
        <w:tc>
          <w:tcPr>
            <w:tcW w:w="0" w:type="auto"/>
          </w:tcPr>
          <w:p>
            <w:pPr>
              <w:spacing w:after="0" w:line="240" w:lineRule="auto"/>
            </w:pPr>
            <w:r>
              <w:t xml:space="preserve">Beides, im Wortlaut von E10, unverändert und ohne Umschreibung.</w:t>
            </w:r>
          </w:p>
        </w:tc>
        <w:tc>
          <w:tcPr>
            <w:tcW w:w="0" w:type="auto"/>
          </w:tcPr>
          <w:p>
            <w:pPr>
              <w:spacing w:after="0" w:line="240" w:lineRule="auto"/>
            </w:pPr>
            <w:r>
              <w:rPr>
                <w:b/>
              </w:rPr>
              <w:t xml:space="preserve">G1</w:t>
            </w:r>
            <w:r>
              <w:t xml:space="preserve"> (Berichtskopf), G2 (Wiki)</w:t>
            </w:r>
          </w:p>
        </w:tc>
      </w:tr>
      <w:tr>
        <w:tc>
          <w:tcPr>
            <w:tcW w:w="0" w:type="auto"/>
          </w:tcPr>
          <w:p>
            <w:pPr>
              <w:spacing w:after="0" w:line="240" w:lineRule="auto"/>
            </w:pPr>
            <w:r>
              <w:rPr>
                <w:b/>
              </w:rPr>
              <w:t xml:space="preserve">K2</w:t>
            </w:r>
          </w:p>
        </w:tc>
        <w:tc>
          <w:tcPr>
            <w:tcW w:w="0" w:type="auto"/>
          </w:tcPr>
          <w:p>
            <w:pPr>
              <w:spacing w:after="0" w:line="240" w:lineRule="auto"/>
            </w:pPr>
            <w:r>
              <w:t xml:space="preserve">Vorzeichen: Norm innen, Betrag außen — führt der Kanal positive Kältemengen?</w:t>
            </w:r>
          </w:p>
        </w:tc>
        <w:tc>
          <w:tcPr>
            <w:tcW w:w="0" w:type="auto"/>
          </w:tcPr>
          <w:p>
            <w:pPr>
              <w:spacing w:after="0" w:line="240" w:lineRule="auto"/>
            </w:pPr>
            <w:r>
              <w:t xml:space="preserve">Ja; ein Kanal mit negativen Werten bräche jede Summen- und Deckungsrechnung, und zwar still.</w:t>
            </w:r>
          </w:p>
        </w:tc>
        <w:tc>
          <w:tcPr>
            <w:tcW w:w="0" w:type="auto"/>
          </w:tcPr>
          <w:p>
            <w:pPr>
              <w:spacing w:after="0" w:line="240" w:lineRule="auto"/>
            </w:pPr>
            <w:r>
              <w:rPr>
                <w:b/>
              </w:rPr>
              <w:t xml:space="preserve">KU1</w:t>
            </w:r>
          </w:p>
        </w:tc>
      </w:tr>
      <w:tr>
        <w:tc>
          <w:tcPr>
            <w:tcW w:w="0" w:type="auto"/>
          </w:tcPr>
          <w:p>
            <w:pPr>
              <w:spacing w:after="0" w:line="240" w:lineRule="auto"/>
            </w:pPr>
            <w:r>
              <w:rPr>
                <w:b/>
              </w:rPr>
              <w:t xml:space="preserve">K10</w:t>
            </w:r>
          </w:p>
        </w:tc>
        <w:tc>
          <w:tcPr>
            <w:tcW w:w="0" w:type="auto"/>
          </w:tcPr>
          <w:p>
            <w:pPr>
              <w:spacing w:after="0" w:line="240" w:lineRule="auto"/>
            </w:pPr>
            <w:r>
              <w:t xml:space="preserve">Bleibt der Kühlbetrieb bis zu einer ausdrücklichen Projekteinstellung aus?</w:t>
            </w:r>
          </w:p>
        </w:tc>
        <w:tc>
          <w:tcPr>
            <w:tcW w:w="0" w:type="auto"/>
          </w:tcPr>
          <w:p>
            <w:pPr>
              <w:spacing w:after="0" w:line="240" w:lineRule="auto"/>
            </w:pPr>
            <w:r>
              <w:t xml:space="preserve">Ja, Vorgabe 0 — nicht um das Einfrieren zu vermeiden, sondern um die zwölf übrigen Referenzprojekte zu schützen.</w:t>
            </w:r>
          </w:p>
        </w:tc>
        <w:tc>
          <w:tcPr>
            <w:tcW w:w="0" w:type="auto"/>
          </w:tcPr>
          <w:p>
            <w:pPr>
              <w:spacing w:after="0" w:line="240" w:lineRule="auto"/>
            </w:pPr>
            <w:r>
              <w:rPr>
                <w:b/>
              </w:rPr>
              <w:t xml:space="preserve">KU1</w:t>
            </w:r>
          </w:p>
        </w:tc>
      </w:tr>
      <w:tr>
        <w:tc>
          <w:tcPr>
            <w:tcW w:w="0" w:type="auto"/>
          </w:tcPr>
          <w:p>
            <w:pPr>
              <w:spacing w:after="0" w:line="240" w:lineRule="auto"/>
            </w:pPr>
            <w:r>
              <w:rPr>
                <w:b/>
              </w:rPr>
              <w:t xml:space="preserve">K11</w:t>
            </w:r>
          </w:p>
        </w:tc>
        <w:tc>
          <w:tcPr>
            <w:tcW w:w="0" w:type="auto"/>
          </w:tcPr>
          <w:p>
            <w:pPr>
              <w:spacing w:after="0" w:line="240" w:lineRule="auto"/>
            </w:pPr>
            <w:r>
              <w:t xml:space="preserve">Eigener Kühlsollwert und eigene Kühlleistungsgrenze — oder bleibt die vorhandene Maximaltemperatur die einzige Kühleingabe?</w:t>
            </w:r>
          </w:p>
        </w:tc>
        <w:tc>
          <w:tcPr>
            <w:tcW w:w="0" w:type="auto"/>
          </w:tcPr>
          <w:p>
            <w:pPr>
              <w:spacing w:after="0" w:line="240" w:lineRule="auto"/>
            </w:pPr>
            <w:r>
              <w:t xml:space="preserve">Eigener Sollwert und eigene Grenze in KU1, Zeitprofil erst in KU3.</w:t>
            </w:r>
          </w:p>
        </w:tc>
        <w:tc>
          <w:tcPr>
            <w:tcW w:w="0" w:type="auto"/>
          </w:tcPr>
          <w:p>
            <w:pPr>
              <w:spacing w:after="0" w:line="240" w:lineRule="auto"/>
            </w:pPr>
            <w:r>
              <w:rPr>
                <w:b/>
              </w:rPr>
              <w:t xml:space="preserve">KU1</w:t>
            </w:r>
          </w:p>
        </w:tc>
      </w:tr>
      <w:tr>
        <w:tc>
          <w:tcPr>
            <w:tcW w:w="0" w:type="auto"/>
          </w:tcPr>
          <w:p>
            <w:pPr>
              <w:spacing w:after="0" w:line="240" w:lineRule="auto"/>
            </w:pPr>
            <w:r>
              <w:rPr>
                <w:b/>
              </w:rPr>
              <w:t xml:space="preserve">K19</w:t>
            </w:r>
          </w:p>
        </w:tc>
        <w:tc>
          <w:tcPr>
            <w:tcW w:w="0" w:type="auto"/>
          </w:tcPr>
          <w:p>
            <w:pPr>
              <w:spacing w:after="0" w:line="240" w:lineRule="auto"/>
            </w:pPr>
            <w:r>
              <w:t xml:space="preserve">Bekommt KU2 einen eigenen, kleinen Einfrierschritt?</w:t>
            </w:r>
          </w:p>
        </w:tc>
        <w:tc>
          <w:tcPr>
            <w:tcW w:w="0" w:type="auto"/>
          </w:tcPr>
          <w:p>
            <w:pPr>
              <w:spacing w:after="0" w:line="240" w:lineRule="auto"/>
            </w:pPr>
            <w:r>
              <w:t xml:space="preserve">Ja — sonst bleibt die Kältedeckung im Regressionsnetz unsichtbar.</w:t>
            </w:r>
          </w:p>
        </w:tc>
        <w:tc>
          <w:tcPr>
            <w:tcW w:w="0" w:type="auto"/>
          </w:tcPr>
          <w:p>
            <w:pPr>
              <w:spacing w:after="0" w:line="240" w:lineRule="auto"/>
            </w:pPr>
            <w:r>
              <w:rPr>
                <w:b/>
              </w:rPr>
              <w:t xml:space="preserve">KU2</w:t>
            </w:r>
          </w:p>
        </w:tc>
      </w:tr>
      <w:tr>
        <w:tc>
          <w:tcPr>
            <w:tcW w:w="0" w:type="auto"/>
          </w:tcPr>
          <w:p>
            <w:pPr>
              <w:spacing w:after="0" w:line="240" w:lineRule="auto"/>
            </w:pPr>
            <w:r>
              <w:rPr>
                <w:b/>
              </w:rPr>
              <w:t xml:space="preserve">K20</w:t>
            </w:r>
          </w:p>
        </w:tc>
        <w:tc>
          <w:tcPr>
            <w:tcW w:w="0" w:type="auto"/>
          </w:tcPr>
          <w:p>
            <w:pPr>
              <w:spacing w:after="0" w:line="240" w:lineRule="auto"/>
            </w:pPr>
            <w:r>
              <w:t xml:space="preserve">Wird die Kennzeichenspalte „kühlt" filterbar — als benannte Ausnahme von einer Hausregel oder über eine eigene Filterart am gemeinsamen Katalogfilter?</w:t>
            </w:r>
          </w:p>
        </w:tc>
        <w:tc>
          <w:tcPr>
            <w:tcW w:w="0" w:type="auto"/>
          </w:tcPr>
          <w:p>
            <w:pPr>
              <w:spacing w:after="0" w:line="240" w:lineRule="auto"/>
            </w:pPr>
            <w:r>
              <w:t xml:space="preserve">Eigene Filterart: rund ein Personentag mehr, dafür bleibt die Regel eine Regel.</w:t>
            </w:r>
          </w:p>
        </w:tc>
        <w:tc>
          <w:tcPr>
            <w:tcW w:w="0" w:type="auto"/>
          </w:tcPr>
          <w:p>
            <w:pPr>
              <w:spacing w:after="0" w:line="240" w:lineRule="auto"/>
            </w:pPr>
            <w:r>
              <w:rPr>
                <w:b/>
              </w:rPr>
              <w:t xml:space="preserve">KU2</w:t>
            </w:r>
          </w:p>
        </w:tc>
      </w:tr>
      <w:tr>
        <w:tc>
          <w:tcPr>
            <w:tcW w:w="0" w:type="auto"/>
          </w:tcPr>
          <w:p>
            <w:pPr>
              <w:spacing w:after="0" w:line="240" w:lineRule="auto"/>
            </w:pPr>
            <w:r>
              <w:rPr>
                <w:b/>
              </w:rPr>
              <w:t xml:space="preserve">K22</w:t>
            </w:r>
          </w:p>
        </w:tc>
        <w:tc>
          <w:tcPr>
            <w:tcW w:w="0" w:type="auto"/>
          </w:tcPr>
          <w:p>
            <w:pPr>
              <w:spacing w:after="0" w:line="240" w:lineRule="auto"/>
            </w:pPr>
            <w:r>
              <w:t xml:space="preserve">Führt die COP-Spalte der Kühlkennlinie wirklich das Kälteverhältnis — oder in manchen Datensätzen das Wärmeverhältnis?</w:t>
            </w:r>
          </w:p>
        </w:tc>
        <w:tc>
          <w:tcPr>
            <w:tcW w:w="0" w:type="auto"/>
          </w:tcPr>
          <w:p>
            <w:pPr>
              <w:spacing w:after="0" w:line="240" w:lineRule="auto"/>
            </w:pPr>
            <w:r>
              <w:t xml:space="preserve">Vor KU2 an den vorhandenen Kühlkennlinien prüfen und das Ergebnis im Glossar festhalten; nie stillschweigend als EER lesen.</w:t>
            </w:r>
          </w:p>
        </w:tc>
        <w:tc>
          <w:tcPr>
            <w:tcW w:w="0" w:type="auto"/>
          </w:tcPr>
          <w:p>
            <w:pPr>
              <w:spacing w:after="0" w:line="240" w:lineRule="auto"/>
            </w:pPr>
            <w:r>
              <w:rPr>
                <w:b/>
              </w:rPr>
              <w:t xml:space="preserve">KU2</w:t>
            </w:r>
          </w:p>
        </w:tc>
      </w:tr>
      <w:tr>
        <w:tc>
          <w:tcPr>
            <w:tcW w:w="0" w:type="auto"/>
          </w:tcPr>
          <w:p>
            <w:pPr>
              <w:spacing w:after="0" w:line="240" w:lineRule="auto"/>
            </w:pPr>
            <w:r>
              <w:rPr>
                <w:b/>
              </w:rPr>
              <w:t xml:space="preserve">A11</w:t>
            </w:r>
          </w:p>
        </w:tc>
        <w:tc>
          <w:tcPr>
            <w:tcW w:w="0" w:type="auto"/>
          </w:tcPr>
          <w:p>
            <w:pPr>
              <w:spacing w:after="0" w:line="240" w:lineRule="auto"/>
            </w:pPr>
            <w:r>
              <w:t xml:space="preserve">Werden die Schemaschrittnummern jetzt verbindlich vergeben oder erst bei Beauftragung?</w:t>
            </w:r>
          </w:p>
        </w:tc>
        <w:tc>
          <w:tcPr>
            <w:tcW w:w="0" w:type="auto"/>
          </w:tcPr>
          <w:p>
            <w:pPr>
              <w:spacing w:after="0" w:line="240" w:lineRule="auto"/>
            </w:pPr>
            <w:r>
              <w:t xml:space="preserve">Erst bei Beauftragung; verbindlich sind jetzt Reihenfolge und Inhalt.</w:t>
            </w:r>
          </w:p>
        </w:tc>
        <w:tc>
          <w:tcPr>
            <w:tcW w:w="0" w:type="auto"/>
          </w:tcPr>
          <w:p>
            <w:pPr>
              <w:spacing w:after="0" w:line="240" w:lineRule="auto"/>
            </w:pPr>
            <w:r>
              <w:rPr>
                <w:b/>
              </w:rPr>
              <w:t xml:space="preserve">erste Auslieferung</w:t>
            </w:r>
            <w:r>
              <w:t xml:space="preserve"> eines Schemaschritts</w:t>
            </w:r>
          </w:p>
        </w:tc>
      </w:tr>
      <w:tr>
        <w:tc>
          <w:tcPr>
            <w:tcW w:w="0" w:type="auto"/>
          </w:tcPr>
          <w:p>
            <w:pPr>
              <w:spacing w:after="0" w:line="240" w:lineRule="auto"/>
            </w:pPr>
            <w:r>
              <w:rPr>
                <w:b/>
              </w:rPr>
              <w:t xml:space="preserve">A1</w:t>
            </w:r>
          </w:p>
        </w:tc>
        <w:tc>
          <w:tcPr>
            <w:tcW w:w="0" w:type="auto"/>
          </w:tcPr>
          <w:p>
            <w:pPr>
              <w:spacing w:after="0" w:line="240" w:lineRule="auto"/>
            </w:pPr>
            <w:r>
              <w:t xml:space="preserve">Bleibt die Kaskade der Gebäudekinder, obwohl der Gebäude-Schreibweg möglicherweise löscht und neu anlegt?</w:t>
            </w:r>
          </w:p>
        </w:tc>
        <w:tc>
          <w:tcPr>
            <w:tcW w:w="0" w:type="auto"/>
          </w:tcPr>
          <w:p>
            <w:pPr>
              <w:spacing w:after="0" w:line="240" w:lineRule="auto"/>
            </w:pPr>
            <w:r>
              <w:t xml:space="preserve">Kaskade behalten, den Schreibweg vor G3 messen, die Rettung dort einbauen, wo das Löschen steht.</w:t>
            </w:r>
          </w:p>
        </w:tc>
        <w:tc>
          <w:tcPr>
            <w:tcW w:w="0" w:type="auto"/>
          </w:tcPr>
          <w:p>
            <w:pPr>
              <w:spacing w:after="0" w:line="240" w:lineRule="auto"/>
            </w:pPr>
            <w:r>
              <w:rPr>
                <w:b/>
              </w:rPr>
              <w:t xml:space="preserve">G3</w:t>
            </w:r>
          </w:p>
        </w:tc>
      </w:tr>
      <w:tr>
        <w:tc>
          <w:tcPr>
            <w:tcW w:w="0" w:type="auto"/>
          </w:tcPr>
          <w:p>
            <w:pPr>
              <w:spacing w:after="0" w:line="240" w:lineRule="auto"/>
            </w:pPr>
            <w:r>
              <w:rPr>
                <w:b/>
              </w:rPr>
              <w:t xml:space="preserve">A14</w:t>
            </w:r>
          </w:p>
        </w:tc>
        <w:tc>
          <w:tcPr>
            <w:tcW w:w="0" w:type="auto"/>
          </w:tcPr>
          <w:p>
            <w:pPr>
              <w:spacing w:after="0" w:line="240" w:lineRule="auto"/>
            </w:pPr>
            <w:r>
              <w:t xml:space="preserve">Was trägt den Umschalter Klassenweg → Bauteilweg — die Datenlage oder ein eigener Wert?</w:t>
            </w:r>
          </w:p>
        </w:tc>
        <w:tc>
          <w:tcPr>
            <w:tcW w:w="0" w:type="auto"/>
          </w:tcPr>
          <w:p>
            <w:pPr>
              <w:spacing w:after="0" w:line="240" w:lineRule="auto"/>
            </w:pPr>
            <w:r>
              <w:t xml:space="preserve">Datenlage behalten, aber den Wechsel benennen: Rückfrage vor der ersten Zone, Herleitungszeile in beiden Stellungen.</w:t>
            </w:r>
          </w:p>
        </w:tc>
        <w:tc>
          <w:tcPr>
            <w:tcW w:w="0" w:type="auto"/>
          </w:tcPr>
          <w:p>
            <w:pPr>
              <w:spacing w:after="0" w:line="240" w:lineRule="auto"/>
            </w:pPr>
            <w:r>
              <w:rPr>
                <w:b/>
              </w:rPr>
              <w:t xml:space="preserve">G3</w:t>
            </w:r>
          </w:p>
        </w:tc>
      </w:tr>
      <w:tr>
        <w:tc>
          <w:tcPr>
            <w:tcW w:w="0" w:type="auto"/>
          </w:tcPr>
          <w:p>
            <w:pPr>
              <w:spacing w:after="0" w:line="240" w:lineRule="auto"/>
            </w:pPr>
            <w:r>
              <w:rPr>
                <w:b/>
              </w:rPr>
              <w:t xml:space="preserve">A2</w:t>
            </w:r>
          </w:p>
        </w:tc>
        <w:tc>
          <w:tcPr>
            <w:tcW w:w="0" w:type="auto"/>
          </w:tcPr>
          <w:p>
            <w:pPr>
              <w:spacing w:after="0" w:line="240" w:lineRule="auto"/>
            </w:pPr>
            <w:r>
              <w:t xml:space="preserve">Bleibt das IFC-Paket am Kern, oder zieht der Leser hinter eine Naht in ein eigenes Projekt?</w:t>
            </w:r>
          </w:p>
        </w:tc>
        <w:tc>
          <w:tcPr>
            <w:tcW w:w="0" w:type="auto"/>
          </w:tcPr>
          <w:p>
            <w:pPr>
              <w:spacing w:after="0" w:line="240" w:lineRule="auto"/>
            </w:pPr>
            <w:r>
              <w:t xml:space="preserve">Am Kern bleiben, aber die Naht </w:t>
            </w:r>
            <w:r>
              <w:rPr>
                <w:rFonts w:ascii="Consolas" w:hAnsi="Consolas" w:cs="Consolas"/>
                <w:noProof/>
                <w:sz w:val="20"/>
                <w:szCs w:val="20"/>
                <w:shd w:val="clear" w:color="auto" w:fill="EFEFEF"/>
              </w:rPr>
              <w:t xml:space="preserve">IGebaeudeLeser</w:t>
            </w:r>
            <w:r>
              <w:t xml:space="preserve"> von Anfang an ziehen.</w:t>
            </w:r>
          </w:p>
        </w:tc>
        <w:tc>
          <w:tcPr>
            <w:tcW w:w="0" w:type="auto"/>
          </w:tcPr>
          <w:p>
            <w:pPr>
              <w:spacing w:after="0" w:line="240" w:lineRule="auto"/>
            </w:pPr>
            <w:r>
              <w:rPr>
                <w:b/>
              </w:rPr>
              <w:t xml:space="preserve">G4</w:t>
            </w:r>
          </w:p>
        </w:tc>
      </w:tr>
      <w:tr>
        <w:tc>
          <w:tcPr>
            <w:tcW w:w="0" w:type="auto"/>
          </w:tcPr>
          <w:p>
            <w:pPr>
              <w:spacing w:after="0" w:line="240" w:lineRule="auto"/>
            </w:pPr>
            <w:r>
              <w:rPr>
                <w:b/>
              </w:rPr>
              <w:t xml:space="preserve">A3</w:t>
            </w:r>
          </w:p>
        </w:tc>
        <w:tc>
          <w:tcPr>
            <w:tcW w:w="0" w:type="auto"/>
          </w:tcPr>
          <w:p>
            <w:pPr>
              <w:spacing w:after="0" w:line="240" w:lineRule="auto"/>
            </w:pPr>
            <w:r>
              <w:t xml:space="preserve">Welchen </w:t>
            </w:r>
            <w:r>
              <w:rPr>
                <w:b/>
              </w:rPr>
              <w:t xml:space="preserve">Namen und Ordner</w:t>
            </w:r>
            <w:r>
              <w:t xml:space="preserve"> bekommt der Zuordnungsdialog — zwei Papiere nennen verschiedene?</w:t>
            </w:r>
          </w:p>
        </w:tc>
        <w:tc>
          <w:tcPr>
            <w:tcW w:w="0" w:type="auto"/>
          </w:tcPr>
          <w:p>
            <w:pPr>
              <w:spacing w:after="0" w:line="240" w:lineRule="auto"/>
            </w:pPr>
            <w:r>
              <w:t xml:space="preserve">Der formatfreie Name; ein Format im Namen einer Maske, die zwei Formate trägt, ist eine Unwahrheit.</w:t>
            </w:r>
          </w:p>
        </w:tc>
        <w:tc>
          <w:tcPr>
            <w:tcW w:w="0" w:type="auto"/>
          </w:tcPr>
          <w:p>
            <w:pPr>
              <w:spacing w:after="0" w:line="240" w:lineRule="auto"/>
            </w:pPr>
            <w:r>
              <w:rPr>
                <w:b/>
              </w:rPr>
              <w:t xml:space="preserve">G4</w:t>
            </w:r>
          </w:p>
        </w:tc>
      </w:tr>
      <w:tr>
        <w:tc>
          <w:tcPr>
            <w:tcW w:w="0" w:type="auto"/>
          </w:tcPr>
          <w:p>
            <w:pPr>
              <w:spacing w:after="0" w:line="240" w:lineRule="auto"/>
            </w:pPr>
            <w:r>
              <w:rPr>
                <w:b/>
              </w:rPr>
              <w:t xml:space="preserve">A13</w:t>
            </w:r>
          </w:p>
        </w:tc>
        <w:tc>
          <w:tcPr>
            <w:tcW w:w="0" w:type="auto"/>
          </w:tcPr>
          <w:p>
            <w:pPr>
              <w:spacing w:after="0" w:line="240" w:lineRule="auto"/>
            </w:pPr>
            <w:r>
              <w:t xml:space="preserve">Bekommt die Gebäudetabelle Herkunfts- und Quellkennungsspalten wie Zone, Bauteil, Aufbau und Baustoff?</w:t>
            </w:r>
          </w:p>
        </w:tc>
        <w:tc>
          <w:tcPr>
            <w:tcW w:w="0" w:type="auto"/>
          </w:tcPr>
          <w:p>
            <w:pPr>
              <w:spacing w:after="0" w:line="240" w:lineRule="auto"/>
            </w:pPr>
            <w:r>
              <w:t xml:space="preserve">Nein — Gebäudeherkunft nur in der Importzuordnung; sonst 17 statt 15 neue Spalten und ein zweiter Sichtneubau.</w:t>
            </w:r>
          </w:p>
        </w:tc>
        <w:tc>
          <w:tcPr>
            <w:tcW w:w="0" w:type="auto"/>
          </w:tcPr>
          <w:p>
            <w:pPr>
              <w:spacing w:after="0" w:line="240" w:lineRule="auto"/>
            </w:pPr>
            <w:r>
              <w:rPr>
                <w:b/>
              </w:rPr>
              <w:t xml:space="preserve">G4</w:t>
            </w:r>
            <w:r>
              <w:t xml:space="preserve"> (Herkunftsschritt)</w:t>
            </w:r>
          </w:p>
        </w:tc>
      </w:tr>
      <w:tr>
        <w:tc>
          <w:tcPr>
            <w:tcW w:w="0" w:type="auto"/>
          </w:tcPr>
          <w:p>
            <w:pPr>
              <w:spacing w:after="0" w:line="240" w:lineRule="auto"/>
            </w:pPr>
            <w:r>
              <w:rPr>
                <w:b/>
              </w:rPr>
              <w:t xml:space="preserve">A17</w:t>
            </w:r>
          </w:p>
        </w:tc>
        <w:tc>
          <w:tcPr>
            <w:tcW w:w="0" w:type="auto"/>
          </w:tcPr>
          <w:p>
            <w:pPr>
              <w:spacing w:after="0" w:line="240" w:lineRule="auto"/>
            </w:pPr>
            <w:r>
              <w:t xml:space="preserve">Bekommen Gebäudeimport und ‑export einen Maskenschlüssel und eine Menüzeile?</w:t>
            </w:r>
          </w:p>
        </w:tc>
        <w:tc>
          <w:tcPr>
            <w:tcW w:w="0" w:type="auto"/>
          </w:tcPr>
          <w:p>
            <w:pPr>
              <w:spacing w:after="0" w:line="240" w:lineRule="auto"/>
            </w:pPr>
            <w:r>
              <w:t xml:space="preserve">Nein — Überlagerung im Gebäudedialog; hier widersprechen sich zwei geltende Papiere.</w:t>
            </w:r>
          </w:p>
        </w:tc>
        <w:tc>
          <w:tcPr>
            <w:tcW w:w="0" w:type="auto"/>
          </w:tcPr>
          <w:p>
            <w:pPr>
              <w:spacing w:after="0" w:line="240" w:lineRule="auto"/>
            </w:pPr>
            <w:r>
              <w:rPr>
                <w:b/>
              </w:rPr>
              <w:t xml:space="preserve">G4</w:t>
            </w:r>
          </w:p>
        </w:tc>
      </w:tr>
      <w:tr>
        <w:tc>
          <w:tcPr>
            <w:tcW w:w="0" w:type="auto"/>
          </w:tcPr>
          <w:p>
            <w:pPr>
              <w:spacing w:after="0" w:line="240" w:lineRule="auto"/>
            </w:pPr>
            <w:r>
              <w:rPr>
                <w:b/>
              </w:rPr>
              <w:t xml:space="preserve">U10</w:t>
            </w:r>
          </w:p>
        </w:tc>
        <w:tc>
          <w:tcPr>
            <w:tcW w:w="0" w:type="auto"/>
          </w:tcPr>
          <w:p>
            <w:pPr>
              <w:spacing w:after="0" w:line="240" w:lineRule="auto"/>
            </w:pPr>
            <w:r>
              <w:t xml:space="preserve">Kommt eine Lizenzhinweisseite ins Installationspaket — und dann gleich für </w:t>
            </w:r>
            <w:r>
              <w:rPr>
                <w:b/>
              </w:rPr>
              <w:t xml:space="preserve">alle</w:t>
            </w:r>
            <w:r>
              <w:t xml:space="preserve"> ausgelieferten Fremdanteile?</w:t>
            </w:r>
          </w:p>
        </w:tc>
        <w:tc>
          <w:tcPr>
            <w:tcW w:w="0" w:type="auto"/>
          </w:tcPr>
          <w:p>
            <w:pPr>
              <w:spacing w:after="0" w:line="240" w:lineRule="auto"/>
            </w:pPr>
            <w:r>
              <w:t xml:space="preserve">Ja, mit der ersten IFC-Stufe und für alle; ohne sie ist der IFC-Import nicht auslieferbar.</w:t>
            </w:r>
          </w:p>
        </w:tc>
        <w:tc>
          <w:tcPr>
            <w:tcW w:w="0" w:type="auto"/>
          </w:tcPr>
          <w:p>
            <w:pPr>
              <w:spacing w:after="0" w:line="240" w:lineRule="auto"/>
            </w:pPr>
            <w:r>
              <w:rPr>
                <w:b/>
              </w:rPr>
              <w:t xml:space="preserve">G4</w:t>
            </w:r>
          </w:p>
        </w:tc>
      </w:tr>
      <w:tr>
        <w:tc>
          <w:tcPr>
            <w:tcW w:w="0" w:type="auto"/>
          </w:tcPr>
          <w:p>
            <w:pPr>
              <w:spacing w:after="0" w:line="240" w:lineRule="auto"/>
            </w:pPr>
            <w:r>
              <w:rPr>
                <w:b/>
              </w:rPr>
              <w:t xml:space="preserve">U12</w:t>
            </w:r>
          </w:p>
        </w:tc>
        <w:tc>
          <w:tcPr>
            <w:tcW w:w="0" w:type="auto"/>
          </w:tcPr>
          <w:p>
            <w:pPr>
              <w:spacing w:after="0" w:line="240" w:lineRule="auto"/>
            </w:pPr>
            <w:r>
              <w:t xml:space="preserve">Woher kommen die Vorgaben je Baualtersklasse?</w:t>
            </w:r>
          </w:p>
        </w:tc>
        <w:tc>
          <w:tcPr>
            <w:tcW w:w="0" w:type="auto"/>
          </w:tcPr>
          <w:p>
            <w:pPr>
              <w:spacing w:after="0" w:line="240" w:lineRule="auto"/>
            </w:pPr>
            <w:r>
              <w:t xml:space="preserve">Eigene Werte aus dem EPOS-Gebäudekatalog ableiten — lizenzfrei und hausgemacht.</w:t>
            </w:r>
          </w:p>
        </w:tc>
        <w:tc>
          <w:tcPr>
            <w:tcW w:w="0" w:type="auto"/>
          </w:tcPr>
          <w:p>
            <w:pPr>
              <w:spacing w:after="0" w:line="240" w:lineRule="auto"/>
            </w:pPr>
            <w:r>
              <w:rPr>
                <w:b/>
              </w:rPr>
              <w:t xml:space="preserve">G4</w:t>
            </w:r>
          </w:p>
        </w:tc>
      </w:tr>
      <w:tr>
        <w:tc>
          <w:tcPr>
            <w:tcW w:w="0" w:type="auto"/>
          </w:tcPr>
          <w:p>
            <w:pPr>
              <w:spacing w:after="0" w:line="240" w:lineRule="auto"/>
            </w:pPr>
            <w:r>
              <w:rPr>
                <w:b/>
              </w:rPr>
              <w:t xml:space="preserve">D1</w:t>
            </w:r>
          </w:p>
        </w:tc>
        <w:tc>
          <w:tcPr>
            <w:tcW w:w="0" w:type="auto"/>
          </w:tcPr>
          <w:p>
            <w:pPr>
              <w:spacing w:after="0" w:line="240" w:lineRule="auto"/>
            </w:pPr>
            <w:r>
              <w:t xml:space="preserve">Kommt der gbXML-Import </w:t>
            </w:r>
            <w:r>
              <w:rPr>
                <w:b/>
              </w:rPr>
              <w:t xml:space="preserve">vor</w:t>
            </w:r>
            <w:r>
              <w:t xml:space="preserve"> dem IFC-Import?</w:t>
            </w:r>
          </w:p>
        </w:tc>
        <w:tc>
          <w:tcPr>
            <w:tcW w:w="0" w:type="auto"/>
          </w:tcPr>
          <w:p>
            <w:pPr>
              <w:spacing w:after="0" w:line="240" w:lineRule="auto"/>
            </w:pPr>
            <w:r>
              <w:t xml:space="preserve">Vorschlag ja, Entscheid beim Anwender — es hängt allein daran, welche Dateien im Feld ankommen.</w:t>
            </w:r>
          </w:p>
        </w:tc>
        <w:tc>
          <w:tcPr>
            <w:tcW w:w="0" w:type="auto"/>
          </w:tcPr>
          <w:p>
            <w:pPr>
              <w:spacing w:after="0" w:line="240" w:lineRule="auto"/>
            </w:pPr>
            <w:r>
              <w:rPr>
                <w:b/>
              </w:rPr>
              <w:t xml:space="preserve">Beauftragung G4c/G4a</w:t>
            </w:r>
          </w:p>
        </w:tc>
      </w:tr>
      <w:tr>
        <w:tc>
          <w:tcPr>
            <w:tcW w:w="0" w:type="auto"/>
          </w:tcPr>
          <w:p>
            <w:pPr>
              <w:spacing w:after="0" w:line="240" w:lineRule="auto"/>
            </w:pPr>
            <w:r>
              <w:rPr>
                <w:b/>
              </w:rPr>
              <w:t xml:space="preserve">D16</w:t>
            </w:r>
          </w:p>
        </w:tc>
        <w:tc>
          <w:tcPr>
            <w:tcW w:w="0" w:type="auto"/>
          </w:tcPr>
          <w:p>
            <w:pPr>
              <w:spacing w:after="0" w:line="240" w:lineRule="auto"/>
            </w:pPr>
            <w:r>
              <w:t xml:space="preserve">Erweitert die gbXML-Zonenbildung den Entscheid E7 auf ein zweites Format?</w:t>
            </w:r>
          </w:p>
        </w:tc>
        <w:tc>
          <w:tcPr>
            <w:tcW w:w="0" w:type="auto"/>
          </w:tcPr>
          <w:p>
            <w:pPr>
              <w:spacing w:after="0" w:line="240" w:lineRule="auto"/>
            </w:pPr>
            <w:r>
              <w:t xml:space="preserve">Vorschlag ja; sagt der Anwender nein, bleibt gbXML dauerhaft einzonig.</w:t>
            </w:r>
          </w:p>
        </w:tc>
        <w:tc>
          <w:tcPr>
            <w:tcW w:w="0" w:type="auto"/>
          </w:tcPr>
          <w:p>
            <w:pPr>
              <w:spacing w:after="0" w:line="240" w:lineRule="auto"/>
            </w:pPr>
            <w:r>
              <w:rPr>
                <w:b/>
              </w:rPr>
              <w:t xml:space="preserve">Beauftragung G4c</w:t>
            </w:r>
          </w:p>
        </w:tc>
      </w:tr>
      <w:tr>
        <w:tc>
          <w:tcPr>
            <w:tcW w:w="0" w:type="auto"/>
          </w:tcPr>
          <w:p>
            <w:pPr>
              <w:spacing w:after="0" w:line="240" w:lineRule="auto"/>
            </w:pPr>
            <w:r>
              <w:rPr>
                <w:b/>
              </w:rPr>
              <w:t xml:space="preserve">M9</w:t>
            </w:r>
          </w:p>
        </w:tc>
        <w:tc>
          <w:tcPr>
            <w:tcW w:w="0" w:type="auto"/>
          </w:tcPr>
          <w:p>
            <w:pPr>
              <w:spacing w:after="0" w:line="240" w:lineRule="auto"/>
            </w:pPr>
            <w:r>
              <w:t xml:space="preserve">Steht die Synonymtabelle in der Auslieferung oder je Projekt?</w:t>
            </w:r>
          </w:p>
        </w:tc>
        <w:tc>
          <w:tcPr>
            <w:tcW w:w="0" w:type="auto"/>
          </w:tcPr>
          <w:p>
            <w:pPr>
              <w:spacing w:after="0" w:line="240" w:lineRule="auto"/>
            </w:pPr>
            <w:r>
              <w:t xml:space="preserve">Auslieferung — die Namen der Autorensysteme wiederholen sich projektübergreifend.</w:t>
            </w:r>
          </w:p>
        </w:tc>
        <w:tc>
          <w:tcPr>
            <w:tcW w:w="0" w:type="auto"/>
          </w:tcPr>
          <w:p>
            <w:pPr>
              <w:spacing w:after="0" w:line="240" w:lineRule="auto"/>
            </w:pPr>
            <w:r>
              <w:rPr>
                <w:b/>
              </w:rPr>
              <w:t xml:space="preserve">G6a</w:t>
            </w:r>
            <w:r>
              <w:t xml:space="preserve"> (Schema)</w:t>
            </w:r>
          </w:p>
        </w:tc>
      </w:tr>
      <w:tr>
        <w:tc>
          <w:tcPr>
            <w:tcW w:w="0" w:type="auto"/>
          </w:tcPr>
          <w:p>
            <w:pPr>
              <w:spacing w:after="0" w:line="240" w:lineRule="auto"/>
            </w:pPr>
            <w:r>
              <w:rPr>
                <w:b/>
              </w:rPr>
              <w:t xml:space="preserve">M14</w:t>
            </w:r>
          </w:p>
        </w:tc>
        <w:tc>
          <w:tcPr>
            <w:tcW w:w="0" w:type="auto"/>
          </w:tcPr>
          <w:p>
            <w:pPr>
              <w:spacing w:after="0" w:line="240" w:lineRule="auto"/>
            </w:pPr>
            <w:r>
              <w:t xml:space="preserve">Wird die Projektkopie der Baustoffe gebraucht, oder genügt der Auslieferungskatalog mit der Wertekopie an der Schicht?</w:t>
            </w:r>
          </w:p>
        </w:tc>
        <w:tc>
          <w:tcPr>
            <w:tcW w:w="0" w:type="auto"/>
          </w:tcPr>
          <w:p>
            <w:pPr>
              <w:spacing w:after="0" w:line="240" w:lineRule="auto"/>
            </w:pPr>
            <w:r>
              <w:t xml:space="preserve">Beides behalten — die Wertekopie schützt gerechnete Ergebnisse, die Projektkopie erlaubt eigene Stoffe.</w:t>
            </w:r>
          </w:p>
        </w:tc>
        <w:tc>
          <w:tcPr>
            <w:tcW w:w="0" w:type="auto"/>
          </w:tcPr>
          <w:p>
            <w:pPr>
              <w:spacing w:after="0" w:line="240" w:lineRule="auto"/>
            </w:pPr>
            <w:r>
              <w:rPr>
                <w:b/>
              </w:rPr>
              <w:t xml:space="preserve">G6a</w:t>
            </w:r>
            <w:r>
              <w:t xml:space="preserve"> (Schema)</w:t>
            </w:r>
          </w:p>
        </w:tc>
      </w:tr>
      <w:tr>
        <w:tc>
          <w:tcPr>
            <w:tcW w:w="0" w:type="auto"/>
          </w:tcPr>
          <w:p>
            <w:pPr>
              <w:spacing w:after="0" w:line="240" w:lineRule="auto"/>
            </w:pPr>
            <w:r>
              <w:rPr>
                <w:b/>
              </w:rPr>
              <w:t xml:space="preserve">A6</w:t>
            </w:r>
          </w:p>
        </w:tc>
        <w:tc>
          <w:tcPr>
            <w:tcW w:w="0" w:type="auto"/>
          </w:tcPr>
          <w:p>
            <w:pPr>
              <w:spacing w:after="0" w:line="240" w:lineRule="auto"/>
            </w:pPr>
            <w:r>
              <w:t xml:space="preserve">Werden Zonen, Bauteile und Luftströme als </w:t>
            </w:r>
            <w:r>
              <w:rPr>
                <w:b/>
              </w:rPr>
              <w:t xml:space="preserve">ein</w:t>
            </w:r>
            <w:r>
              <w:t xml:space="preserve"> Aggregat geschrieben, und schreibt es durch Abgleich über die Ids statt durch Löschen?</w:t>
            </w:r>
          </w:p>
        </w:tc>
        <w:tc>
          <w:tcPr>
            <w:tcW w:w="0" w:type="auto"/>
          </w:tcPr>
          <w:p>
            <w:pPr>
              <w:spacing w:after="0" w:line="240" w:lineRule="auto"/>
            </w:pPr>
            <w:r>
              <w:t xml:space="preserve">Ein Aggregat, Ändern statt Löschen, alles in einer Transaktion — sonst zerstört jedes gewöhnliche Speichern die Importherkunft.</w:t>
            </w:r>
          </w:p>
        </w:tc>
        <w:tc>
          <w:tcPr>
            <w:tcW w:w="0" w:type="auto"/>
          </w:tcPr>
          <w:p>
            <w:pPr>
              <w:spacing w:after="0" w:line="240" w:lineRule="auto"/>
            </w:pPr>
            <w:r>
              <w:rPr>
                <w:b/>
              </w:rPr>
              <w:t xml:space="preserve">G6b</w:t>
            </w:r>
          </w:p>
        </w:tc>
      </w:tr>
      <w:tr>
        <w:tc>
          <w:tcPr>
            <w:tcW w:w="0" w:type="auto"/>
          </w:tcPr>
          <w:p>
            <w:pPr>
              <w:spacing w:after="0" w:line="240" w:lineRule="auto"/>
            </w:pPr>
            <w:r>
              <w:rPr>
                <w:b/>
              </w:rPr>
              <w:t xml:space="preserve">M2</w:t>
            </w:r>
          </w:p>
        </w:tc>
        <w:tc>
          <w:tcPr>
            <w:tcW w:w="0" w:type="auto"/>
          </w:tcPr>
          <w:p>
            <w:pPr>
              <w:spacing w:after="0" w:line="240" w:lineRule="auto"/>
            </w:pPr>
            <w:r>
              <w:t xml:space="preserve">Raumseitenmaß oder Bruttomaß beim Import?</w:t>
            </w:r>
          </w:p>
        </w:tc>
        <w:tc>
          <w:tcPr>
            <w:tcW w:w="0" w:type="auto"/>
          </w:tcPr>
          <w:p>
            <w:pPr>
              <w:spacing w:after="0" w:line="240" w:lineRule="auto"/>
            </w:pPr>
            <w:r>
              <w:t xml:space="preserve">Raumseitenmaß durchhalten und im Dialog benennen; das weicht von der Bemaßung des Einzonenmodells ab und ist ein Entscheid.</w:t>
            </w:r>
          </w:p>
        </w:tc>
        <w:tc>
          <w:tcPr>
            <w:tcW w:w="0" w:type="auto"/>
          </w:tcPr>
          <w:p>
            <w:pPr>
              <w:spacing w:after="0" w:line="240" w:lineRule="auto"/>
            </w:pPr>
            <w:r>
              <w:rPr>
                <w:b/>
              </w:rPr>
              <w:t xml:space="preserve">G6c</w:t>
            </w:r>
          </w:p>
        </w:tc>
      </w:tr>
      <w:tr>
        <w:tc>
          <w:tcPr>
            <w:tcW w:w="0" w:type="auto"/>
          </w:tcPr>
          <w:p>
            <w:pPr>
              <w:spacing w:after="0" w:line="240" w:lineRule="auto"/>
            </w:pPr>
            <w:r>
              <w:rPr>
                <w:b/>
              </w:rPr>
              <w:t xml:space="preserve">M10</w:t>
            </w:r>
          </w:p>
        </w:tc>
        <w:tc>
          <w:tcPr>
            <w:tcW w:w="0" w:type="auto"/>
          </w:tcPr>
          <w:p>
            <w:pPr>
              <w:spacing w:after="0" w:line="240" w:lineRule="auto"/>
            </w:pPr>
            <w:r>
              <w:t xml:space="preserve">Kommt die große Testdatei ins Repositorium — und ist die Lizenz der Fassung mit Raumgrenzen geklärt?</w:t>
            </w:r>
          </w:p>
        </w:tc>
        <w:tc>
          <w:tcPr>
            <w:tcW w:w="0" w:type="auto"/>
          </w:tcPr>
          <w:p>
            <w:pPr>
              <w:spacing w:after="0" w:line="240" w:lineRule="auto"/>
            </w:pPr>
            <w:r>
              <w:t xml:space="preserve">Ja, </w:t>
            </w:r>
            <w:r>
              <w:rPr>
                <w:b/>
              </w:rPr>
              <w:t xml:space="preserve">aber nur zusammen mit der LFS-Zeile im selben Schritt</w:t>
            </w:r>
            <w:r>
              <w:t xml:space="preserve">; die Lizenz ist nachzufragen.</w:t>
            </w:r>
          </w:p>
        </w:tc>
        <w:tc>
          <w:tcPr>
            <w:tcW w:w="0" w:type="auto"/>
          </w:tcPr>
          <w:p>
            <w:pPr>
              <w:spacing w:after="0" w:line="240" w:lineRule="auto"/>
            </w:pPr>
            <w:r>
              <w:rPr>
                <w:b/>
              </w:rPr>
              <w:t xml:space="preserve">G6c</w:t>
            </w:r>
            <w:r>
              <w:t xml:space="preserve"> (vor dem ersten Commit der Datei)</w:t>
            </w:r>
          </w:p>
        </w:tc>
      </w:tr>
      <w:tr>
        <w:tc>
          <w:tcPr>
            <w:tcW w:w="0" w:type="auto"/>
          </w:tcPr>
          <w:p>
            <w:pPr>
              <w:spacing w:after="0" w:line="240" w:lineRule="auto"/>
            </w:pPr>
            <w:r>
              <w:rPr>
                <w:b/>
              </w:rPr>
              <w:t xml:space="preserve">D4</w:t>
            </w:r>
          </w:p>
        </w:tc>
        <w:tc>
          <w:tcPr>
            <w:tcW w:w="0" w:type="auto"/>
          </w:tcPr>
          <w:p>
            <w:pPr>
              <w:spacing w:after="0" w:line="240" w:lineRule="auto"/>
            </w:pPr>
            <w:r>
              <w:t xml:space="preserve">Ergebnisgrößen im Export in kWh mit ausdrücklicher Einheit — oder in Joule mit Hinweis?</w:t>
            </w:r>
          </w:p>
        </w:tc>
        <w:tc>
          <w:tcPr>
            <w:tcW w:w="0" w:type="auto"/>
          </w:tcPr>
          <w:p>
            <w:pPr>
              <w:spacing w:after="0" w:line="240" w:lineRule="auto"/>
            </w:pPr>
            <w:r>
              <w:t xml:space="preserve">kWh mit ausdrücklicher Einheit; </w:t>
            </w:r>
            <w:r>
              <w:rPr>
                <w:b/>
              </w:rPr>
              <w:t xml:space="preserve">unwiderruflich</w:t>
            </w:r>
            <w:r>
              <w:t xml:space="preserve">, eine spätere Umstellung entwertet alte Exporte.</w:t>
            </w:r>
          </w:p>
        </w:tc>
        <w:tc>
          <w:tcPr>
            <w:tcW w:w="0" w:type="auto"/>
          </w:tcPr>
          <w:p>
            <w:pPr>
              <w:spacing w:after="0" w:line="240" w:lineRule="auto"/>
            </w:pPr>
            <w:r>
              <w:rPr>
                <w:b/>
              </w:rPr>
              <w:t xml:space="preserve">vor der ersten Zeile Quelltext (G7c)</w:t>
            </w:r>
          </w:p>
        </w:tc>
      </w:tr>
      <w:tr>
        <w:tc>
          <w:tcPr>
            <w:tcW w:w="0" w:type="auto"/>
          </w:tcPr>
          <w:p>
            <w:pPr>
              <w:spacing w:after="0" w:line="240" w:lineRule="auto"/>
            </w:pPr>
            <w:r>
              <w:rPr>
                <w:b/>
              </w:rPr>
              <w:t xml:space="preserve">D5</w:t>
            </w:r>
          </w:p>
        </w:tc>
        <w:tc>
          <w:tcPr>
            <w:tcW w:w="0" w:type="auto"/>
          </w:tcPr>
          <w:p>
            <w:pPr>
              <w:spacing w:after="0" w:line="240" w:lineRule="auto"/>
            </w:pPr>
            <w:r>
              <w:t xml:space="preserve">Deterministische Kennungen in beiden Exportformaten?</w:t>
            </w:r>
          </w:p>
        </w:tc>
        <w:tc>
          <w:tcPr>
            <w:tcW w:w="0" w:type="auto"/>
          </w:tcPr>
          <w:p>
            <w:pPr>
              <w:spacing w:after="0" w:line="240" w:lineRule="auto"/>
            </w:pPr>
            <w:r>
              <w:t xml:space="preserve">Ja, von Anfang an, aus dem Schlüsselpfad der IDs; nachträglich nicht mehr einzuführen.</w:t>
            </w:r>
          </w:p>
        </w:tc>
        <w:tc>
          <w:tcPr>
            <w:tcW w:w="0" w:type="auto"/>
          </w:tcPr>
          <w:p>
            <w:pPr>
              <w:spacing w:after="0" w:line="240" w:lineRule="auto"/>
            </w:pPr>
            <w:r>
              <w:rPr>
                <w:b/>
              </w:rPr>
              <w:t xml:space="preserve">vor der ersten Zeile Quelltext (G7a/G7c)</w:t>
            </w:r>
          </w:p>
        </w:tc>
      </w:tr>
      <w:tr>
        <w:tc>
          <w:tcPr>
            <w:tcW w:w="0" w:type="auto"/>
          </w:tcPr>
          <w:p>
            <w:pPr>
              <w:spacing w:after="0" w:line="240" w:lineRule="auto"/>
            </w:pPr>
            <w:r>
              <w:rPr>
                <w:b/>
              </w:rPr>
              <w:t xml:space="preserve">D2</w:t>
            </w:r>
          </w:p>
        </w:tc>
        <w:tc>
          <w:tcPr>
            <w:tcW w:w="0" w:type="auto"/>
          </w:tcPr>
          <w:p>
            <w:pPr>
              <w:spacing w:after="0" w:line="240" w:lineRule="auto"/>
            </w:pPr>
            <w:r>
              <w:t xml:space="preserve">Lohnt der gbXML-Export nur mit der zweiten Stufe (synthetische Geometrie)?</w:t>
            </w:r>
          </w:p>
        </w:tc>
        <w:tc>
          <w:tcPr>
            <w:tcW w:w="0" w:type="auto"/>
          </w:tcPr>
          <w:p>
            <w:pPr>
              <w:spacing w:after="0" w:line="240" w:lineRule="auto"/>
            </w:pPr>
            <w:r>
              <w:t xml:space="preserve">Ja — ohne sie ist der Export ein Datenblatt in XML-Form, keine Interoperabilität.</w:t>
            </w:r>
          </w:p>
        </w:tc>
        <w:tc>
          <w:tcPr>
            <w:tcW w:w="0" w:type="auto"/>
          </w:tcPr>
          <w:p>
            <w:pPr>
              <w:spacing w:after="0" w:line="240" w:lineRule="auto"/>
            </w:pPr>
            <w:r>
              <w:rPr>
                <w:b/>
              </w:rPr>
              <w:t xml:space="preserve">Beauftragung G7</w:t>
            </w:r>
          </w:p>
        </w:tc>
      </w:tr>
      <w:tr>
        <w:tc>
          <w:tcPr>
            <w:tcW w:w="0" w:type="auto"/>
          </w:tcPr>
          <w:p>
            <w:pPr>
              <w:spacing w:after="0" w:line="240" w:lineRule="auto"/>
            </w:pPr>
            <w:r>
              <w:rPr>
                <w:b/>
              </w:rPr>
              <w:t xml:space="preserve">D6</w:t>
            </w:r>
          </w:p>
        </w:tc>
        <w:tc>
          <w:tcPr>
            <w:tcW w:w="0" w:type="auto"/>
          </w:tcPr>
          <w:p>
            <w:pPr>
              <w:spacing w:after="0" w:line="240" w:lineRule="auto"/>
            </w:pPr>
            <w:r>
              <w:t xml:space="preserve">Wer ist das Gegenüber des IFC-Exports — welches Werkzeug, welcher Anwender, welcher Zweck?</w:t>
            </w:r>
          </w:p>
        </w:tc>
        <w:tc>
          <w:tcPr>
            <w:tcW w:w="0" w:type="auto"/>
          </w:tcPr>
          <w:p>
            <w:pPr>
              <w:spacing w:after="0" w:line="240" w:lineRule="auto"/>
            </w:pPr>
            <w:r>
              <w:t xml:space="preserve">Frage an den Anwender; Zwischenweg: die semantische Stufe bauen, die Körperstufe zurückstellen.</w:t>
            </w:r>
          </w:p>
        </w:tc>
        <w:tc>
          <w:tcPr>
            <w:tcW w:w="0" w:type="auto"/>
          </w:tcPr>
          <w:p>
            <w:pPr>
              <w:spacing w:after="0" w:line="240" w:lineRule="auto"/>
            </w:pPr>
            <w:r>
              <w:rPr>
                <w:b/>
              </w:rPr>
              <w:t xml:space="preserve">G7e</w:t>
            </w:r>
          </w:p>
        </w:tc>
      </w:tr>
      <w:tr>
        <w:tc>
          <w:tcPr>
            <w:tcW w:w="0" w:type="auto"/>
          </w:tcPr>
          <w:p>
            <w:pPr>
              <w:spacing w:after="0" w:line="240" w:lineRule="auto"/>
            </w:pPr>
            <w:r>
              <w:rPr>
                <w:b/>
              </w:rPr>
              <w:t xml:space="preserve">D11</w:t>
            </w:r>
          </w:p>
        </w:tc>
        <w:tc>
          <w:tcPr>
            <w:tcW w:w="0" w:type="auto"/>
          </w:tcPr>
          <w:p>
            <w:pPr>
              <w:spacing w:after="0" w:line="240" w:lineRule="auto"/>
            </w:pPr>
            <w:r>
              <w:t xml:space="preserve">Ist die Rückgabe angereicherter fremder IFC-Dateien vertraglich zulässig?</w:t>
            </w:r>
          </w:p>
        </w:tc>
        <w:tc>
          <w:tcPr>
            <w:tcW w:w="0" w:type="auto"/>
          </w:tcPr>
          <w:p>
            <w:pPr>
              <w:spacing w:after="0" w:line="240" w:lineRule="auto"/>
            </w:pPr>
            <w:r>
              <w:t xml:space="preserve">Vor der Round-Trip-Stufe zu klären, nicht danach; mindestens Beipackzettel, eigene Anwendungskennung, neuer Dateiname, bestätigter Hinweis im Dialog.</w:t>
            </w:r>
          </w:p>
        </w:tc>
        <w:tc>
          <w:tcPr>
            <w:tcW w:w="0" w:type="auto"/>
          </w:tcPr>
          <w:p>
            <w:pPr>
              <w:spacing w:after="0" w:line="240" w:lineRule="auto"/>
            </w:pPr>
            <w:r>
              <w:rPr>
                <w:b/>
              </w:rPr>
              <w:t xml:space="preserve">G7d</w:t>
            </w:r>
          </w:p>
        </w:tc>
      </w:tr>
    </w:tbl>
    <w:p>
      <w:pPr>
        <w:spacing w:after="120"/>
      </w:pPr>
    </w:p>
    <w:p>
      <w:r>
        <w:rPr>
          <w:b/>
        </w:rPr>
        <w:t xml:space="preserve">Was hier nicht steht, ist nicht unwichtig</w:t>
      </w:r>
      <w:r>
        <w:t xml:space="preserve"> — es ist nur an seine Stufe gebunden und kann mit ihr entschieden werden.</w:t>
      </w:r>
    </w:p>
    <w:p>
      <w:pPr>
        <w:pStyle w:val="Heading2"/>
      </w:pPr>
      <w:r>
        <w:t xml:space="preserve">12.2 Die übrigen Punkte, je Papier</w:t>
      </w:r>
    </w:p>
    <w:p>
      <w:r>
        <w:t xml:space="preserve">Die Nummern sind die der Papiere und werden nicht umnummeriert. Jede einzelne Frage steht mit Hintergrund, Optionen, Empfehlung, Folge bei Nichtentscheid und Fälligkeit im Register; dieses Kapitel wiederholt sie nicht.</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Papier</w:t>
            </w:r>
          </w:p>
        </w:tc>
        <w:tc>
          <w:tcPr>
            <w:tcW w:w="0" w:type="auto"/>
            <w:shd w:val="clear" w:color="auto" w:fill="D9D9D9"/>
          </w:tcPr>
          <w:p>
            <w:pPr>
              <w:spacing w:after="0" w:line="240" w:lineRule="auto"/>
              <w:rPr>
                <w:b/>
              </w:rPr>
            </w:pPr>
            <w:r>
              <w:rPr>
                <w:b/>
              </w:rPr>
              <w:t xml:space="preserve">Offene Nummern</w:t>
            </w:r>
          </w:p>
        </w:tc>
        <w:tc>
          <w:tcPr>
            <w:tcW w:w="0" w:type="auto"/>
            <w:shd w:val="clear" w:color="auto" w:fill="D9D9D9"/>
          </w:tcPr>
          <w:p>
            <w:pPr>
              <w:spacing w:after="0" w:line="240" w:lineRule="auto"/>
              <w:rPr>
                <w:b/>
              </w:rPr>
            </w:pPr>
            <w:r>
              <w:rPr>
                <w:b/>
              </w:rPr>
              <w:t xml:space="preserve">Zahl</w:t>
            </w:r>
          </w:p>
        </w:tc>
        <w:tc>
          <w:tcPr>
            <w:tcW w:w="0" w:type="auto"/>
            <w:shd w:val="clear" w:color="auto" w:fill="D9D9D9"/>
          </w:tcPr>
          <w:p>
            <w:pPr>
              <w:spacing w:after="0" w:line="240" w:lineRule="auto"/>
              <w:rPr>
                <w:b/>
              </w:rPr>
            </w:pPr>
            <w:r>
              <w:rPr>
                <w:b/>
              </w:rPr>
              <w:t xml:space="preserve">Register</w:t>
            </w:r>
          </w:p>
        </w:tc>
      </w:tr>
      <w:tr>
        <w:tc>
          <w:tcPr>
            <w:tcW w:w="0" w:type="auto"/>
          </w:tcPr>
          <w:p>
            <w:pPr>
              <w:spacing w:after="0" w:line="240" w:lineRule="auto"/>
            </w:pPr>
            <w:r>
              <w:t xml:space="preserve">Konzept Gebäudesimulation (</w:t>
            </w:r>
            <w:r>
              <w:rPr>
                <w:b/>
              </w:rPr>
              <w:t xml:space="preserve">Q</w:t>
            </w:r>
            <w:r>
              <w:t xml:space="preserve">)</w:t>
            </w:r>
          </w:p>
        </w:tc>
        <w:tc>
          <w:tcPr>
            <w:tcW w:w="0" w:type="auto"/>
          </w:tcPr>
          <w:p>
            <w:pPr>
              <w:spacing w:after="0" w:line="240" w:lineRule="auto"/>
            </w:pPr>
            <w:r>
              <w:t xml:space="preserve">Q26 — Stufenplan der Anlagenkopplung (E22)</w:t>
            </w:r>
          </w:p>
        </w:tc>
        <w:tc>
          <w:tcPr>
            <w:tcW w:w="0" w:type="auto"/>
          </w:tcPr>
          <w:p>
            <w:pPr>
              <w:spacing w:after="0" w:line="240" w:lineRule="auto"/>
            </w:pPr>
            <w:r>
              <w:t xml:space="preserve">1</w:t>
            </w:r>
          </w:p>
        </w:tc>
        <w:tc>
          <w:tcPr>
            <w:tcW w:w="0" w:type="auto"/>
          </w:tcPr>
          <w:p>
            <w:pPr>
              <w:spacing w:after="0" w:line="240" w:lineRule="auto"/>
            </w:pPr>
            <w:r>
              <w:t xml:space="preserve">Kapitel 1</w:t>
            </w:r>
          </w:p>
        </w:tc>
      </w:tr>
      <w:tr>
        <w:tc>
          <w:tcPr>
            <w:tcW w:w="0" w:type="auto"/>
          </w:tcPr>
          <w:p>
            <w:pPr>
              <w:spacing w:after="0" w:line="240" w:lineRule="auto"/>
            </w:pPr>
            <w:r>
              <w:t xml:space="preserve">Umsetzungskonzept (</w:t>
            </w:r>
            <w:r>
              <w:rPr>
                <w:b/>
              </w:rPr>
              <w:t xml:space="preserve">U</w:t>
            </w:r>
            <w:r>
              <w:t xml:space="preserve">)</w:t>
            </w:r>
          </w:p>
        </w:tc>
        <w:tc>
          <w:tcPr>
            <w:tcW w:w="0" w:type="auto"/>
          </w:tcPr>
          <w:p>
            <w:pPr>
              <w:spacing w:after="0" w:line="240" w:lineRule="auto"/>
            </w:pPr>
            <w:r>
              <w:t xml:space="preserve">U1, U3 bis U10, U12 bis U15</w:t>
            </w:r>
          </w:p>
        </w:tc>
        <w:tc>
          <w:tcPr>
            <w:tcW w:w="0" w:type="auto"/>
          </w:tcPr>
          <w:p>
            <w:pPr>
              <w:spacing w:after="0" w:line="240" w:lineRule="auto"/>
            </w:pPr>
            <w:r>
              <w:t xml:space="preserve">13</w:t>
            </w:r>
          </w:p>
        </w:tc>
        <w:tc>
          <w:tcPr>
            <w:tcW w:w="0" w:type="auto"/>
          </w:tcPr>
          <w:p>
            <w:pPr>
              <w:spacing w:after="0" w:line="240" w:lineRule="auto"/>
            </w:pPr>
            <w:r>
              <w:t xml:space="preserve">Kapitel 2</w:t>
            </w:r>
          </w:p>
        </w:tc>
      </w:tr>
      <w:tr>
        <w:tc>
          <w:tcPr>
            <w:tcW w:w="0" w:type="auto"/>
          </w:tcPr>
          <w:p>
            <w:pPr>
              <w:spacing w:after="0" w:line="240" w:lineRule="auto"/>
            </w:pPr>
            <w:r>
              <w:t xml:space="preserve">Mehrzonenmodell (</w:t>
            </w:r>
            <w:r>
              <w:rPr>
                <w:b/>
              </w:rPr>
              <w:t xml:space="preserve">M</w:t>
            </w:r>
            <w:r>
              <w:t xml:space="preserve">)</w:t>
            </w:r>
          </w:p>
        </w:tc>
        <w:tc>
          <w:tcPr>
            <w:tcW w:w="0" w:type="auto"/>
          </w:tcPr>
          <w:p>
            <w:pPr>
              <w:spacing w:after="0" w:line="240" w:lineRule="auto"/>
            </w:pPr>
            <w:r>
              <w:t xml:space="preserve">M2, M3, M5 bis M14</w:t>
            </w:r>
          </w:p>
        </w:tc>
        <w:tc>
          <w:tcPr>
            <w:tcW w:w="0" w:type="auto"/>
          </w:tcPr>
          <w:p>
            <w:pPr>
              <w:spacing w:after="0" w:line="240" w:lineRule="auto"/>
            </w:pPr>
            <w:r>
              <w:t xml:space="preserve">12</w:t>
            </w:r>
          </w:p>
        </w:tc>
        <w:tc>
          <w:tcPr>
            <w:tcW w:w="0" w:type="auto"/>
          </w:tcPr>
          <w:p>
            <w:pPr>
              <w:spacing w:after="0" w:line="240" w:lineRule="auto"/>
            </w:pPr>
            <w:r>
              <w:t xml:space="preserve">Kapitel 3</w:t>
            </w:r>
          </w:p>
        </w:tc>
      </w:tr>
      <w:tr>
        <w:tc>
          <w:tcPr>
            <w:tcW w:w="0" w:type="auto"/>
          </w:tcPr>
          <w:p>
            <w:pPr>
              <w:spacing w:after="0" w:line="240" w:lineRule="auto"/>
            </w:pPr>
            <w:r>
              <w:t xml:space="preserve">Datenaustausch gbXML und IFC (</w:t>
            </w:r>
            <w:r>
              <w:rPr>
                <w:b/>
              </w:rPr>
              <w:t xml:space="preserve">D</w:t>
            </w:r>
            <w:r>
              <w:t xml:space="preserve">)</w:t>
            </w:r>
          </w:p>
        </w:tc>
        <w:tc>
          <w:tcPr>
            <w:tcW w:w="0" w:type="auto"/>
          </w:tcPr>
          <w:p>
            <w:pPr>
              <w:spacing w:after="0" w:line="240" w:lineRule="auto"/>
            </w:pPr>
            <w:r>
              <w:t xml:space="preserve">D1, D2, D4, D5, D6, D11, D16</w:t>
            </w:r>
          </w:p>
        </w:tc>
        <w:tc>
          <w:tcPr>
            <w:tcW w:w="0" w:type="auto"/>
          </w:tcPr>
          <w:p>
            <w:pPr>
              <w:spacing w:after="0" w:line="240" w:lineRule="auto"/>
            </w:pPr>
            <w:r>
              <w:t xml:space="preserve">7</w:t>
            </w:r>
          </w:p>
        </w:tc>
        <w:tc>
          <w:tcPr>
            <w:tcW w:w="0" w:type="auto"/>
          </w:tcPr>
          <w:p>
            <w:pPr>
              <w:spacing w:after="0" w:line="240" w:lineRule="auto"/>
            </w:pPr>
            <w:r>
              <w:t xml:space="preserve">Kapitel 4</w:t>
            </w:r>
          </w:p>
        </w:tc>
      </w:tr>
      <w:tr>
        <w:tc>
          <w:tcPr>
            <w:tcW w:w="0" w:type="auto"/>
          </w:tcPr>
          <w:p>
            <w:pPr>
              <w:spacing w:after="0" w:line="240" w:lineRule="auto"/>
            </w:pPr>
            <w:r>
              <w:t xml:space="preserve">Softwarearchitektur (</w:t>
            </w:r>
            <w:r>
              <w:rPr>
                <w:b/>
              </w:rPr>
              <w:t xml:space="preserve">A</w:t>
            </w:r>
            <w:r>
              <w:t xml:space="preserve">)</w:t>
            </w:r>
          </w:p>
        </w:tc>
        <w:tc>
          <w:tcPr>
            <w:tcW w:w="0" w:type="auto"/>
          </w:tcPr>
          <w:p>
            <w:pPr>
              <w:spacing w:after="0" w:line="240" w:lineRule="auto"/>
            </w:pPr>
            <w:r>
              <w:t xml:space="preserve">A1 bis A6, A9 bis A15, A17, A18 — davon drei reine Verweise auf Nummern des Umsetzungskonzepts (A4 = U1, A5 = U3, A9 = U5); A19 ist mit U2 überholt</w:t>
            </w:r>
          </w:p>
        </w:tc>
        <w:tc>
          <w:tcPr>
            <w:tcW w:w="0" w:type="auto"/>
          </w:tcPr>
          <w:p>
            <w:pPr>
              <w:spacing w:after="0" w:line="240" w:lineRule="auto"/>
            </w:pPr>
            <w:r>
              <w:t xml:space="preserve">15</w:t>
            </w:r>
          </w:p>
        </w:tc>
        <w:tc>
          <w:tcPr>
            <w:tcW w:w="0" w:type="auto"/>
          </w:tcPr>
          <w:p>
            <w:pPr>
              <w:spacing w:after="0" w:line="240" w:lineRule="auto"/>
            </w:pPr>
            <w:r>
              <w:t xml:space="preserve">Kapitel 5</w:t>
            </w:r>
          </w:p>
        </w:tc>
      </w:tr>
      <w:tr>
        <w:tc>
          <w:tcPr>
            <w:tcW w:w="0" w:type="auto"/>
          </w:tcPr>
          <w:p>
            <w:pPr>
              <w:spacing w:after="0" w:line="240" w:lineRule="auto"/>
            </w:pPr>
            <w:r>
              <w:t xml:space="preserve">Kühlung (</w:t>
            </w:r>
            <w:r>
              <w:rPr>
                <w:b/>
              </w:rPr>
              <w:t xml:space="preserve">K</w:t>
            </w:r>
            <w:r>
              <w:t xml:space="preserve">)</w:t>
            </w:r>
          </w:p>
        </w:tc>
        <w:tc>
          <w:tcPr>
            <w:tcW w:w="0" w:type="auto"/>
          </w:tcPr>
          <w:p>
            <w:pPr>
              <w:spacing w:after="0" w:line="240" w:lineRule="auto"/>
            </w:pPr>
            <w:r>
              <w:t xml:space="preserve">K4 bis K12, K19, K20 bis K23</w:t>
            </w:r>
          </w:p>
        </w:tc>
        <w:tc>
          <w:tcPr>
            <w:tcW w:w="0" w:type="auto"/>
          </w:tcPr>
          <w:p>
            <w:pPr>
              <w:spacing w:after="0" w:line="240" w:lineRule="auto"/>
            </w:pPr>
            <w:r>
              <w:t xml:space="preserve">14</w:t>
            </w:r>
          </w:p>
        </w:tc>
        <w:tc>
          <w:tcPr>
            <w:tcW w:w="0" w:type="auto"/>
          </w:tcPr>
          <w:p>
            <w:pPr>
              <w:spacing w:after="0" w:line="240" w:lineRule="auto"/>
            </w:pPr>
            <w:r>
              <w:t xml:space="preserve">Kapitel 6</w:t>
            </w:r>
          </w:p>
        </w:tc>
      </w:tr>
      <w:tr>
        <w:tc>
          <w:tcPr>
            <w:tcW w:w="0" w:type="auto"/>
          </w:tcPr>
          <w:p>
            <w:pPr>
              <w:spacing w:after="0" w:line="240" w:lineRule="auto"/>
            </w:pPr>
            <w:r>
              <w:t xml:space="preserve">Anlagenkopplung (</w:t>
            </w:r>
            <w:r>
              <w:rPr>
                <w:b/>
              </w:rPr>
              <w:t xml:space="preserve">H</w:t>
            </w:r>
            <w:r>
              <w:t xml:space="preserve">)</w:t>
            </w:r>
          </w:p>
        </w:tc>
        <w:tc>
          <w:tcPr>
            <w:tcW w:w="0" w:type="auto"/>
          </w:tcPr>
          <w:p>
            <w:pPr>
              <w:spacing w:after="0" w:line="240" w:lineRule="auto"/>
            </w:pPr>
            <w:r>
              <w:t xml:space="preserve">— (alle mit E24 entschieden)</w:t>
            </w:r>
          </w:p>
        </w:tc>
        <w:tc>
          <w:tcPr>
            <w:tcW w:w="0" w:type="auto"/>
          </w:tcPr>
          <w:p>
            <w:pPr>
              <w:spacing w:after="0" w:line="240" w:lineRule="auto"/>
            </w:pPr>
            <w:r>
              <w:t xml:space="preserve">0</w:t>
            </w:r>
          </w:p>
        </w:tc>
        <w:tc>
          <w:tcPr>
            <w:tcW w:w="0" w:type="auto"/>
          </w:tcPr>
          <w:p>
            <w:pPr>
              <w:spacing w:after="0" w:line="240" w:lineRule="auto"/>
            </w:pPr>
            <w:r>
              <w:t xml:space="preserve">Kapitel 7</w:t>
            </w:r>
          </w:p>
        </w:tc>
      </w:tr>
      <w:tr>
        <w:tc>
          <w:tcPr>
            <w:tcW w:w="0" w:type="auto"/>
          </w:tcPr>
          <w:p>
            <w:pPr>
              <w:spacing w:after="0" w:line="240" w:lineRule="auto"/>
            </w:pPr>
            <w:r>
              <w:t xml:space="preserve"/>
            </w:r>
          </w:p>
        </w:tc>
        <w:tc>
          <w:tcPr>
            <w:tcW w:w="0" w:type="auto"/>
          </w:tcPr>
          <w:p>
            <w:pPr>
              <w:spacing w:after="0" w:line="240" w:lineRule="auto"/>
            </w:pPr>
            <w:r>
              <w:rPr>
                <w:b/>
              </w:rPr>
              <w:t xml:space="preserve">Summe</w:t>
            </w:r>
          </w:p>
        </w:tc>
        <w:tc>
          <w:tcPr>
            <w:tcW w:w="0" w:type="auto"/>
          </w:tcPr>
          <w:p>
            <w:pPr>
              <w:spacing w:after="0" w:line="240" w:lineRule="auto"/>
            </w:pPr>
            <w:r>
              <w:rPr>
                <w:b/>
              </w:rPr>
              <w:t xml:space="preserve">62</w:t>
            </w:r>
          </w:p>
        </w:tc>
        <w:tc>
          <w:tcPr>
            <w:tcW w:w="0" w:type="auto"/>
          </w:tcPr>
          <w:p>
            <w:pPr>
              <w:spacing w:after="0" w:line="240" w:lineRule="auto"/>
            </w:pPr>
            <w:r>
              <w:t xml:space="preserve"/>
            </w:r>
          </w:p>
        </w:tc>
      </w:tr>
    </w:tbl>
    <w:p>
      <w:pPr>
        <w:spacing w:after="120"/>
      </w:pPr>
    </w:p>
    <w:p>
      <w:r>
        <w:rPr>
          <w:b/>
        </w:rPr>
        <w:t xml:space="preserve">Zwei Sperrpunkte sind am 16.09.2026 gefallen:</w:t>
      </w:r>
      <w:r>
        <w:t xml:space="preserve"> ADR-004 (A7) und ADR-005 (A8) sind angenommen — der gbXML-Import hat seinen Leseweg, das Mehrzonenmodell seine Kopplung; Q10, U11 und U16 sind mit E18 entschieden, Q11a mit E19. </w:t>
      </w:r>
      <w:r>
        <w:rPr>
          <w:b/>
        </w:rPr>
        <w:t xml:space="preserve">U2 und A16 sind mit E20 gegenstandslos, K1 ist mit E21 entschieden, und Q24 wie Q25 sind mit E23 erledigt — der Altweg bleibt.</w:t>
      </w:r>
      <w:r>
        <w:t xml:space="preserve"> </w:t>
      </w:r>
      <w:r>
        <w:rPr>
          <w:b/>
        </w:rPr>
        <w:t xml:space="preserve">Mit E22 kamen zwölf Fragen H1–H12 der Anlagenkopplung hinzu; H1–H12 sind mit E24 entschieden, und keine davon sperrte G0 bis G7.</w:t>
      </w:r>
      <w:r>
        <w:t xml:space="preserve"> </w:t>
      </w:r>
      <w:r>
        <w:rPr>
          <w:b/>
        </w:rPr>
        <w:t xml:space="preserve">Eine Frage sperrt weiter eine ganze Stufe:</w:t>
      </w:r>
      <w:r>
        <w:t xml:space="preserve"> ohne den einen Schreibweg im Katalogeditor (A4 = U1) hängen zehn Prüfregeln an drei Schreibstellen. </w:t>
      </w:r>
      <w:r>
        <w:rPr>
          <w:b/>
        </w:rPr>
        <w:t xml:space="preserve">Drei weitere braucht das Datenaustauschkonzept, um beauftragbar zu werden:</w:t>
      </w:r>
      <w:r>
        <w:t xml:space="preserve"> die Reihenfolge der beiden Importe (D1), ob der gbXML-Export ohne Geometrie lohnt (D2) und wer das Gegenüber des IFC-Exports ist (D6). </w:t>
      </w:r>
      <w:r>
        <w:rPr>
          <w:b/>
        </w:rPr>
        <w:t xml:space="preserve">Vier gehören zu E15</w:t>
      </w:r>
      <w:r>
        <w:t xml:space="preserve"> und entscheiden, wie der Anwender an den Kälteerzeuger kommt: K20 bis K23.</w:t>
      </w:r>
    </w:p>
    <w:p>
      <w:r>
        <w:t xml:space="preserve">Daneben führt das Register </w:t>
      </w:r>
      <w:r>
        <w:rPr>
          <w:b/>
        </w:rPr>
        <w:t xml:space="preserve">drei Listen zur Kenntnis</w:t>
      </w:r>
      <w:r>
        <w:t xml:space="preserve">: die technischen Festlegungen des Datenaustauschs, die der Kühlung und die Wiedervorlage des Systementwurfs. Ihnen ist zu widersprechen, sie sind nicht zu entscheiden.</w:t>
      </w:r>
    </w:p>
    <w:p>
      <w:r>
        <w:rPr>
          <w:b/>
        </w:rPr>
        <w:t xml:space="preserve">Einzelheiten:</w:t>
      </w:r>
      <w:r>
        <w:t xml:space="preserve"> </w:t>
      </w:r>
      <w:r>
        <w:rPr>
          <w:rFonts w:ascii="Consolas" w:hAnsi="Consolas" w:cs="Consolas"/>
          <w:noProof/>
          <w:sz w:val="20"/>
          <w:szCs w:val="20"/>
          <w:shd w:val="clear" w:color="auto" w:fill="EFEFEF"/>
        </w:rPr>
        <w:t xml:space="preserve">Dokumentation/aktuell/Offene_Entscheide_Gebaeudesimulation_EPOS-Plan.md</w:t>
      </w:r>
      <w:r>
        <w:t xml:space="preserve"> (Kapitel 0 bis 9) und darüber hinaus die Fragenkapitel der einzelnen Papiere: </w:t>
      </w:r>
      <w:r>
        <w:rPr>
          <w:rFonts w:ascii="Consolas" w:hAnsi="Consolas" w:cs="Consolas"/>
          <w:noProof/>
          <w:sz w:val="20"/>
          <w:szCs w:val="20"/>
          <w:shd w:val="clear" w:color="auto" w:fill="EFEFEF"/>
        </w:rPr>
        <w:t xml:space="preserve">Konzept_Gebaeudesimulation_VDI6007_EPOS-Plan.md</w:t>
      </w:r>
      <w:r>
        <w:t xml:space="preserve"> (Kapitel 13), </w:t>
      </w:r>
      <w:r>
        <w:rPr>
          <w:rFonts w:ascii="Consolas" w:hAnsi="Consolas" w:cs="Consolas"/>
          <w:noProof/>
          <w:sz w:val="20"/>
          <w:szCs w:val="20"/>
          <w:shd w:val="clear" w:color="auto" w:fill="EFEFEF"/>
        </w:rPr>
        <w:t xml:space="preserve">Umsetzungskonzept_Gebaeudesimulation_VDI6007_EPOS-Plan.md</w:t>
      </w:r>
      <w:r>
        <w:t xml:space="preserve"> (Kapitel 5), </w:t>
      </w:r>
      <w:r>
        <w:rPr>
          <w:rFonts w:ascii="Consolas" w:hAnsi="Consolas" w:cs="Consolas"/>
          <w:noProof/>
          <w:sz w:val="20"/>
          <w:szCs w:val="20"/>
          <w:shd w:val="clear" w:color="auto" w:fill="EFEFEF"/>
        </w:rPr>
        <w:t xml:space="preserve">Konzept_Mehrzonenmodell_IFC_EPOS-Plan.md</w:t>
      </w:r>
      <w:r>
        <w:t xml:space="preserve"> (Kapitel 10), </w:t>
      </w:r>
      <w:r>
        <w:rPr>
          <w:rFonts w:ascii="Consolas" w:hAnsi="Consolas" w:cs="Consolas"/>
          <w:noProof/>
          <w:sz w:val="20"/>
          <w:szCs w:val="20"/>
          <w:shd w:val="clear" w:color="auto" w:fill="EFEFEF"/>
        </w:rPr>
        <w:t xml:space="preserve">Konzept_Datenaustausch_gbXML_IFC_EPOS-Plan.md</w:t>
      </w:r>
      <w:r>
        <w:t xml:space="preserve"> (Kapitel 11), </w:t>
      </w:r>
      <w:r>
        <w:rPr>
          <w:rFonts w:ascii="Consolas" w:hAnsi="Consolas" w:cs="Consolas"/>
          <w:noProof/>
          <w:sz w:val="20"/>
          <w:szCs w:val="20"/>
          <w:shd w:val="clear" w:color="auto" w:fill="EFEFEF"/>
        </w:rPr>
        <w:t xml:space="preserve">Softwarearchitektur_Gebaeudesimulation_EPOS-Plan.md</w:t>
      </w:r>
      <w:r>
        <w:t xml:space="preserve"> (Kapitel 6) und </w:t>
      </w:r>
      <w:r>
        <w:rPr>
          <w:rFonts w:ascii="Consolas" w:hAnsi="Consolas" w:cs="Consolas"/>
          <w:noProof/>
          <w:sz w:val="20"/>
          <w:szCs w:val="20"/>
          <w:shd w:val="clear" w:color="auto" w:fill="EFEFEF"/>
        </w:rPr>
        <w:t xml:space="preserve">Konzept_Kuehlung_Gebaeudesimulation_EPOS-Plan.md</w:t>
      </w:r>
      <w:r>
        <w:t xml:space="preserve"> (Kapitel 12).</w:t>
      </w:r>
    </w:p>
    <w:p>
      <w:pPr>
        <w:pStyle w:val="Trennlinie"/>
      </w:pPr>
    </w:p>
    <w:p>
      <w:pPr>
        <w:pStyle w:val="Heading1"/>
      </w:pPr>
      <w:r>
        <w:t xml:space="preserve">13 Verzeichnis der Papiere</w:t>
      </w:r>
    </w:p>
    <w:p>
      <w:pPr>
        <w:pStyle w:val="Heading2"/>
      </w:pPr>
      <w:r>
        <w:t xml:space="preserve">13.1 Konzepte und Entwürfe</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Papier</w:t>
            </w:r>
          </w:p>
        </w:tc>
        <w:tc>
          <w:tcPr>
            <w:tcW w:w="0" w:type="auto"/>
            <w:shd w:val="clear" w:color="auto" w:fill="D9D9D9"/>
          </w:tcPr>
          <w:p>
            <w:pPr>
              <w:spacing w:after="0" w:line="240" w:lineRule="auto"/>
              <w:rPr>
                <w:b/>
              </w:rPr>
            </w:pPr>
            <w:r>
              <w:rPr>
                <w:b/>
              </w:rPr>
              <w:t xml:space="preserve">Pfad</w:t>
            </w:r>
          </w:p>
        </w:tc>
        <w:tc>
          <w:tcPr>
            <w:tcW w:w="0" w:type="auto"/>
            <w:shd w:val="clear" w:color="auto" w:fill="D9D9D9"/>
          </w:tcPr>
          <w:p>
            <w:pPr>
              <w:spacing w:after="0" w:line="240" w:lineRule="auto"/>
              <w:rPr>
                <w:b/>
              </w:rPr>
            </w:pPr>
            <w:r>
              <w:rPr>
                <w:b/>
              </w:rPr>
              <w:t xml:space="preserve">Inhalt</w:t>
            </w:r>
          </w:p>
        </w:tc>
        <w:tc>
          <w:tcPr>
            <w:tcW w:w="0" w:type="auto"/>
            <w:shd w:val="clear" w:color="auto" w:fill="D9D9D9"/>
          </w:tcPr>
          <w:p>
            <w:pPr>
              <w:spacing w:after="0" w:line="240" w:lineRule="auto"/>
              <w:rPr>
                <w:b/>
              </w:rPr>
            </w:pPr>
            <w:r>
              <w:rPr>
                <w:b/>
              </w:rPr>
              <w:t xml:space="preserve">Stand</w:t>
            </w:r>
          </w:p>
        </w:tc>
      </w:tr>
      <w:tr>
        <w:tc>
          <w:tcPr>
            <w:tcW w:w="0" w:type="auto"/>
          </w:tcPr>
          <w:p>
            <w:pPr>
              <w:spacing w:after="0" w:line="240" w:lineRule="auto"/>
            </w:pPr>
            <w:r>
              <w:t xml:space="preserve">Konzept Gebäudesimulation</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Dokumentation/aktuell/Konzept_Gebaeudesimulation_VDI6007_EPOS-Plan.md</w:t>
            </w:r>
          </w:p>
        </w:tc>
        <w:tc>
          <w:tcPr>
            <w:tcW w:w="0" w:type="auto"/>
          </w:tcPr>
          <w:p>
            <w:pPr>
              <w:spacing w:after="0" w:line="240" w:lineRule="auto"/>
            </w:pPr>
            <w:r>
              <w:t xml:space="preserve">Physik, Rechenweg, Datenprüfung, Prototyp, Datenmodell, IFC, Stufen G0–G5, Nachtrag 1 mit </w:t>
            </w:r>
            <w:r>
              <w:rPr>
                <w:b/>
              </w:rPr>
              <w:t xml:space="preserve">E1–E25</w:t>
            </w:r>
            <w:r>
              <w:t xml:space="preserve"> (N1.17 die Entscheide vom 16.09.2026, N1.18 E12, N1.19 E14, N1.20 E15, N1.21–N1.30 E16–E25), Fragen Q1–Q26</w:t>
            </w:r>
          </w:p>
        </w:tc>
        <w:tc>
          <w:tcPr>
            <w:tcW w:w="0" w:type="auto"/>
          </w:tcPr>
          <w:p>
            <w:pPr>
              <w:spacing w:after="0" w:line="240" w:lineRule="auto"/>
            </w:pPr>
            <w:r>
              <w:rPr>
                <w:b/>
              </w:rPr>
              <w:t xml:space="preserve">Rev. 2</w:t>
            </w:r>
            <w:r>
              <w:t xml:space="preserve"> (E20 und E23 im Hauptteil) mit Nachtrag 1 bis N1.30, gegengelesen</w:t>
            </w:r>
          </w:p>
        </w:tc>
      </w:tr>
      <w:tr>
        <w:tc>
          <w:tcPr>
            <w:tcW w:w="0" w:type="auto"/>
          </w:tcPr>
          <w:p>
            <w:pPr>
              <w:spacing w:after="0" w:line="240" w:lineRule="auto"/>
            </w:pPr>
            <w:r>
              <w:rPr>
                <w:b/>
              </w:rPr>
              <w:t xml:space="preserve">Kühlkonzept</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Dokumentation/aktuell/Konzept_Kuehlung_Gebaeudesimulation_EPOS-Plan.md</w:t>
            </w:r>
          </w:p>
        </w:tc>
        <w:tc>
          <w:tcPr>
            <w:tcW w:w="0" w:type="auto"/>
          </w:tcPr>
          <w:p>
            <w:pPr>
              <w:spacing w:after="0" w:line="240" w:lineRule="auto"/>
            </w:pPr>
            <w:r>
              <w:t xml:space="preserve">die Ausführung von E12, E15 und </w:t>
            </w:r>
            <w:r>
              <w:rPr>
                <w:b/>
              </w:rPr>
              <w:t xml:space="preserve">E21</w:t>
            </w:r>
            <w:r>
              <w:t xml:space="preserve">: Rechenweg der Kühlung, Kanalarchitektur mit zwei Deckungswelten, Symmetrie zur Wärmeseite als Bauvorschrift, Kälteerzeuger, Strom und Wirtschaftlichkeit, Datenmodell, Dialoge, Import und Export, Nachweis, Stufen KU0–KU3, Fragen K1–K23</w:t>
            </w:r>
          </w:p>
        </w:tc>
        <w:tc>
          <w:tcPr>
            <w:tcW w:w="0" w:type="auto"/>
          </w:tcPr>
          <w:p>
            <w:pPr>
              <w:spacing w:after="0" w:line="240" w:lineRule="auto"/>
            </w:pPr>
            <w:r>
              <w:rPr>
                <w:b/>
              </w:rPr>
              <w:t xml:space="preserve">Rev. 3</w:t>
            </w:r>
            <w:r>
              <w:t xml:space="preserve"> (E20, E21)</w:t>
            </w:r>
          </w:p>
        </w:tc>
      </w:tr>
      <w:tr>
        <w:tc>
          <w:tcPr>
            <w:tcW w:w="0" w:type="auto"/>
          </w:tcPr>
          <w:p>
            <w:pPr>
              <w:spacing w:after="0" w:line="240" w:lineRule="auto"/>
            </w:pPr>
            <w:r>
              <w:rPr>
                <w:b/>
              </w:rPr>
              <w:t xml:space="preserve">Anlagenkopplung</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Dokumentation/aktuell/Konzept_Anlagenkopplung_Gebaeudesimulation_EPOS-Plan.md</w:t>
            </w:r>
          </w:p>
        </w:tc>
        <w:tc>
          <w:tcPr>
            <w:tcW w:w="0" w:type="auto"/>
          </w:tcPr>
          <w:p>
            <w:pPr>
              <w:spacing w:after="0" w:line="240" w:lineRule="auto"/>
            </w:pPr>
            <w:r>
              <w:t xml:space="preserve">Kopplung von Vorlauftemperatur und Erzeugerfahrplan an die Raumtemperatur als benannte Erweiterung (E22): Physik der Übergabe, Heizkurve, Zeitprogramm, Verfügbarkeit und Komfortstunden, Kopplungsschema je Stufe AK1–AK3, Kälteseite spiegelbildlich, Datenmodell, Dialoge, Rechenschritt H, Nachweis, Stufen AK0–AK3, Fragen H1–H12</w:t>
            </w:r>
          </w:p>
        </w:tc>
        <w:tc>
          <w:tcPr>
            <w:tcW w:w="0" w:type="auto"/>
          </w:tcPr>
          <w:p>
            <w:pPr>
              <w:spacing w:after="0" w:line="240" w:lineRule="auto"/>
            </w:pPr>
            <w:r>
              <w:rPr>
                <w:b/>
              </w:rPr>
              <w:t xml:space="preserve">Rev. 1</w:t>
            </w:r>
            <w:r>
              <w:t xml:space="preserve"> — 1 894 Zeilen, Stufen AK0–AK3 44–68 PT, Fragen H1–H12 (mit E24 entschieden, Proportionalband mit E25 wählbar); Stufenplan offen (Q26)</w:t>
            </w:r>
          </w:p>
        </w:tc>
      </w:tr>
      <w:tr>
        <w:tc>
          <w:tcPr>
            <w:tcW w:w="0" w:type="auto"/>
          </w:tcPr>
          <w:p>
            <w:pPr>
              <w:spacing w:after="0" w:line="240" w:lineRule="auto"/>
            </w:pPr>
            <w:r>
              <w:rPr>
                <w:b/>
              </w:rPr>
              <w:t xml:space="preserve">Register der offenen Entscheide</w:t>
            </w:r>
          </w:p>
        </w:tc>
        <w:tc>
          <w:tcPr>
            <w:tcW w:w="0" w:type="auto"/>
          </w:tcPr>
          <w:p>
            <w:pPr>
              <w:spacing w:after="0" w:line="240" w:lineRule="auto"/>
            </w:pPr>
            <w:r>
              <w:rPr>
                <w:rFonts w:ascii="Consolas" w:hAnsi="Consolas" w:cs="Consolas"/>
                <w:noProof/>
                <w:sz w:val="20"/>
                <w:szCs w:val="20"/>
                <w:shd w:val="clear" w:color="auto" w:fill="EFEFEF"/>
              </w:rPr>
              <w:t xml:space="preserve">Dokumentation/aktuell/Offene_Entscheide_Gebaeudesimulation_EPOS-Plan.md</w:t>
            </w:r>
          </w:p>
        </w:tc>
        <w:tc>
          <w:tcPr>
            <w:tcW w:w="0" w:type="auto"/>
          </w:tcPr>
          <w:p>
            <w:pPr>
              <w:spacing w:after="0" w:line="240" w:lineRule="auto"/>
            </w:pPr>
            <w:r>
              <w:t xml:space="preserve">die eine Stelle für jede offene Frage mit Erläuterung: 62 Punkte je Papier (nach E16–E24), Kapitel 0 mit den 35 jetzt fälligen, drei Listen zur Kenntnis, der Weg zum festgehaltenen Entscheid</w:t>
            </w:r>
          </w:p>
        </w:tc>
        <w:tc>
          <w:tcPr>
            <w:tcW w:w="0" w:type="auto"/>
          </w:tcPr>
          <w:p>
            <w:pPr>
              <w:spacing w:after="0" w:line="240" w:lineRule="auto"/>
            </w:pPr>
            <w:r>
              <w:t xml:space="preserve">Stand 16.09.2026, wird beim Entscheid gekürzt</w:t>
            </w:r>
          </w:p>
        </w:tc>
      </w:tr>
      <w:tr>
        <w:tc>
          <w:tcPr>
            <w:tcW w:w="0" w:type="auto"/>
          </w:tcPr>
          <w:p>
            <w:pPr>
              <w:spacing w:after="0" w:line="240" w:lineRule="auto"/>
            </w:pPr>
            <w:r>
              <w:t xml:space="preserve">Umsetzungskonzept</w:t>
            </w:r>
          </w:p>
        </w:tc>
        <w:tc>
          <w:tcPr>
            <w:tcW w:w="0" w:type="auto"/>
          </w:tcPr>
          <w:p>
            <w:pPr>
              <w:spacing w:after="0" w:line="240" w:lineRule="auto"/>
            </w:pPr>
            <w:r>
              <w:rPr>
                <w:rFonts w:ascii="Consolas" w:hAnsi="Consolas" w:cs="Consolas"/>
                <w:noProof/>
                <w:sz w:val="20"/>
                <w:szCs w:val="20"/>
                <w:shd w:val="clear" w:color="auto" w:fill="EFEFEF"/>
              </w:rPr>
              <w:t xml:space="preserve">Dokumentation/aktuell/Umsetzungskonzept_Gebaeudesimulation_VDI6007_EPOS-Plan.md</w:t>
            </w:r>
          </w:p>
        </w:tc>
        <w:tc>
          <w:tcPr>
            <w:tcW w:w="0" w:type="auto"/>
          </w:tcPr>
          <w:p>
            <w:pPr>
              <w:spacing w:after="0" w:line="240" w:lineRule="auto"/>
            </w:pPr>
            <w:r>
              <w:t xml:space="preserve">Einbindung in den Kern (mit den Fensterwiderständen nach E14 und </w:t>
            </w:r>
            <m:oMath xmlns:m="http://schemas.openxmlformats.org/officeDocument/2006/math">
              <m:sSub>
                <m:e>
                  <m:r>
                    <w:rPr>
                      <w:rFonts w:ascii="Cambria Math" w:hAnsi="Cambria Math"/>
                    </w:rPr>
                    <m:t>R</m:t>
                  </m:r>
                </m:e>
                <m:sub>
                  <m:r>
                    <m:rPr>
                      <m:sty m:val="p"/>
                    </m:rPr>
                    <w:rPr>
                      <w:rFonts w:ascii="Cambria Math" w:hAnsi="Cambria Math"/>
                    </w:rPr>
                    <m:t>ext</m:t>
                  </m:r>
                </m:sub>
              </m:sSub>
            </m:oMath>
            <w:r>
              <w:t xml:space="preserve"> allein aus Lüftung und Wärmebrücken), Gebäudedialog mit U·A je Bauteil, IFC-Import G4a, gbXML-Import G4c, Exporte G7, Fragen U1–U16 (U2 mit E20 überholt); Hinweis zu den Schrittnummern in 1.6</w:t>
            </w:r>
          </w:p>
        </w:tc>
        <w:tc>
          <w:tcPr>
            <w:tcW w:w="0" w:type="auto"/>
          </w:tcPr>
          <w:p>
            <w:pPr>
              <w:spacing w:after="0" w:line="240" w:lineRule="auto"/>
            </w:pPr>
            <w:r>
              <w:rPr>
                <w:b/>
              </w:rPr>
              <w:t xml:space="preserve">Rev. 2</w:t>
            </w:r>
            <w:r>
              <w:t xml:space="preserve">, 62 Korrekturen eingearbeitet, unabhängig geprüft, E13/E14 nachgezogen, Nachträge zu E20 und E21</w:t>
            </w:r>
          </w:p>
        </w:tc>
      </w:tr>
      <w:tr>
        <w:tc>
          <w:tcPr>
            <w:tcW w:w="0" w:type="auto"/>
          </w:tcPr>
          <w:p>
            <w:pPr>
              <w:spacing w:after="0" w:line="240" w:lineRule="auto"/>
            </w:pPr>
            <w:r>
              <w:t xml:space="preserve">Mehrzonenkonzept</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Dokumentation/aktuell/Konzept_Mehrzonenmodell_IFC_EPOS-Plan.md</w:t>
            </w:r>
          </w:p>
        </w:tc>
        <w:tc>
          <w:tcPr>
            <w:tcW w:w="0" w:type="auto"/>
          </w:tcPr>
          <w:p>
            <w:pPr>
              <w:spacing w:after="0" w:line="240" w:lineRule="auto"/>
            </w:pPr>
            <w:r>
              <w:t xml:space="preserve">Zonenkopplung, Bauteile und Stoffwerte, Datenmodell Zone → Bauteil → Aufbau → Schicht → Baustoff, Zoneneingabe, Zonenimport, Stufen G6a–G6d, Fragen M1–M14, Grundrissansicht (E11); die für G3 geplante Umstellung des Fensterpfads ist mit E14 entfallen, Bezugsfläche ist die Nutzfläche</w:t>
            </w:r>
          </w:p>
        </w:tc>
        <w:tc>
          <w:tcPr>
            <w:tcW w:w="0" w:type="auto"/>
          </w:tcPr>
          <w:p>
            <w:pPr>
              <w:spacing w:after="0" w:line="240" w:lineRule="auto"/>
            </w:pPr>
            <w:r>
              <w:rPr>
                <w:b/>
              </w:rPr>
              <w:t xml:space="preserve">Rev. 2</w:t>
            </w:r>
            <w:r>
              <w:t xml:space="preserve">, E13/E14 nachgezogen</w:t>
            </w:r>
          </w:p>
        </w:tc>
      </w:tr>
      <w:tr>
        <w:tc>
          <w:tcPr>
            <w:tcW w:w="0" w:type="auto"/>
          </w:tcPr>
          <w:p>
            <w:pPr>
              <w:spacing w:after="0" w:line="240" w:lineRule="auto"/>
            </w:pPr>
            <w:r>
              <w:t xml:space="preserve">Datenaustauschkonzept</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Dokumentation/aktuell/Konzept_Datenaustausch_gbXML_IFC_EPOS-Plan.md</w:t>
            </w:r>
          </w:p>
        </w:tc>
        <w:tc>
          <w:tcPr>
            <w:tcW w:w="0" w:type="auto"/>
          </w:tcPr>
          <w:p>
            <w:pPr>
              <w:spacing w:after="0" w:line="240" w:lineRule="auto"/>
            </w:pPr>
            <w:r>
              <w:t xml:space="preserve">gemeinsames Zuordnungsgerüst, gbXML-Import G4c, Exporte G7a–G7e, Persistenz der Zuordnung, Lizenz, 27 Proben, Fragen D1–D16, Nachtrag 1 zum Gebäudebetrachter; Nutzfläche als Pflichtfeld, Importproben für </w:t>
            </w:r>
            <w:r>
              <w:rPr>
                <w:b/>
              </w:rPr>
              <w:t xml:space="preserve">alle</w:t>
            </w:r>
            <w:r>
              <w:t xml:space="preserve"> Importwege (Q12)</w:t>
            </w:r>
          </w:p>
        </w:tc>
        <w:tc>
          <w:tcPr>
            <w:tcW w:w="0" w:type="auto"/>
          </w:tcPr>
          <w:p>
            <w:pPr>
              <w:spacing w:after="0" w:line="240" w:lineRule="auto"/>
            </w:pPr>
            <w:r>
              <w:rPr>
                <w:b/>
              </w:rPr>
              <w:t xml:space="preserve">Rev. 2</w:t>
            </w:r>
            <w:r>
              <w:t xml:space="preserve">, 64 Befunde eingearbeitet, E13 nachgezogen</w:t>
            </w:r>
          </w:p>
        </w:tc>
      </w:tr>
      <w:tr>
        <w:tc>
          <w:tcPr>
            <w:tcW w:w="0" w:type="auto"/>
          </w:tcPr>
          <w:p>
            <w:pPr>
              <w:spacing w:after="0" w:line="240" w:lineRule="auto"/>
            </w:pPr>
            <w:r>
              <w:t xml:space="preserve">Rechenschritte</w:t>
            </w:r>
          </w:p>
        </w:tc>
        <w:tc>
          <w:tcPr>
            <w:tcW w:w="0" w:type="auto"/>
          </w:tcPr>
          <w:p>
            <w:pPr>
              <w:spacing w:after="0" w:line="240" w:lineRule="auto"/>
            </w:pPr>
            <w:r>
              <w:rPr>
                <w:rFonts w:ascii="Consolas" w:hAnsi="Consolas" w:cs="Consolas"/>
                <w:noProof/>
                <w:sz w:val="20"/>
                <w:szCs w:val="20"/>
                <w:shd w:val="clear" w:color="auto" w:fill="EFEFEF"/>
              </w:rPr>
              <w:t xml:space="preserve">Dokumentation/aktuell/Rechenschritte_Gebaeudesimulation_VDI6007_EPOS-Plan.md</w:t>
            </w:r>
          </w:p>
        </w:tc>
        <w:tc>
          <w:tcPr>
            <w:tcW w:w="0" w:type="auto"/>
          </w:tcPr>
          <w:p>
            <w:pPr>
              <w:spacing w:after="0" w:line="240" w:lineRule="auto"/>
            </w:pPr>
            <w:r>
              <w:t xml:space="preserve">das Rechenbuch: Schritte A–G einschließlich </w:t>
            </w:r>
            <w:r>
              <w:rPr>
                <w:b/>
              </w:rPr>
              <w:t xml:space="preserve">A7a (Fensterpfad nach E14)</w:t>
            </w:r>
            <w:r>
              <w:t xml:space="preserve">, Eingaben und Datenquellen, Zahlenweg an einem EPOS-Gebäude, Prüfband nach E10, benannte Abweichungen (Zeile 4 mit E14 entfallen)</w:t>
            </w:r>
          </w:p>
        </w:tc>
        <w:tc>
          <w:tcPr>
            <w:tcW w:w="0" w:type="auto"/>
          </w:tcPr>
          <w:p>
            <w:pPr>
              <w:spacing w:after="0" w:line="240" w:lineRule="auto"/>
            </w:pPr>
            <w:r>
              <w:rPr>
                <w:b/>
              </w:rPr>
              <w:t xml:space="preserve">fertig</w:t>
            </w:r>
            <w:r>
              <w:t xml:space="preserve">, zwei Lesungen und E14 eingearbeitet</w:t>
            </w:r>
          </w:p>
        </w:tc>
      </w:tr>
      <w:tr>
        <w:tc>
          <w:tcPr>
            <w:tcW w:w="0" w:type="auto"/>
          </w:tcPr>
          <w:p>
            <w:pPr>
              <w:spacing w:after="0" w:line="240" w:lineRule="auto"/>
            </w:pPr>
            <w:r>
              <w:t xml:space="preserve">Systementwurf</w:t>
            </w:r>
          </w:p>
        </w:tc>
        <w:tc>
          <w:tcPr>
            <w:tcW w:w="0" w:type="auto"/>
          </w:tcPr>
          <w:p>
            <w:pPr>
              <w:spacing w:after="0" w:line="240" w:lineRule="auto"/>
            </w:pPr>
            <w:r>
              <w:rPr>
                <w:rFonts w:ascii="Consolas" w:hAnsi="Consolas" w:cs="Consolas"/>
                <w:noProof/>
                <w:sz w:val="20"/>
                <w:szCs w:val="20"/>
                <w:shd w:val="clear" w:color="auto" w:fill="EFEFEF"/>
              </w:rPr>
              <w:t xml:space="preserve">Dokumentation/aktuell/Systementwurf_Gebaeudesimulation_EPOS-Plan.md</w:t>
            </w:r>
          </w:p>
        </w:tc>
        <w:tc>
          <w:tcPr>
            <w:tcW w:w="0" w:type="auto"/>
          </w:tcPr>
          <w:p>
            <w:pPr>
              <w:spacing w:after="0" w:line="240" w:lineRule="auto"/>
            </w:pPr>
            <w:r>
              <w:t xml:space="preserve">Anforderungen, Komponentenbild, Datenflüsse, Verträge, Speicherung, Fehlerbehandlung, Leistung, Nachweis, Abwägungen, Grenzen</w:t>
            </w:r>
          </w:p>
        </w:tc>
        <w:tc>
          <w:tcPr>
            <w:tcW w:w="0" w:type="auto"/>
          </w:tcPr>
          <w:p>
            <w:pPr>
              <w:spacing w:after="0" w:line="240" w:lineRule="auto"/>
            </w:pPr>
            <w:r>
              <w:rPr>
                <w:b/>
              </w:rPr>
              <w:t xml:space="preserve">Rev. 2</w:t>
            </w:r>
            <w:r>
              <w:t xml:space="preserve">, von vier Lesern gegengelesen, Nachtragssätze zu E12, E20 und E21 gesetzt</w:t>
            </w:r>
          </w:p>
        </w:tc>
      </w:tr>
      <w:tr>
        <w:tc>
          <w:tcPr>
            <w:tcW w:w="0" w:type="auto"/>
          </w:tcPr>
          <w:p>
            <w:pPr>
              <w:spacing w:after="0" w:line="240" w:lineRule="auto"/>
            </w:pPr>
            <w:r>
              <w:t xml:space="preserve">Softwarearchitektur</w:t>
            </w:r>
          </w:p>
        </w:tc>
        <w:tc>
          <w:tcPr>
            <w:tcW w:w="0" w:type="auto"/>
          </w:tcPr>
          <w:p>
            <w:pPr>
              <w:spacing w:after="0" w:line="240" w:lineRule="auto"/>
            </w:pPr>
            <w:r>
              <w:rPr>
                <w:rFonts w:ascii="Consolas" w:hAnsi="Consolas" w:cs="Consolas"/>
                <w:noProof/>
                <w:sz w:val="20"/>
                <w:szCs w:val="20"/>
                <w:shd w:val="clear" w:color="auto" w:fill="EFEFEF"/>
              </w:rPr>
              <w:t xml:space="preserve">Dokumentation/aktuell/Softwarearchitektur_Gebaeudesimulation_EPOS-Plan.md</w:t>
            </w:r>
          </w:p>
        </w:tc>
        <w:tc>
          <w:tcPr>
            <w:tcW w:w="0" w:type="auto"/>
          </w:tcPr>
          <w:p>
            <w:pPr>
              <w:spacing w:after="0" w:line="240" w:lineRule="auto"/>
            </w:pPr>
            <w:r>
              <w:t xml:space="preserve">Schichten und Klassen, Nähte, Wächter, Datenmodell-Architektur mit den Widersprüchen W1–W21, Dialogführung, Integration, Umsetzungsreihenfolge, Architekturfragen A1–A19 (A16 mit E20 gegenstandslos)</w:t>
            </w:r>
          </w:p>
        </w:tc>
        <w:tc>
          <w:tcPr>
            <w:tcW w:w="0" w:type="auto"/>
          </w:tcPr>
          <w:p>
            <w:pPr>
              <w:spacing w:after="0" w:line="240" w:lineRule="auto"/>
            </w:pPr>
            <w:r>
              <w:rPr>
                <w:b/>
              </w:rPr>
              <w:t xml:space="preserve">Rev. 2</w:t>
            </w:r>
            <w:r>
              <w:t xml:space="preserve">, von fünf Lesern gegengelesen, Nachtragssätze zu E12, E20 und E21 gesetzt</w:t>
            </w:r>
          </w:p>
        </w:tc>
      </w:tr>
      <w:tr>
        <w:tc>
          <w:tcPr>
            <w:tcW w:w="0" w:type="auto"/>
          </w:tcPr>
          <w:p>
            <w:pPr>
              <w:spacing w:after="0" w:line="240" w:lineRule="auto"/>
            </w:pPr>
            <w:r>
              <w:t xml:space="preserve">Statusdatei</w:t>
            </w:r>
          </w:p>
        </w:tc>
        <w:tc>
          <w:tcPr>
            <w:tcW w:w="0" w:type="auto"/>
          </w:tcPr>
          <w:p>
            <w:pPr>
              <w:spacing w:after="0" w:line="240" w:lineRule="auto"/>
            </w:pPr>
            <w:r>
              <w:rPr>
                <w:rFonts w:ascii="Consolas" w:hAnsi="Consolas" w:cs="Consolas"/>
                <w:noProof/>
                <w:sz w:val="20"/>
                <w:szCs w:val="20"/>
                <w:shd w:val="clear" w:color="auto" w:fill="EFEFEF"/>
              </w:rPr>
              <w:t xml:space="preserve">Dokumentation/aktuell/Status_Gebaeudesimulation_VDI6007.md</w:t>
            </w:r>
          </w:p>
        </w:tc>
        <w:tc>
          <w:tcPr>
            <w:tcW w:w="0" w:type="auto"/>
          </w:tcPr>
          <w:p>
            <w:pPr>
              <w:spacing w:after="0" w:line="240" w:lineRule="auto"/>
            </w:pPr>
            <w:r>
              <w:t xml:space="preserve">je Entscheid und je Stufe eine Zeile: was wann mit welchem Ergebnis entschieden und umgesetzt ist — und was offen ist; Abschnitt 1 führt </w:t>
            </w:r>
            <w:r>
              <w:rPr>
                <w:b/>
              </w:rPr>
              <w:t xml:space="preserve">E1 bis E25</w:t>
            </w:r>
            <w:r>
              <w:t xml:space="preserve"> samt </w:t>
            </w:r>
            <w:r>
              <w:rPr>
                <w:b/>
              </w:rPr>
              <w:t xml:space="preserve">Q24 bis Q26</w:t>
            </w:r>
            <w:r>
              <w:t xml:space="preserve">, Abschnitt 2 die Stufen — eine Stufe GA gibt es nicht mehr —, Abschnitt 3 alle Papiere und Architekturentscheide</w:t>
            </w:r>
          </w:p>
        </w:tc>
        <w:tc>
          <w:tcPr>
            <w:tcW w:w="0" w:type="auto"/>
          </w:tcPr>
          <w:p>
            <w:pPr>
              <w:spacing w:after="0" w:line="240" w:lineRule="auto"/>
            </w:pPr>
            <w:r>
              <w:t xml:space="preserve">Stand 16.09.2026, fortlaufend</w:t>
            </w:r>
          </w:p>
        </w:tc>
      </w:tr>
      <w:tr>
        <w:tc>
          <w:tcPr>
            <w:tcW w:w="0" w:type="auto"/>
          </w:tcPr>
          <w:p>
            <w:pPr>
              <w:spacing w:after="0" w:line="240" w:lineRule="auto"/>
            </w:pPr>
            <w:r>
              <w:t xml:space="preserve">Werkzeuglage</w:t>
            </w:r>
          </w:p>
        </w:tc>
        <w:tc>
          <w:tcPr>
            <w:tcW w:w="0" w:type="auto"/>
          </w:tcPr>
          <w:p>
            <w:pPr>
              <w:spacing w:after="0" w:line="240" w:lineRule="auto"/>
            </w:pPr>
            <w:r>
              <w:rPr>
                <w:rFonts w:ascii="Consolas" w:hAnsi="Consolas" w:cs="Consolas"/>
                <w:noProof/>
                <w:sz w:val="20"/>
                <w:szCs w:val="20"/>
                <w:shd w:val="clear" w:color="auto" w:fill="EFEFEF"/>
              </w:rPr>
              <w:t xml:space="preserve">Dokumentation/aktuell/Werkzeuglage_Rechner_EPOS-Plan.md</w:t>
            </w:r>
          </w:p>
        </w:tc>
        <w:tc>
          <w:tcPr>
            <w:tcW w:w="0" w:type="auto"/>
          </w:tcPr>
          <w:p>
            <w:pPr>
              <w:spacing w:after="0" w:line="240" w:lineRule="auto"/>
            </w:pPr>
            <w:r>
              <w:t xml:space="preserve">Werkzeugstand des Arbeitsrechners</w:t>
            </w:r>
          </w:p>
        </w:tc>
        <w:tc>
          <w:tcPr>
            <w:tcW w:w="0" w:type="auto"/>
          </w:tcPr>
          <w:p>
            <w:pPr>
              <w:spacing w:after="0" w:line="240" w:lineRule="auto"/>
            </w:pPr>
            <w:r>
              <w:t xml:space="preserve">fortlaufend</w:t>
            </w:r>
          </w:p>
        </w:tc>
      </w:tr>
    </w:tbl>
    <w:p>
      <w:pPr>
        <w:spacing w:after="120"/>
      </w:pPr>
    </w:p>
    <w:p>
      <w:pPr>
        <w:pStyle w:val="Heading2"/>
      </w:pPr>
      <w:r>
        <w:t xml:space="preserve">13.2 Architekturentscheide</w:t>
      </w:r>
    </w:p>
    <w:tbl>
      <w:tblPr>
        <w:tblStyle w:val="TableGrid"/>
        <w:tblW w:w="5000" w:type="pct"/>
        <w:tblLayout w:type="autofit"/>
        <w:tblLook w:val="04A0" w:firstRow="true" w:lastRow="false" w:firstColumn="false" w:lastColumn="false" w:noHBand="false" w:noVBand="true"/>
      </w:tblPr>
      <w:tblGrid>
        <w:gridCol w:w="2409"/>
        <w:gridCol w:w="2409"/>
        <w:gridCol w:w="2409"/>
        <w:gridCol w:w="2409"/>
      </w:tblGrid>
      <w:tr>
        <w:trPr>
          <w:tblHeader/>
        </w:trPr>
        <w:tc>
          <w:tcPr>
            <w:tcW w:w="0" w:type="auto"/>
            <w:shd w:val="clear" w:color="auto" w:fill="D9D9D9"/>
          </w:tcPr>
          <w:p>
            <w:pPr>
              <w:spacing w:after="0" w:line="240" w:lineRule="auto"/>
              <w:rPr>
                <w:b/>
              </w:rPr>
            </w:pPr>
            <w:r>
              <w:rPr>
                <w:b/>
              </w:rPr>
              <w:t xml:space="preserve">ADR</w:t>
            </w:r>
          </w:p>
        </w:tc>
        <w:tc>
          <w:tcPr>
            <w:tcW w:w="0" w:type="auto"/>
            <w:shd w:val="clear" w:color="auto" w:fill="D9D9D9"/>
          </w:tcPr>
          <w:p>
            <w:pPr>
              <w:spacing w:after="0" w:line="240" w:lineRule="auto"/>
              <w:rPr>
                <w:b/>
              </w:rPr>
            </w:pPr>
            <w:r>
              <w:rPr>
                <w:b/>
              </w:rPr>
              <w:t xml:space="preserve">Pfad</w:t>
            </w:r>
          </w:p>
        </w:tc>
        <w:tc>
          <w:tcPr>
            <w:tcW w:w="0" w:type="auto"/>
            <w:shd w:val="clear" w:color="auto" w:fill="D9D9D9"/>
          </w:tcPr>
          <w:p>
            <w:pPr>
              <w:spacing w:after="0" w:line="240" w:lineRule="auto"/>
              <w:rPr>
                <w:b/>
              </w:rPr>
            </w:pPr>
            <w:r>
              <w:rPr>
                <w:b/>
              </w:rPr>
              <w:t xml:space="preserve">Gegenstand</w:t>
            </w:r>
          </w:p>
        </w:tc>
        <w:tc>
          <w:tcPr>
            <w:tcW w:w="0" w:type="auto"/>
            <w:shd w:val="clear" w:color="auto" w:fill="D9D9D9"/>
          </w:tcPr>
          <w:p>
            <w:pPr>
              <w:spacing w:after="0" w:line="240" w:lineRule="auto"/>
              <w:rPr>
                <w:b/>
              </w:rPr>
            </w:pPr>
            <w:r>
              <w:rPr>
                <w:b/>
              </w:rPr>
              <w:t xml:space="preserve">Status</w:t>
            </w:r>
          </w:p>
        </w:tc>
      </w:tr>
      <w:tr>
        <w:tc>
          <w:tcPr>
            <w:tcW w:w="0" w:type="auto"/>
          </w:tcPr>
          <w:p>
            <w:pPr>
              <w:spacing w:after="0" w:line="240" w:lineRule="auto"/>
            </w:pPr>
            <w:r>
              <w:t xml:space="preserve">ADR-001</w:t>
            </w:r>
          </w:p>
        </w:tc>
        <w:tc>
          <w:tcPr>
            <w:tcW w:w="0" w:type="auto"/>
          </w:tcPr>
          <w:p>
            <w:pPr>
              <w:spacing w:after="0" w:line="240" w:lineRule="auto"/>
            </w:pPr>
            <w:r>
              <w:rPr>
                <w:rFonts w:ascii="Consolas" w:hAnsi="Consolas" w:cs="Consolas"/>
                <w:noProof/>
                <w:sz w:val="20"/>
                <w:szCs w:val="20"/>
                <w:shd w:val="clear" w:color="auto" w:fill="EFEFEF"/>
              </w:rPr>
              <w:t xml:space="preserve">Dokumentation/aktuell/ADR-001_Schema-Ausrollung.md</w:t>
            </w:r>
          </w:p>
        </w:tc>
        <w:tc>
          <w:tcPr>
            <w:tcW w:w="0" w:type="auto"/>
          </w:tcPr>
          <w:p>
            <w:pPr>
              <w:spacing w:after="0" w:line="240" w:lineRule="auto"/>
            </w:pPr>
            <w:r>
              <w:t xml:space="preserve">Schemaänderungen als nummerierte Schritte</w:t>
            </w:r>
          </w:p>
        </w:tc>
        <w:tc>
          <w:tcPr>
            <w:tcW w:w="0" w:type="auto"/>
          </w:tcPr>
          <w:p>
            <w:pPr>
              <w:spacing w:after="0" w:line="240" w:lineRule="auto"/>
            </w:pPr>
            <w:r>
              <w:t xml:space="preserve">angenommen</w:t>
            </w:r>
          </w:p>
        </w:tc>
      </w:tr>
      <w:tr>
        <w:tc>
          <w:tcPr>
            <w:tcW w:w="0" w:type="auto"/>
          </w:tcPr>
          <w:p>
            <w:pPr>
              <w:spacing w:after="0" w:line="240" w:lineRule="auto"/>
            </w:pPr>
            <w:r>
              <w:t xml:space="preserve">ADR-002</w:t>
            </w:r>
          </w:p>
        </w:tc>
        <w:tc>
          <w:tcPr>
            <w:tcW w:w="0" w:type="auto"/>
          </w:tcPr>
          <w:p>
            <w:pPr>
              <w:spacing w:after="0" w:line="240" w:lineRule="auto"/>
            </w:pPr>
            <w:r>
              <w:rPr>
                <w:rFonts w:ascii="Consolas" w:hAnsi="Consolas" w:cs="Consolas"/>
                <w:noProof/>
                <w:sz w:val="20"/>
                <w:szCs w:val="20"/>
                <w:shd w:val="clear" w:color="auto" w:fill="EFEFEF"/>
              </w:rPr>
              <w:t xml:space="preserve">Dokumentation/aktuell/ADR-002_Stundenmodell_VDI6007_Einbindung.md</w:t>
            </w:r>
          </w:p>
        </w:tc>
        <w:tc>
          <w:tcPr>
            <w:tcW w:w="0" w:type="auto"/>
          </w:tcPr>
          <w:p>
            <w:pPr>
              <w:spacing w:after="0" w:line="240" w:lineRule="auto"/>
            </w:pPr>
            <w:r>
              <w:t xml:space="preserve">Stundenmodell als Vorgabemodell, eine Naht, Basis neu einfrieren; </w:t>
            </w:r>
            <w:r>
              <w:rPr>
                <w:b/>
              </w:rPr>
              <w:t xml:space="preserve">mit Ergänzungsvermerk zu E20</w:t>
            </w:r>
            <w:r>
              <w:t xml:space="preserve"> — aus der einen Naht wird eine Weiche am Eingang, der Tagesbilanz-Weg wird eigenes Modul und bleibt nach E23 dauerhaft</w:t>
            </w:r>
          </w:p>
        </w:tc>
        <w:tc>
          <w:tcPr>
            <w:tcW w:w="0" w:type="auto"/>
          </w:tcPr>
          <w:p>
            <w:pPr>
              <w:spacing w:after="0" w:line="240" w:lineRule="auto"/>
            </w:pPr>
            <w:r>
              <w:rPr>
                <w:b/>
              </w:rPr>
              <w:t xml:space="preserve">angenommen</w:t>
            </w:r>
          </w:p>
        </w:tc>
      </w:tr>
      <w:tr>
        <w:tc>
          <w:tcPr>
            <w:tcW w:w="0" w:type="auto"/>
          </w:tcPr>
          <w:p>
            <w:pPr>
              <w:spacing w:after="0" w:line="240" w:lineRule="auto"/>
            </w:pPr>
            <w:r>
              <w:t xml:space="preserve">ADR-003</w:t>
            </w:r>
          </w:p>
        </w:tc>
        <w:tc>
          <w:tcPr>
            <w:tcW w:w="0" w:type="auto"/>
          </w:tcPr>
          <w:p>
            <w:pPr>
              <w:spacing w:after="0" w:line="240" w:lineRule="auto"/>
            </w:pPr>
            <w:r>
              <w:rPr>
                <w:rFonts w:ascii="Consolas" w:hAnsi="Consolas" w:cs="Consolas"/>
                <w:noProof/>
                <w:sz w:val="20"/>
                <w:szCs w:val="20"/>
                <w:shd w:val="clear" w:color="auto" w:fill="EFEFEF"/>
              </w:rPr>
              <w:t xml:space="preserve">Dokumentation/aktuell/ADR-003_IFC_xBIM_ohne_Geometriekernel.md</w:t>
            </w:r>
          </w:p>
        </w:tc>
        <w:tc>
          <w:tcPr>
            <w:tcW w:w="0" w:type="auto"/>
          </w:tcPr>
          <w:p>
            <w:pPr>
              <w:spacing w:after="0" w:line="240" w:lineRule="auto"/>
            </w:pPr>
            <w:r>
              <w:t xml:space="preserve">xBIM als unverändertes NuGet-Paket, allein das Speichermodell, kein Geometriekernel; Konsequenz und Aufgabe 6 tragen den Gebäudebetrachter nach E11, die offenen Fragen D6, D11 und D7</w:t>
            </w:r>
          </w:p>
        </w:tc>
        <w:tc>
          <w:tcPr>
            <w:tcW w:w="0" w:type="auto"/>
          </w:tcPr>
          <w:p>
            <w:pPr>
              <w:spacing w:after="0" w:line="240" w:lineRule="auto"/>
            </w:pPr>
            <w:r>
              <w:rPr>
                <w:b/>
              </w:rPr>
              <w:t xml:space="preserve">angenommen</w:t>
            </w:r>
          </w:p>
        </w:tc>
      </w:tr>
      <w:tr>
        <w:tc>
          <w:tcPr>
            <w:tcW w:w="0" w:type="auto"/>
          </w:tcPr>
          <w:p>
            <w:pPr>
              <w:spacing w:after="0" w:line="240" w:lineRule="auto"/>
            </w:pPr>
            <w:r>
              <w:t xml:space="preserve">ADR-004</w:t>
            </w:r>
          </w:p>
        </w:tc>
        <w:tc>
          <w:tcPr>
            <w:tcW w:w="0" w:type="auto"/>
          </w:tcPr>
          <w:p>
            <w:pPr>
              <w:spacing w:after="0" w:line="240" w:lineRule="auto"/>
            </w:pPr>
            <w:r>
              <w:rPr>
                <w:rFonts w:ascii="Consolas" w:hAnsi="Consolas" w:cs="Consolas"/>
                <w:noProof/>
                <w:sz w:val="20"/>
                <w:szCs w:val="20"/>
                <w:shd w:val="clear" w:color="auto" w:fill="EFEFEF"/>
              </w:rPr>
              <w:t xml:space="preserve">Dokumentation/aktuell/ADR-004_gbXML_LINQ_to_XML.md</w:t>
            </w:r>
          </w:p>
        </w:tc>
        <w:tc>
          <w:tcPr>
            <w:tcW w:w="0" w:type="auto"/>
          </w:tcPr>
          <w:p>
            <w:pPr>
              <w:spacing w:after="0" w:line="240" w:lineRule="auto"/>
            </w:pPr>
            <w:r>
              <w:t xml:space="preserve">gbXML mit LINQ to XML statt Serialisierer, Version 6.01; Option B mit Import 17–28 PT, Export 9–14 PT und Stufe 2 7–12 PT, offene Fragen D1, D2, D16 und D3</w:t>
            </w:r>
          </w:p>
        </w:tc>
        <w:tc>
          <w:tcPr>
            <w:tcW w:w="0" w:type="auto"/>
          </w:tcPr>
          <w:p>
            <w:pPr>
              <w:spacing w:after="0" w:line="240" w:lineRule="auto"/>
            </w:pPr>
            <w:r>
              <w:rPr>
                <w:b/>
              </w:rPr>
              <w:t xml:space="preserve">angenommen</w:t>
            </w:r>
            <w:r>
              <w:t xml:space="preserve"> (16.09.2026, E16)</w:t>
            </w:r>
          </w:p>
        </w:tc>
      </w:tr>
      <w:tr>
        <w:tc>
          <w:tcPr>
            <w:tcW w:w="0" w:type="auto"/>
          </w:tcPr>
          <w:p>
            <w:pPr>
              <w:spacing w:after="0" w:line="240" w:lineRule="auto"/>
            </w:pPr>
            <w:r>
              <w:t xml:space="preserve">ADR-005</w:t>
            </w:r>
          </w:p>
        </w:tc>
        <w:tc>
          <w:tcPr>
            <w:tcW w:w="0" w:type="auto"/>
          </w:tcPr>
          <w:p>
            <w:pPr>
              <w:spacing w:after="0" w:line="240" w:lineRule="auto"/>
            </w:pPr>
            <w:r>
              <w:rPr>
                <w:rFonts w:ascii="Consolas" w:hAnsi="Consolas" w:cs="Consolas"/>
                <w:noProof/>
                <w:sz w:val="20"/>
                <w:szCs w:val="20"/>
                <w:shd w:val="clear" w:color="auto" w:fill="EFEFEF"/>
              </w:rPr>
              <w:t xml:space="preserve">Dokumentation/aktuell/ADR-005_Zonenkopplung_Mehrzonenmodell.md</w:t>
            </w:r>
          </w:p>
        </w:tc>
        <w:tc>
          <w:tcPr>
            <w:tcW w:w="0" w:type="auto"/>
          </w:tcPr>
          <w:p>
            <w:pPr>
              <w:spacing w:after="0" w:line="240" w:lineRule="auto"/>
            </w:pPr>
            <w:r>
              <w:t xml:space="preserve">Zonenkopplung über die Nachbarraum-Randbedingung, Gauß-Seidel je Stunde</w:t>
            </w:r>
          </w:p>
        </w:tc>
        <w:tc>
          <w:tcPr>
            <w:tcW w:w="0" w:type="auto"/>
          </w:tcPr>
          <w:p>
            <w:pPr>
              <w:spacing w:after="0" w:line="240" w:lineRule="auto"/>
            </w:pPr>
            <w:r>
              <w:rPr>
                <w:b/>
              </w:rPr>
              <w:t xml:space="preserve">angenommen</w:t>
            </w:r>
            <w:r>
              <w:t xml:space="preserve"> (16.09.2026, E17; M1 und M4 entschieden)</w:t>
            </w:r>
          </w:p>
        </w:tc>
      </w:tr>
      <w:tr>
        <w:tc>
          <w:tcPr>
            <w:tcW w:w="0" w:type="auto"/>
          </w:tcPr>
          <w:p>
            <w:pPr>
              <w:spacing w:after="0" w:line="240" w:lineRule="auto"/>
            </w:pPr>
            <w:r>
              <w:rPr>
                <w:b/>
              </w:rPr>
              <w:t xml:space="preserve">ADR-006</w:t>
            </w:r>
          </w:p>
        </w:tc>
        <w:tc>
          <w:tcPr>
            <w:tcW w:w="0" w:type="auto"/>
          </w:tcPr>
          <w:p>
            <w:pPr>
              <w:spacing w:after="0" w:line="240" w:lineRule="auto"/>
            </w:pPr>
            <w:r>
              <w:rPr>
                <w:rFonts w:ascii="Consolas" w:hAnsi="Consolas" w:cs="Consolas"/>
                <w:noProof/>
                <w:sz w:val="20"/>
                <w:szCs w:val="20"/>
                <w:shd w:val="clear" w:color="auto" w:fill="EFEFEF"/>
              </w:rPr>
              <w:t xml:space="preserve">Dokumentation/aktuell/ADR-006_Trennung_Altweg_VDI6007.md</w:t>
            </w:r>
          </w:p>
        </w:tc>
        <w:tc>
          <w:tcPr>
            <w:tcW w:w="0" w:type="auto"/>
          </w:tcPr>
          <w:p>
            <w:pPr>
              <w:spacing w:after="0" w:line="240" w:lineRule="auto"/>
            </w:pPr>
            <w:r>
              <w:t xml:space="preserve">Ablösung des Tagesbilanz-Wegs: modellfreier Vorbereitungsschritt und </w:t>
            </w:r>
            <w:r>
              <w:rPr>
                <w:b/>
              </w:rPr>
              <w:t xml:space="preserve">eine</w:t>
            </w:r>
            <w:r>
              <w:t xml:space="preserve"> Weiche am Eingang, getrennte Module </w:t>
            </w:r>
            <w:r>
              <w:rPr>
                <w:rFonts w:ascii="Consolas" w:hAnsi="Consolas" w:cs="Consolas"/>
                <w:noProof/>
                <w:sz w:val="20"/>
                <w:szCs w:val="20"/>
                <w:shd w:val="clear" w:color="auto" w:fill="EFEFEF"/>
              </w:rPr>
              <w:t xml:space="preserve">Altweg/</w:t>
            </w:r>
            <w:r>
              <w:t xml:space="preserve"> und </w:t>
            </w:r>
            <w:r>
              <w:rPr>
                <w:rFonts w:ascii="Consolas" w:hAnsi="Consolas" w:cs="Consolas"/>
                <w:noProof/>
                <w:sz w:val="20"/>
                <w:szCs w:val="20"/>
                <w:shd w:val="clear" w:color="auto" w:fill="EFEFEF"/>
              </w:rPr>
              <w:t xml:space="preserve">Gebaeude/</w:t>
            </w:r>
            <w:r>
              <w:t xml:space="preserve">, Dialoge in VDI-Struktur mit eingeklapptem Abschnitt „Tagesbilanz (Bestandsweg)"; A16 und U2 gegenstandslos, A15 „dauerhaft"; </w:t>
            </w:r>
            <w:r>
              <w:rPr>
                <w:b/>
              </w:rPr>
              <w:t xml:space="preserve">Ergänzungsvermerk zu E23</w:t>
            </w:r>
            <w:r>
              <w:t xml:space="preserve"> — Entscheidung 4 (Stufe GA) aufgehoben, der Altweg bleibt dauerhaft</w:t>
            </w:r>
          </w:p>
        </w:tc>
        <w:tc>
          <w:tcPr>
            <w:tcW w:w="0" w:type="auto"/>
          </w:tcPr>
          <w:p>
            <w:pPr>
              <w:spacing w:after="0" w:line="240" w:lineRule="auto"/>
            </w:pPr>
            <w:r>
              <w:rPr>
                <w:b/>
              </w:rPr>
              <w:t xml:space="preserve">angenommen</w:t>
            </w:r>
            <w:r>
              <w:t xml:space="preserve"> (16.09.2026, E20; Ergänzung E23)</w:t>
            </w:r>
          </w:p>
        </w:tc>
      </w:tr>
    </w:tbl>
    <w:p>
      <w:pPr>
        <w:spacing w:after="120"/>
      </w:pPr>
    </w:p>
    <w:p>
      <w:pPr>
        <w:pStyle w:val="Heading2"/>
      </w:pPr>
      <w:r>
        <w:t xml:space="preserve">13.3 Befunde der Prüfagenten</w:t>
      </w:r>
    </w:p>
    <w:p>
      <w:r>
        <w:t xml:space="preserve">Alle Befunde liegen unter </w:t>
      </w:r>
      <w:r>
        <w:rPr>
          <w:rFonts w:ascii="Consolas" w:hAnsi="Consolas" w:cs="Consolas"/>
          <w:noProof/>
          <w:sz w:val="20"/>
          <w:szCs w:val="20"/>
          <w:shd w:val="clear" w:color="auto" w:fill="EFEFEF"/>
        </w:rPr>
        <w:t xml:space="preserve">Dokumentation/aktuell/Gebaeudesimulation/</w:t>
      </w:r>
      <w:r>
        <w:t xml:space="preserve">, die Befunde A bis V mit dem Datumspräfix </w:t>
      </w:r>
      <w:r>
        <w:rPr>
          <w:rFonts w:ascii="Consolas" w:hAnsi="Consolas" w:cs="Consolas"/>
          <w:noProof/>
          <w:sz w:val="20"/>
          <w:szCs w:val="20"/>
          <w:shd w:val="clear" w:color="auto" w:fill="EFEFEF"/>
        </w:rPr>
        <w:t xml:space="preserve">2026-09-15_</w:t>
      </w:r>
      <w:r>
        <w:t xml:space="preserve">, der Befund W mit </w:t>
      </w:r>
      <w:r>
        <w:rPr>
          <w:rFonts w:ascii="Consolas" w:hAnsi="Consolas" w:cs="Consolas"/>
          <w:noProof/>
          <w:sz w:val="20"/>
          <w:szCs w:val="20"/>
          <w:shd w:val="clear" w:color="auto" w:fill="EFEFEF"/>
        </w:rPr>
        <w:t xml:space="preserve">2026-09-16_</w:t>
      </w:r>
      <w:r>
        <w:t xml:space="preserve">. Sie bleiben Belegquelle in </w:t>
      </w:r>
      <w:r>
        <w:rPr>
          <w:rFonts w:ascii="Consolas" w:hAnsi="Consolas" w:cs="Consolas"/>
          <w:noProof/>
          <w:sz w:val="20"/>
          <w:szCs w:val="20"/>
          <w:shd w:val="clear" w:color="auto" w:fill="EFEFEF"/>
        </w:rPr>
        <w:t xml:space="preserve">aktuell/</w:t>
      </w:r>
      <w:r>
        <w:t xml:space="preserve">, solange die Konzept- und Architekturpapiere gelten.</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Befund</w:t>
            </w:r>
          </w:p>
        </w:tc>
        <w:tc>
          <w:tcPr>
            <w:tcW w:w="0" w:type="auto"/>
            <w:shd w:val="clear" w:color="auto" w:fill="D9D9D9"/>
          </w:tcPr>
          <w:p>
            <w:pPr>
              <w:spacing w:after="0" w:line="240" w:lineRule="auto"/>
              <w:rPr>
                <w:b/>
              </w:rPr>
            </w:pPr>
            <w:r>
              <w:rPr>
                <w:b/>
              </w:rPr>
              <w:t xml:space="preserve">Datei</w:t>
            </w:r>
          </w:p>
        </w:tc>
        <w:tc>
          <w:tcPr>
            <w:tcW w:w="0" w:type="auto"/>
            <w:shd w:val="clear" w:color="auto" w:fill="D9D9D9"/>
          </w:tcPr>
          <w:p>
            <w:pPr>
              <w:spacing w:after="0" w:line="240" w:lineRule="auto"/>
              <w:rPr>
                <w:b/>
              </w:rPr>
            </w:pPr>
            <w:r>
              <w:rPr>
                <w:b/>
              </w:rPr>
              <w:t xml:space="preserve">Inhalt in einem Satz</w:t>
            </w:r>
          </w:p>
        </w:tc>
      </w:tr>
      <w:tr>
        <w:tc>
          <w:tcPr>
            <w:tcW w:w="0" w:type="auto"/>
          </w:tcPr>
          <w:p>
            <w:pPr>
              <w:spacing w:after="0" w:line="240" w:lineRule="auto"/>
            </w:pPr>
            <w:r>
              <w:rPr>
                <w:b/>
              </w:rPr>
              <w:t xml:space="preserve">A</w:t>
            </w:r>
          </w:p>
        </w:tc>
        <w:tc>
          <w:tcPr>
            <w:tcW w:w="0" w:type="auto"/>
          </w:tcPr>
          <w:p>
            <w:pPr>
              <w:spacing w:after="0" w:line="240" w:lineRule="auto"/>
            </w:pPr>
            <w:r>
              <w:rPr>
                <w:rFonts w:ascii="Consolas" w:hAnsi="Consolas" w:cs="Consolas"/>
                <w:noProof/>
                <w:sz w:val="20"/>
                <w:szCs w:val="20"/>
                <w:shd w:val="clear" w:color="auto" w:fill="EFEFEF"/>
              </w:rPr>
              <w:t xml:space="preserve">2026-09-15_Befund_A_Material_VDI6007.md</w:t>
            </w:r>
          </w:p>
        </w:tc>
        <w:tc>
          <w:tcPr>
            <w:tcW w:w="0" w:type="auto"/>
          </w:tcPr>
          <w:p>
            <w:pPr>
              <w:spacing w:after="0" w:line="240" w:lineRule="auto"/>
            </w:pPr>
            <w:r>
              <w:t xml:space="preserve">das Material auf dem Netzlaufwerk: Inhalt, Strukturfehler, Lizenz, was übernehmbar ist</w:t>
            </w:r>
          </w:p>
        </w:tc>
      </w:tr>
      <w:tr>
        <w:tc>
          <w:tcPr>
            <w:tcW w:w="0" w:type="auto"/>
          </w:tcPr>
          <w:p>
            <w:pPr>
              <w:spacing w:after="0" w:line="240" w:lineRule="auto"/>
            </w:pPr>
            <w:r>
              <w:rPr>
                <w:b/>
              </w:rPr>
              <w:t xml:space="preserve">B</w:t>
            </w:r>
          </w:p>
        </w:tc>
        <w:tc>
          <w:tcPr>
            <w:tcW w:w="0" w:type="auto"/>
          </w:tcPr>
          <w:p>
            <w:pPr>
              <w:spacing w:after="0" w:line="240" w:lineRule="auto"/>
            </w:pPr>
            <w:r>
              <w:rPr>
                <w:rFonts w:ascii="Consolas" w:hAnsi="Consolas" w:cs="Consolas"/>
                <w:noProof/>
                <w:sz w:val="20"/>
                <w:szCs w:val="20"/>
                <w:shd w:val="clear" w:color="auto" w:fill="EFEFEF"/>
              </w:rPr>
              <w:t xml:space="preserve">2026-09-15_Befund_B_Rechenweg_Kern.md</w:t>
            </w:r>
          </w:p>
        </w:tc>
        <w:tc>
          <w:tcPr>
            <w:tcW w:w="0" w:type="auto"/>
          </w:tcPr>
          <w:p>
            <w:pPr>
              <w:spacing w:after="0" w:line="240" w:lineRule="auto"/>
            </w:pPr>
            <w:r>
              <w:t xml:space="preserve">der Rechenweg des Bestands, sein Datenmodell und seine Andockpunkte</w:t>
            </w:r>
          </w:p>
        </w:tc>
      </w:tr>
      <w:tr>
        <w:tc>
          <w:tcPr>
            <w:tcW w:w="0" w:type="auto"/>
          </w:tcPr>
          <w:p>
            <w:pPr>
              <w:spacing w:after="0" w:line="240" w:lineRule="auto"/>
            </w:pPr>
            <w:r>
              <w:rPr>
                <w:b/>
              </w:rPr>
              <w:t xml:space="preserve">C</w:t>
            </w:r>
          </w:p>
        </w:tc>
        <w:tc>
          <w:tcPr>
            <w:tcW w:w="0" w:type="auto"/>
          </w:tcPr>
          <w:p>
            <w:pPr>
              <w:spacing w:after="0" w:line="240" w:lineRule="auto"/>
            </w:pPr>
            <w:r>
              <w:rPr>
                <w:rFonts w:ascii="Consolas" w:hAnsi="Consolas" w:cs="Consolas"/>
                <w:noProof/>
                <w:sz w:val="20"/>
                <w:szCs w:val="20"/>
                <w:shd w:val="clear" w:color="auto" w:fill="EFEFEF"/>
              </w:rPr>
              <w:t xml:space="preserve">2026-09-15_Befund_C_IFC-Recherche.md</w:t>
            </w:r>
          </w:p>
        </w:tc>
        <w:tc>
          <w:tcPr>
            <w:tcW w:w="0" w:type="auto"/>
          </w:tcPr>
          <w:p>
            <w:pPr>
              <w:spacing w:after="0" w:line="240" w:lineRule="auto"/>
            </w:pPr>
            <w:r>
              <w:t xml:space="preserve">IFC-Bibliotheken, Autorensysteme, Praxisrelevanz und Grenzen</w:t>
            </w:r>
          </w:p>
        </w:tc>
      </w:tr>
      <w:tr>
        <w:tc>
          <w:tcPr>
            <w:tcW w:w="0" w:type="auto"/>
          </w:tcPr>
          <w:p>
            <w:pPr>
              <w:spacing w:after="0" w:line="240" w:lineRule="auto"/>
            </w:pPr>
            <w:r>
              <w:rPr>
                <w:b/>
              </w:rPr>
              <w:t xml:space="preserve">D</w:t>
            </w:r>
          </w:p>
        </w:tc>
        <w:tc>
          <w:tcPr>
            <w:tcW w:w="0" w:type="auto"/>
          </w:tcPr>
          <w:p>
            <w:pPr>
              <w:spacing w:after="0" w:line="240" w:lineRule="auto"/>
            </w:pPr>
            <w:r>
              <w:rPr>
                <w:rFonts w:ascii="Consolas" w:hAnsi="Consolas" w:cs="Consolas"/>
                <w:noProof/>
                <w:sz w:val="20"/>
                <w:szCs w:val="20"/>
                <w:shd w:val="clear" w:color="auto" w:fill="EFEFEF"/>
              </w:rPr>
              <w:t xml:space="preserve">2026-09-15_Befund_D_Testdatenbank.md</w:t>
            </w:r>
          </w:p>
        </w:tc>
        <w:tc>
          <w:tcPr>
            <w:tcW w:w="0" w:type="auto"/>
          </w:tcPr>
          <w:p>
            <w:pPr>
              <w:spacing w:after="0" w:line="240" w:lineRule="auto"/>
            </w:pPr>
            <w:r>
              <w:t xml:space="preserve">Umfang, Vollständigkeit, Einheiten und Datenfehler der Testdatenbank</w:t>
            </w:r>
          </w:p>
        </w:tc>
      </w:tr>
      <w:tr>
        <w:tc>
          <w:tcPr>
            <w:tcW w:w="0" w:type="auto"/>
          </w:tcPr>
          <w:p>
            <w:pPr>
              <w:spacing w:after="0" w:line="240" w:lineRule="auto"/>
            </w:pPr>
            <w:r>
              <w:rPr>
                <w:b/>
              </w:rPr>
              <w:t xml:space="preserve">E</w:t>
            </w:r>
          </w:p>
        </w:tc>
        <w:tc>
          <w:tcPr>
            <w:tcW w:w="0" w:type="auto"/>
          </w:tcPr>
          <w:p>
            <w:pPr>
              <w:spacing w:after="0" w:line="240" w:lineRule="auto"/>
            </w:pPr>
            <w:r>
              <w:rPr>
                <w:rFonts w:ascii="Consolas" w:hAnsi="Consolas" w:cs="Consolas"/>
                <w:noProof/>
                <w:sz w:val="20"/>
                <w:szCs w:val="20"/>
                <w:shd w:val="clear" w:color="auto" w:fill="EFEFEF"/>
              </w:rPr>
              <w:t xml:space="preserve">2026-09-15_Befund_E_Prototyp_Normtestfaelle.md</w:t>
            </w:r>
          </w:p>
        </w:tc>
        <w:tc>
          <w:tcPr>
            <w:tcW w:w="0" w:type="auto"/>
          </w:tcPr>
          <w:p>
            <w:pPr>
              <w:spacing w:after="0" w:line="240" w:lineRule="auto"/>
            </w:pPr>
            <w:r>
              <w:t xml:space="preserve">der Prototyp gegen die zwölf Normtestfälle</w:t>
            </w:r>
          </w:p>
        </w:tc>
      </w:tr>
      <w:tr>
        <w:tc>
          <w:tcPr>
            <w:tcW w:w="0" w:type="auto"/>
          </w:tcPr>
          <w:p>
            <w:pPr>
              <w:spacing w:after="0" w:line="240" w:lineRule="auto"/>
            </w:pPr>
            <w:r>
              <w:rPr>
                <w:b/>
              </w:rPr>
              <w:t xml:space="preserve">F</w:t>
            </w:r>
          </w:p>
        </w:tc>
        <w:tc>
          <w:tcPr>
            <w:tcW w:w="0" w:type="auto"/>
          </w:tcPr>
          <w:p>
            <w:pPr>
              <w:spacing w:after="0" w:line="240" w:lineRule="auto"/>
            </w:pPr>
            <w:r>
              <w:rPr>
                <w:rFonts w:ascii="Consolas" w:hAnsi="Consolas" w:cs="Consolas"/>
                <w:noProof/>
                <w:sz w:val="20"/>
                <w:szCs w:val="20"/>
                <w:shd w:val="clear" w:color="auto" w:fill="EFEFEF"/>
              </w:rPr>
              <w:t xml:space="preserve">2026-09-15_Befund_F_Prototyp_Vergleich_Tagesmodell.md</w:t>
            </w:r>
          </w:p>
        </w:tc>
        <w:tc>
          <w:tcPr>
            <w:tcW w:w="0" w:type="auto"/>
          </w:tcPr>
          <w:p>
            <w:pPr>
              <w:spacing w:after="0" w:line="240" w:lineRule="auto"/>
            </w:pPr>
            <w:r>
              <w:t xml:space="preserve">Prototyp gegen das Tagesmodell je Projekt und Gebäude</w:t>
            </w:r>
          </w:p>
        </w:tc>
      </w:tr>
      <w:tr>
        <w:tc>
          <w:tcPr>
            <w:tcW w:w="0" w:type="auto"/>
          </w:tcPr>
          <w:p>
            <w:pPr>
              <w:spacing w:after="0" w:line="240" w:lineRule="auto"/>
            </w:pPr>
            <w:r>
              <w:rPr>
                <w:b/>
              </w:rPr>
              <w:t xml:space="preserve">G</w:t>
            </w:r>
          </w:p>
        </w:tc>
        <w:tc>
          <w:tcPr>
            <w:tcW w:w="0" w:type="auto"/>
          </w:tcPr>
          <w:p>
            <w:pPr>
              <w:spacing w:after="0" w:line="240" w:lineRule="auto"/>
            </w:pPr>
            <w:r>
              <w:rPr>
                <w:rFonts w:ascii="Consolas" w:hAnsi="Consolas" w:cs="Consolas"/>
                <w:noProof/>
                <w:sz w:val="20"/>
                <w:szCs w:val="20"/>
                <w:shd w:val="clear" w:color="auto" w:fill="EFEFEF"/>
              </w:rPr>
              <w:t xml:space="preserve">2026-09-15_Befund_G_Kritik_Widersprueche.md</w:t>
            </w:r>
          </w:p>
        </w:tc>
        <w:tc>
          <w:tcPr>
            <w:tcW w:w="0" w:type="auto"/>
          </w:tcPr>
          <w:p>
            <w:pPr>
              <w:spacing w:after="0" w:line="240" w:lineRule="auto"/>
            </w:pPr>
            <w:r>
              <w:t xml:space="preserve">Kritik und Widersprüche im Bestand</w:t>
            </w:r>
          </w:p>
        </w:tc>
      </w:tr>
      <w:tr>
        <w:tc>
          <w:tcPr>
            <w:tcW w:w="0" w:type="auto"/>
          </w:tcPr>
          <w:p>
            <w:pPr>
              <w:spacing w:after="0" w:line="240" w:lineRule="auto"/>
            </w:pPr>
            <w:r>
              <w:rPr>
                <w:b/>
              </w:rPr>
              <w:t xml:space="preserve">H</w:t>
            </w:r>
          </w:p>
        </w:tc>
        <w:tc>
          <w:tcPr>
            <w:tcW w:w="0" w:type="auto"/>
          </w:tcPr>
          <w:p>
            <w:pPr>
              <w:spacing w:after="0" w:line="240" w:lineRule="auto"/>
            </w:pPr>
            <w:r>
              <w:rPr>
                <w:rFonts w:ascii="Consolas" w:hAnsi="Consolas" w:cs="Consolas"/>
                <w:noProof/>
                <w:sz w:val="20"/>
                <w:szCs w:val="20"/>
                <w:shd w:val="clear" w:color="auto" w:fill="EFEFEF"/>
              </w:rPr>
              <w:t xml:space="preserve">2026-09-15_Befund_H_OstWest_Rechenzeit.md</w:t>
            </w:r>
          </w:p>
        </w:tc>
        <w:tc>
          <w:tcPr>
            <w:tcW w:w="0" w:type="auto"/>
          </w:tcPr>
          <w:p>
            <w:pPr>
              <w:spacing w:after="0" w:line="240" w:lineRule="auto"/>
            </w:pPr>
            <w:r>
              <w:t xml:space="preserve">Ost-West-Trennung und gemessene Rechenzeit</w:t>
            </w:r>
          </w:p>
        </w:tc>
      </w:tr>
      <w:tr>
        <w:tc>
          <w:tcPr>
            <w:tcW w:w="0" w:type="auto"/>
          </w:tcPr>
          <w:p>
            <w:pPr>
              <w:spacing w:after="0" w:line="240" w:lineRule="auto"/>
            </w:pPr>
            <w:r>
              <w:rPr>
                <w:b/>
              </w:rPr>
              <w:t xml:space="preserve">I</w:t>
            </w:r>
          </w:p>
        </w:tc>
        <w:tc>
          <w:tcPr>
            <w:tcW w:w="0" w:type="auto"/>
          </w:tcPr>
          <w:p>
            <w:pPr>
              <w:spacing w:after="0" w:line="240" w:lineRule="auto"/>
            </w:pPr>
            <w:r>
              <w:rPr>
                <w:rFonts w:ascii="Consolas" w:hAnsi="Consolas" w:cs="Consolas"/>
                <w:noProof/>
                <w:sz w:val="20"/>
                <w:szCs w:val="20"/>
                <w:shd w:val="clear" w:color="auto" w:fill="EFEFEF"/>
              </w:rPr>
              <w:t xml:space="preserve">2026-09-15_Befund_I_VDI6007_Richtlinie_Abgleich.md</w:t>
            </w:r>
          </w:p>
        </w:tc>
        <w:tc>
          <w:tcPr>
            <w:tcW w:w="0" w:type="auto"/>
          </w:tcPr>
          <w:p>
            <w:pPr>
              <w:spacing w:after="0" w:line="240" w:lineRule="auto"/>
            </w:pPr>
            <w:r>
              <w:t xml:space="preserve">Abgleich des Rechenwegs gegen die Richtlinie Blatt 1 bis 3</w:t>
            </w:r>
          </w:p>
        </w:tc>
      </w:tr>
      <w:tr>
        <w:tc>
          <w:tcPr>
            <w:tcW w:w="0" w:type="auto"/>
          </w:tcPr>
          <w:p>
            <w:pPr>
              <w:spacing w:after="0" w:line="240" w:lineRule="auto"/>
            </w:pPr>
            <w:r>
              <w:rPr>
                <w:b/>
              </w:rPr>
              <w:t xml:space="preserve">J</w:t>
            </w:r>
          </w:p>
        </w:tc>
        <w:tc>
          <w:tcPr>
            <w:tcW w:w="0" w:type="auto"/>
          </w:tcPr>
          <w:p>
            <w:pPr>
              <w:spacing w:after="0" w:line="240" w:lineRule="auto"/>
            </w:pPr>
            <w:r>
              <w:rPr>
                <w:rFonts w:ascii="Consolas" w:hAnsi="Consolas" w:cs="Consolas"/>
                <w:noProof/>
                <w:sz w:val="20"/>
                <w:szCs w:val="20"/>
                <w:shd w:val="clear" w:color="auto" w:fill="EFEFEF"/>
              </w:rPr>
              <w:t xml:space="preserve">2026-09-15_Befund_J_Normband_Validierung.md</w:t>
            </w:r>
          </w:p>
        </w:tc>
        <w:tc>
          <w:tcPr>
            <w:tcW w:w="0" w:type="auto"/>
          </w:tcPr>
          <w:p>
            <w:pPr>
              <w:spacing w:after="0" w:line="240" w:lineRule="auto"/>
            </w:pPr>
            <w:r>
              <w:t xml:space="preserve">Normband-Validierung aller zwölf Testfälle, 6 192 gelesene Zellen</w:t>
            </w:r>
          </w:p>
        </w:tc>
      </w:tr>
      <w:tr>
        <w:tc>
          <w:tcPr>
            <w:tcW w:w="0" w:type="auto"/>
          </w:tcPr>
          <w:p>
            <w:pPr>
              <w:spacing w:after="0" w:line="240" w:lineRule="auto"/>
            </w:pPr>
            <w:r>
              <w:rPr>
                <w:b/>
              </w:rPr>
              <w:t xml:space="preserve">K</w:t>
            </w:r>
          </w:p>
        </w:tc>
        <w:tc>
          <w:tcPr>
            <w:tcW w:w="0" w:type="auto"/>
          </w:tcPr>
          <w:p>
            <w:pPr>
              <w:spacing w:after="0" w:line="240" w:lineRule="auto"/>
            </w:pPr>
            <w:r>
              <w:rPr>
                <w:rFonts w:ascii="Consolas" w:hAnsi="Consolas" w:cs="Consolas"/>
                <w:noProof/>
                <w:sz w:val="20"/>
                <w:szCs w:val="20"/>
                <w:shd w:val="clear" w:color="auto" w:fill="EFEFEF"/>
              </w:rPr>
              <w:t xml:space="preserve">2026-09-15_Befund_K_VDI6020_VDI2078_Abgleich.md</w:t>
            </w:r>
          </w:p>
        </w:tc>
        <w:tc>
          <w:tcPr>
            <w:tcW w:w="0" w:type="auto"/>
          </w:tcPr>
          <w:p>
            <w:pPr>
              <w:spacing w:after="0" w:line="240" w:lineRule="auto"/>
            </w:pPr>
            <w:r>
              <w:t xml:space="preserve">Abgleich gegen die beiden Nachbarrichtlinien</w:t>
            </w:r>
          </w:p>
        </w:tc>
      </w:tr>
      <w:tr>
        <w:tc>
          <w:tcPr>
            <w:tcW w:w="0" w:type="auto"/>
          </w:tcPr>
          <w:p>
            <w:pPr>
              <w:spacing w:after="0" w:line="240" w:lineRule="auto"/>
            </w:pPr>
            <w:r>
              <w:rPr>
                <w:b/>
              </w:rPr>
              <w:t xml:space="preserve">L</w:t>
            </w:r>
          </w:p>
        </w:tc>
        <w:tc>
          <w:tcPr>
            <w:tcW w:w="0" w:type="auto"/>
          </w:tcPr>
          <w:p>
            <w:pPr>
              <w:spacing w:after="0" w:line="240" w:lineRule="auto"/>
            </w:pPr>
            <w:r>
              <w:rPr>
                <w:rFonts w:ascii="Consolas" w:hAnsi="Consolas" w:cs="Consolas"/>
                <w:noProof/>
                <w:sz w:val="20"/>
                <w:szCs w:val="20"/>
                <w:shd w:val="clear" w:color="auto" w:fill="EFEFEF"/>
              </w:rPr>
              <w:t xml:space="preserve">2026-09-15_Befund_L_Einbindung_Kern.md</w:t>
            </w:r>
          </w:p>
        </w:tc>
        <w:tc>
          <w:tcPr>
            <w:tcW w:w="0" w:type="auto"/>
          </w:tcPr>
          <w:p>
            <w:pPr>
              <w:spacing w:after="0" w:line="240" w:lineRule="auto"/>
            </w:pPr>
            <w:r>
              <w:t xml:space="preserve">die eine Naht, die zwei Aufrufer, die zwei Verzweigungspunkte — </w:t>
            </w:r>
            <w:r>
              <w:rPr>
                <w:b/>
              </w:rPr>
              <w:t xml:space="preserve">mit E20 zu einer Weiche am Eingang zusammengezogen</w:t>
            </w:r>
            <w:r>
              <w:t xml:space="preserve"> (Kapitel 6.1 und 9.5)</w:t>
            </w:r>
          </w:p>
        </w:tc>
      </w:tr>
      <w:tr>
        <w:tc>
          <w:tcPr>
            <w:tcW w:w="0" w:type="auto"/>
          </w:tcPr>
          <w:p>
            <w:pPr>
              <w:spacing w:after="0" w:line="240" w:lineRule="auto"/>
            </w:pPr>
            <w:r>
              <w:rPr>
                <w:b/>
              </w:rPr>
              <w:t xml:space="preserve">M</w:t>
            </w:r>
          </w:p>
        </w:tc>
        <w:tc>
          <w:tcPr>
            <w:tcW w:w="0" w:type="auto"/>
          </w:tcPr>
          <w:p>
            <w:pPr>
              <w:spacing w:after="0" w:line="240" w:lineRule="auto"/>
            </w:pPr>
            <w:r>
              <w:rPr>
                <w:rFonts w:ascii="Consolas" w:hAnsi="Consolas" w:cs="Consolas"/>
                <w:noProof/>
                <w:sz w:val="20"/>
                <w:szCs w:val="20"/>
                <w:shd w:val="clear" w:color="auto" w:fill="EFEFEF"/>
              </w:rPr>
              <w:t xml:space="preserve">2026-09-15_Befund_M_Gebaeudedialog.md</w:t>
            </w:r>
          </w:p>
        </w:tc>
        <w:tc>
          <w:tcPr>
            <w:tcW w:w="0" w:type="auto"/>
          </w:tcPr>
          <w:p>
            <w:pPr>
              <w:spacing w:after="0" w:line="240" w:lineRule="auto"/>
            </w:pPr>
            <w:r>
              <w:t xml:space="preserve">Feldbestand und Wortlaut der Gebäudemasken</w:t>
            </w:r>
          </w:p>
        </w:tc>
      </w:tr>
      <w:tr>
        <w:tc>
          <w:tcPr>
            <w:tcW w:w="0" w:type="auto"/>
          </w:tcPr>
          <w:p>
            <w:pPr>
              <w:spacing w:after="0" w:line="240" w:lineRule="auto"/>
            </w:pPr>
            <w:r>
              <w:rPr>
                <w:b/>
              </w:rPr>
              <w:t xml:space="preserve">N</w:t>
            </w:r>
          </w:p>
        </w:tc>
        <w:tc>
          <w:tcPr>
            <w:tcW w:w="0" w:type="auto"/>
          </w:tcPr>
          <w:p>
            <w:pPr>
              <w:spacing w:after="0" w:line="240" w:lineRule="auto"/>
            </w:pPr>
            <w:r>
              <w:rPr>
                <w:rFonts w:ascii="Consolas" w:hAnsi="Consolas" w:cs="Consolas"/>
                <w:noProof/>
                <w:sz w:val="20"/>
                <w:szCs w:val="20"/>
                <w:shd w:val="clear" w:color="auto" w:fill="EFEFEF"/>
              </w:rPr>
              <w:t xml:space="preserve">2026-09-15_Befund_N_IFC-Import_Entwurf.md</w:t>
            </w:r>
          </w:p>
        </w:tc>
        <w:tc>
          <w:tcPr>
            <w:tcW w:w="0" w:type="auto"/>
          </w:tcPr>
          <w:p>
            <w:pPr>
              <w:spacing w:after="0" w:line="240" w:lineRule="auto"/>
            </w:pPr>
            <w:r>
              <w:t xml:space="preserve">Entwurf des IFC-Importwegs, Paketzuschnitt, Speicherbedarf</w:t>
            </w:r>
          </w:p>
        </w:tc>
      </w:tr>
      <w:tr>
        <w:tc>
          <w:tcPr>
            <w:tcW w:w="0" w:type="auto"/>
          </w:tcPr>
          <w:p>
            <w:pPr>
              <w:spacing w:after="0" w:line="240" w:lineRule="auto"/>
            </w:pPr>
            <w:r>
              <w:rPr>
                <w:b/>
              </w:rPr>
              <w:t xml:space="preserve">O</w:t>
            </w:r>
          </w:p>
        </w:tc>
        <w:tc>
          <w:tcPr>
            <w:tcW w:w="0" w:type="auto"/>
          </w:tcPr>
          <w:p>
            <w:pPr>
              <w:spacing w:after="0" w:line="240" w:lineRule="auto"/>
            </w:pPr>
            <w:r>
              <w:rPr>
                <w:rFonts w:ascii="Consolas" w:hAnsi="Consolas" w:cs="Consolas"/>
                <w:noProof/>
                <w:sz w:val="20"/>
                <w:szCs w:val="20"/>
                <w:shd w:val="clear" w:color="auto" w:fill="EFEFEF"/>
              </w:rPr>
              <w:t xml:space="preserve">2026-09-15_Befund_O_Zonenkopplung_VDI6007.md</w:t>
            </w:r>
          </w:p>
        </w:tc>
        <w:tc>
          <w:tcPr>
            <w:tcW w:w="0" w:type="auto"/>
          </w:tcPr>
          <w:p>
            <w:pPr>
              <w:spacing w:after="0" w:line="240" w:lineRule="auto"/>
            </w:pPr>
            <w:r>
              <w:t xml:space="preserve">was die Richtlinie zur Zonenkopplung sagt und was nicht</w:t>
            </w:r>
          </w:p>
        </w:tc>
      </w:tr>
      <w:tr>
        <w:tc>
          <w:tcPr>
            <w:tcW w:w="0" w:type="auto"/>
          </w:tcPr>
          <w:p>
            <w:pPr>
              <w:spacing w:after="0" w:line="240" w:lineRule="auto"/>
            </w:pPr>
            <w:r>
              <w:rPr>
                <w:b/>
              </w:rPr>
              <w:t xml:space="preserve">P</w:t>
            </w:r>
          </w:p>
        </w:tc>
        <w:tc>
          <w:tcPr>
            <w:tcW w:w="0" w:type="auto"/>
          </w:tcPr>
          <w:p>
            <w:pPr>
              <w:spacing w:after="0" w:line="240" w:lineRule="auto"/>
            </w:pPr>
            <w:r>
              <w:rPr>
                <w:rFonts w:ascii="Consolas" w:hAnsi="Consolas" w:cs="Consolas"/>
                <w:noProof/>
                <w:sz w:val="20"/>
                <w:szCs w:val="20"/>
                <w:shd w:val="clear" w:color="auto" w:fill="EFEFEF"/>
              </w:rPr>
              <w:t xml:space="preserve">2026-09-15_Befund_P_IFC_Zonen_Materialien.md</w:t>
            </w:r>
          </w:p>
        </w:tc>
        <w:tc>
          <w:tcPr>
            <w:tcW w:w="0" w:type="auto"/>
          </w:tcPr>
          <w:p>
            <w:pPr>
              <w:spacing w:after="0" w:line="240" w:lineRule="auto"/>
            </w:pPr>
            <w:r>
              <w:t xml:space="preserve">Messung von vier IFC-Dateien auf Zonen, Grenzflächen und Stoffwerte</w:t>
            </w:r>
          </w:p>
        </w:tc>
      </w:tr>
      <w:tr>
        <w:tc>
          <w:tcPr>
            <w:tcW w:w="0" w:type="auto"/>
          </w:tcPr>
          <w:p>
            <w:pPr>
              <w:spacing w:after="0" w:line="240" w:lineRule="auto"/>
            </w:pPr>
            <w:r>
              <w:rPr>
                <w:b/>
              </w:rPr>
              <w:t xml:space="preserve">Q</w:t>
            </w:r>
          </w:p>
        </w:tc>
        <w:tc>
          <w:tcPr>
            <w:tcW w:w="0" w:type="auto"/>
          </w:tcPr>
          <w:p>
            <w:pPr>
              <w:spacing w:after="0" w:line="240" w:lineRule="auto"/>
            </w:pPr>
            <w:r>
              <w:rPr>
                <w:rFonts w:ascii="Consolas" w:hAnsi="Consolas" w:cs="Consolas"/>
                <w:noProof/>
                <w:sz w:val="20"/>
                <w:szCs w:val="20"/>
                <w:shd w:val="clear" w:color="auto" w:fill="EFEFEF"/>
              </w:rPr>
              <w:t xml:space="preserve">2026-09-15_Befund_Q_Muster_Datenmodell_Dialoge.md</w:t>
            </w:r>
          </w:p>
        </w:tc>
        <w:tc>
          <w:tcPr>
            <w:tcW w:w="0" w:type="auto"/>
          </w:tcPr>
          <w:p>
            <w:pPr>
              <w:spacing w:after="0" w:line="240" w:lineRule="auto"/>
            </w:pPr>
            <w:r>
              <w:t xml:space="preserve">Hausmuster für Datenmodell und Dialoge, Aufwandsschätzung</w:t>
            </w:r>
          </w:p>
        </w:tc>
      </w:tr>
      <w:tr>
        <w:tc>
          <w:tcPr>
            <w:tcW w:w="0" w:type="auto"/>
          </w:tcPr>
          <w:p>
            <w:pPr>
              <w:spacing w:after="0" w:line="240" w:lineRule="auto"/>
            </w:pPr>
            <w:r>
              <w:rPr>
                <w:b/>
              </w:rPr>
              <w:t xml:space="preserve">R</w:t>
            </w:r>
          </w:p>
        </w:tc>
        <w:tc>
          <w:tcPr>
            <w:tcW w:w="0" w:type="auto"/>
          </w:tcPr>
          <w:p>
            <w:pPr>
              <w:spacing w:after="0" w:line="240" w:lineRule="auto"/>
            </w:pPr>
            <w:r>
              <w:rPr>
                <w:rFonts w:ascii="Consolas" w:hAnsi="Consolas" w:cs="Consolas"/>
                <w:noProof/>
                <w:sz w:val="20"/>
                <w:szCs w:val="20"/>
                <w:shd w:val="clear" w:color="auto" w:fill="EFEFEF"/>
              </w:rPr>
              <w:t xml:space="preserve">2026-09-15_Befund_R_gbXML_Schema_Werkzeuge.md</w:t>
            </w:r>
          </w:p>
        </w:tc>
        <w:tc>
          <w:tcPr>
            <w:tcW w:w="0" w:type="auto"/>
          </w:tcPr>
          <w:p>
            <w:pPr>
              <w:spacing w:after="0" w:line="240" w:lineRule="auto"/>
            </w:pPr>
            <w:r>
              <w:t xml:space="preserve">gbXML-Schema, Beispieldateien, .NET-Weg, Zielwerkzeuge</w:t>
            </w:r>
          </w:p>
        </w:tc>
      </w:tr>
      <w:tr>
        <w:tc>
          <w:tcPr>
            <w:tcW w:w="0" w:type="auto"/>
          </w:tcPr>
          <w:p>
            <w:pPr>
              <w:spacing w:after="0" w:line="240" w:lineRule="auto"/>
            </w:pPr>
            <w:r>
              <w:rPr>
                <w:b/>
              </w:rPr>
              <w:t xml:space="preserve">S</w:t>
            </w:r>
          </w:p>
        </w:tc>
        <w:tc>
          <w:tcPr>
            <w:tcW w:w="0" w:type="auto"/>
          </w:tcPr>
          <w:p>
            <w:pPr>
              <w:spacing w:after="0" w:line="240" w:lineRule="auto"/>
            </w:pPr>
            <w:r>
              <w:rPr>
                <w:rFonts w:ascii="Consolas" w:hAnsi="Consolas" w:cs="Consolas"/>
                <w:noProof/>
                <w:sz w:val="20"/>
                <w:szCs w:val="20"/>
                <w:shd w:val="clear" w:color="auto" w:fill="EFEFEF"/>
              </w:rPr>
              <w:t xml:space="preserve">2026-09-15_Befund_S_IFC-Export_ohne_Geometriekernel.md</w:t>
            </w:r>
          </w:p>
        </w:tc>
        <w:tc>
          <w:tcPr>
            <w:tcW w:w="0" w:type="auto"/>
          </w:tcPr>
          <w:p>
            <w:pPr>
              <w:spacing w:after="0" w:line="240" w:lineRule="auto"/>
            </w:pPr>
            <w:r>
              <w:t xml:space="preserve">was ein IFC-Export ohne Geometriekernel leisten kann</w:t>
            </w:r>
          </w:p>
        </w:tc>
      </w:tr>
      <w:tr>
        <w:tc>
          <w:tcPr>
            <w:tcW w:w="0" w:type="auto"/>
          </w:tcPr>
          <w:p>
            <w:pPr>
              <w:spacing w:after="0" w:line="240" w:lineRule="auto"/>
            </w:pPr>
            <w:r>
              <w:rPr>
                <w:b/>
              </w:rPr>
              <w:t xml:space="preserve">T</w:t>
            </w:r>
          </w:p>
        </w:tc>
        <w:tc>
          <w:tcPr>
            <w:tcW w:w="0" w:type="auto"/>
          </w:tcPr>
          <w:p>
            <w:pPr>
              <w:spacing w:after="0" w:line="240" w:lineRule="auto"/>
            </w:pPr>
            <w:r>
              <w:rPr>
                <w:rFonts w:ascii="Consolas" w:hAnsi="Consolas" w:cs="Consolas"/>
                <w:noProof/>
                <w:sz w:val="20"/>
                <w:szCs w:val="20"/>
                <w:shd w:val="clear" w:color="auto" w:fill="EFEFEF"/>
              </w:rPr>
              <w:t xml:space="preserve">2026-09-15_Befund_T_Softwarearchitektur_Bestand.md</w:t>
            </w:r>
          </w:p>
        </w:tc>
        <w:tc>
          <w:tcPr>
            <w:tcW w:w="0" w:type="auto"/>
          </w:tcPr>
          <w:p>
            <w:pPr>
              <w:spacing w:after="0" w:line="240" w:lineRule="auto"/>
            </w:pPr>
            <w:r>
              <w:t xml:space="preserve">Schichten, Nähte, Zustand, Rechenzeit und Fallen des Bestands</w:t>
            </w:r>
          </w:p>
        </w:tc>
      </w:tr>
      <w:tr>
        <w:tc>
          <w:tcPr>
            <w:tcW w:w="0" w:type="auto"/>
          </w:tcPr>
          <w:p>
            <w:pPr>
              <w:spacing w:after="0" w:line="240" w:lineRule="auto"/>
            </w:pPr>
            <w:r>
              <w:rPr>
                <w:b/>
              </w:rPr>
              <w:t xml:space="preserve">U</w:t>
            </w:r>
          </w:p>
        </w:tc>
        <w:tc>
          <w:tcPr>
            <w:tcW w:w="0" w:type="auto"/>
          </w:tcPr>
          <w:p>
            <w:pPr>
              <w:spacing w:after="0" w:line="240" w:lineRule="auto"/>
            </w:pPr>
            <w:r>
              <w:rPr>
                <w:rFonts w:ascii="Consolas" w:hAnsi="Consolas" w:cs="Consolas"/>
                <w:noProof/>
                <w:sz w:val="20"/>
                <w:szCs w:val="20"/>
                <w:shd w:val="clear" w:color="auto" w:fill="EFEFEF"/>
              </w:rPr>
              <w:t xml:space="preserve">2026-09-15_Befund_U_Dialogfuehrung_Bestand.md</w:t>
            </w:r>
          </w:p>
        </w:tc>
        <w:tc>
          <w:tcPr>
            <w:tcW w:w="0" w:type="auto"/>
          </w:tcPr>
          <w:p>
            <w:pPr>
              <w:spacing w:after="0" w:line="240" w:lineRule="auto"/>
            </w:pPr>
            <w:r>
              <w:t xml:space="preserve">Navigation, Masken, Schreibwege, iOS-Erreichbarkeit im Bestand</w:t>
            </w:r>
          </w:p>
        </w:tc>
      </w:tr>
      <w:tr>
        <w:tc>
          <w:tcPr>
            <w:tcW w:w="0" w:type="auto"/>
          </w:tcPr>
          <w:p>
            <w:pPr>
              <w:spacing w:after="0" w:line="240" w:lineRule="auto"/>
            </w:pPr>
            <w:r>
              <w:rPr>
                <w:b/>
              </w:rPr>
              <w:t xml:space="preserve">V</w:t>
            </w:r>
          </w:p>
        </w:tc>
        <w:tc>
          <w:tcPr>
            <w:tcW w:w="0" w:type="auto"/>
          </w:tcPr>
          <w:p>
            <w:pPr>
              <w:spacing w:after="0" w:line="240" w:lineRule="auto"/>
            </w:pPr>
            <w:r>
              <w:rPr>
                <w:rFonts w:ascii="Consolas" w:hAnsi="Consolas" w:cs="Consolas"/>
                <w:noProof/>
                <w:sz w:val="20"/>
                <w:szCs w:val="20"/>
                <w:shd w:val="clear" w:color="auto" w:fill="EFEFEF"/>
              </w:rPr>
              <w:t xml:space="preserve">2026-09-15_Befund_V_Datenmodell_Architektur.md</w:t>
            </w:r>
          </w:p>
        </w:tc>
        <w:tc>
          <w:tcPr>
            <w:tcW w:w="0" w:type="auto"/>
          </w:tcPr>
          <w:p>
            <w:pPr>
              <w:spacing w:after="0" w:line="240" w:lineRule="auto"/>
            </w:pPr>
            <w:r>
              <w:t xml:space="preserve">Bestandsdatenmodell, Widersprüche und Mengengerüst</w:t>
            </w:r>
          </w:p>
        </w:tc>
      </w:tr>
      <w:tr>
        <w:tc>
          <w:tcPr>
            <w:tcW w:w="0" w:type="auto"/>
          </w:tcPr>
          <w:p>
            <w:pPr>
              <w:spacing w:after="0" w:line="240" w:lineRule="auto"/>
            </w:pPr>
            <w:r>
              <w:rPr>
                <w:b/>
              </w:rPr>
              <w:t xml:space="preserve">W</w:t>
            </w:r>
          </w:p>
        </w:tc>
        <w:tc>
          <w:tcPr>
            <w:tcW w:w="0" w:type="auto"/>
          </w:tcPr>
          <w:p>
            <w:pPr>
              <w:spacing w:after="0" w:line="240" w:lineRule="auto"/>
            </w:pPr>
            <w:r>
              <w:rPr>
                <w:rFonts w:ascii="Consolas" w:hAnsi="Consolas" w:cs="Consolas"/>
                <w:noProof/>
                <w:sz w:val="20"/>
                <w:szCs w:val="20"/>
                <w:shd w:val="clear" w:color="auto" w:fill="EFEFEF"/>
              </w:rPr>
              <w:t xml:space="preserve">2026-09-16_Befund_W_Kuehlung_Bestand.md</w:t>
            </w:r>
          </w:p>
        </w:tc>
        <w:tc>
          <w:tcPr>
            <w:tcW w:w="0" w:type="auto"/>
          </w:tcPr>
          <w:p>
            <w:pPr>
              <w:spacing w:after="0" w:line="240" w:lineRule="auto"/>
            </w:pPr>
            <w:r>
              <w:t xml:space="preserve">was die Aufnahme der Kühlung als vierter Kanal im Bestand berührt: Kanalstellen mit Datei und Zeile, Kühlkenndaten der Wärmepumpen, Speicher, Wirtschaftlichkeit, Bericht, Referenzlauf-Grenze und Größenordnung; im Nachtrag die Zählung </w:t>
            </w:r>
            <w:r>
              <w:rPr>
                <w:b/>
              </w:rPr>
              <w:t xml:space="preserve">51 Katalogsätze, 15 kühlfähig, 6 rechenbar kühlfähig</w:t>
            </w:r>
          </w:p>
        </w:tc>
      </w:tr>
    </w:tbl>
    <w:p>
      <w:pPr>
        <w:spacing w:after="120"/>
      </w:pPr>
    </w:p>
    <w:p>
      <w:pPr>
        <w:pStyle w:val="Heading2"/>
      </w:pPr>
      <w:r>
        <w:t xml:space="preserve">13.4 Protokolle des Gegenlesens</w:t>
      </w:r>
    </w:p>
    <w:tbl>
      <w:tblPr>
        <w:tblStyle w:val="TableGrid"/>
        <w:tblW w:w="5000" w:type="pct"/>
        <w:tblLayout w:type="autofit"/>
        <w:tblLook w:val="04A0" w:firstRow="true" w:lastRow="false" w:firstColumn="false" w:lastColumn="false" w:noHBand="false" w:noVBand="true"/>
      </w:tblPr>
      <w:tblGrid>
        <w:gridCol w:w="3212"/>
        <w:gridCol w:w="3212"/>
        <w:gridCol w:w="3212"/>
      </w:tblGrid>
      <w:tr>
        <w:trPr>
          <w:tblHeader/>
        </w:trPr>
        <w:tc>
          <w:tcPr>
            <w:tcW w:w="0" w:type="auto"/>
            <w:shd w:val="clear" w:color="auto" w:fill="D9D9D9"/>
          </w:tcPr>
          <w:p>
            <w:pPr>
              <w:spacing w:after="0" w:line="240" w:lineRule="auto"/>
              <w:rPr>
                <w:b/>
              </w:rPr>
            </w:pPr>
            <w:r>
              <w:rPr>
                <w:b/>
              </w:rPr>
              <w:t xml:space="preserve">Protokoll</w:t>
            </w:r>
          </w:p>
        </w:tc>
        <w:tc>
          <w:tcPr>
            <w:tcW w:w="0" w:type="auto"/>
            <w:shd w:val="clear" w:color="auto" w:fill="D9D9D9"/>
          </w:tcPr>
          <w:p>
            <w:pPr>
              <w:spacing w:after="0" w:line="240" w:lineRule="auto"/>
              <w:rPr>
                <w:b/>
              </w:rPr>
            </w:pPr>
            <w:r>
              <w:rPr>
                <w:b/>
              </w:rPr>
              <w:t xml:space="preserve">Datei</w:t>
            </w:r>
          </w:p>
        </w:tc>
        <w:tc>
          <w:tcPr>
            <w:tcW w:w="0" w:type="auto"/>
            <w:shd w:val="clear" w:color="auto" w:fill="D9D9D9"/>
          </w:tcPr>
          <w:p>
            <w:pPr>
              <w:spacing w:after="0" w:line="240" w:lineRule="auto"/>
              <w:rPr>
                <w:b/>
              </w:rPr>
            </w:pPr>
            <w:r>
              <w:rPr>
                <w:b/>
              </w:rPr>
              <w:t xml:space="preserve">Gegenstand</w:t>
            </w:r>
          </w:p>
        </w:tc>
      </w:tr>
      <w:tr>
        <w:tc>
          <w:tcPr>
            <w:tcW w:w="0" w:type="auto"/>
          </w:tcPr>
          <w:p>
            <w:pPr>
              <w:spacing w:after="0" w:line="240" w:lineRule="auto"/>
            </w:pPr>
            <w:r>
              <w:t xml:space="preserve">Physik</w:t>
            </w:r>
          </w:p>
        </w:tc>
        <w:tc>
          <w:tcPr>
            <w:tcW w:w="0" w:type="auto"/>
          </w:tcPr>
          <w:p>
            <w:pPr>
              <w:spacing w:after="0" w:line="240" w:lineRule="auto"/>
            </w:pPr>
            <w:r>
              <w:rPr>
                <w:rFonts w:ascii="Consolas" w:hAnsi="Consolas" w:cs="Consolas"/>
                <w:noProof/>
                <w:sz w:val="20"/>
                <w:szCs w:val="20"/>
                <w:shd w:val="clear" w:color="auto" w:fill="EFEFEF"/>
              </w:rPr>
              <w:t xml:space="preserve">Dokumentation/aktuell/Gebaeudesimulation/2026-09-15_Gegenlesen_Physik.md</w:t>
            </w:r>
          </w:p>
        </w:tc>
        <w:tc>
          <w:tcPr>
            <w:tcW w:w="0" w:type="auto"/>
          </w:tcPr>
          <w:p>
            <w:pPr>
              <w:spacing w:after="0" w:line="240" w:lineRule="auto"/>
            </w:pPr>
            <w:r>
              <w:t xml:space="preserve">Rechenweg und Formeln</w:t>
            </w:r>
          </w:p>
        </w:tc>
      </w:tr>
      <w:tr>
        <w:tc>
          <w:tcPr>
            <w:tcW w:w="0" w:type="auto"/>
          </w:tcPr>
          <w:p>
            <w:pPr>
              <w:spacing w:after="0" w:line="240" w:lineRule="auto"/>
            </w:pPr>
            <w:r>
              <w:t xml:space="preserve">Leser</w:t>
            </w:r>
          </w:p>
        </w:tc>
        <w:tc>
          <w:tcPr>
            <w:tcW w:w="0" w:type="auto"/>
          </w:tcPr>
          <w:p>
            <w:pPr>
              <w:spacing w:after="0" w:line="240" w:lineRule="auto"/>
            </w:pPr>
            <w:r>
              <w:rPr>
                <w:rFonts w:ascii="Consolas" w:hAnsi="Consolas" w:cs="Consolas"/>
                <w:noProof/>
                <w:sz w:val="20"/>
                <w:szCs w:val="20"/>
                <w:shd w:val="clear" w:color="auto" w:fill="EFEFEF"/>
              </w:rPr>
              <w:t xml:space="preserve">…/2026-09-15_Gegenlesen_Leser.md</w:t>
            </w:r>
          </w:p>
        </w:tc>
        <w:tc>
          <w:tcPr>
            <w:tcW w:w="0" w:type="auto"/>
          </w:tcPr>
          <w:p>
            <w:pPr>
              <w:spacing w:after="0" w:line="240" w:lineRule="auto"/>
            </w:pPr>
            <w:r>
              <w:t xml:space="preserve">Lesbarkeit und Aufbau der Papiere</w:t>
            </w:r>
          </w:p>
        </w:tc>
      </w:tr>
      <w:tr>
        <w:tc>
          <w:tcPr>
            <w:tcW w:w="0" w:type="auto"/>
          </w:tcPr>
          <w:p>
            <w:pPr>
              <w:spacing w:after="0" w:line="240" w:lineRule="auto"/>
            </w:pPr>
            <w:r>
              <w:t xml:space="preserve">Repositorium</w:t>
            </w:r>
          </w:p>
        </w:tc>
        <w:tc>
          <w:tcPr>
            <w:tcW w:w="0" w:type="auto"/>
          </w:tcPr>
          <w:p>
            <w:pPr>
              <w:spacing w:after="0" w:line="240" w:lineRule="auto"/>
            </w:pPr>
            <w:r>
              <w:rPr>
                <w:rFonts w:ascii="Consolas" w:hAnsi="Consolas" w:cs="Consolas"/>
                <w:noProof/>
                <w:sz w:val="20"/>
                <w:szCs w:val="20"/>
                <w:shd w:val="clear" w:color="auto" w:fill="EFEFEF"/>
              </w:rPr>
              <w:t xml:space="preserve">…/2026-09-15_Gegenlesen_Repositorium.md</w:t>
            </w:r>
          </w:p>
        </w:tc>
        <w:tc>
          <w:tcPr>
            <w:tcW w:w="0" w:type="auto"/>
          </w:tcPr>
          <w:p>
            <w:pPr>
              <w:spacing w:after="0" w:line="240" w:lineRule="auto"/>
            </w:pPr>
            <w:r>
              <w:t xml:space="preserve">Belege gegen den Codestand</w:t>
            </w:r>
          </w:p>
        </w:tc>
      </w:tr>
      <w:tr>
        <w:tc>
          <w:tcPr>
            <w:tcW w:w="0" w:type="auto"/>
          </w:tcPr>
          <w:p>
            <w:pPr>
              <w:spacing w:after="0" w:line="240" w:lineRule="auto"/>
            </w:pPr>
            <w:r>
              <w:t xml:space="preserve">Systementwurf</w:t>
            </w:r>
          </w:p>
        </w:tc>
        <w:tc>
          <w:tcPr>
            <w:tcW w:w="0" w:type="auto"/>
          </w:tcPr>
          <w:p>
            <w:pPr>
              <w:spacing w:after="0" w:line="240" w:lineRule="auto"/>
            </w:pPr>
            <w:r>
              <w:rPr>
                <w:rFonts w:ascii="Consolas" w:hAnsi="Consolas" w:cs="Consolas"/>
                <w:noProof/>
                <w:sz w:val="20"/>
                <w:szCs w:val="20"/>
                <w:shd w:val="clear" w:color="auto" w:fill="EFEFEF"/>
              </w:rPr>
              <w:t xml:space="preserve">…/2026-09-15_Gegenlesen_Systementwurf.md</w:t>
            </w:r>
          </w:p>
        </w:tc>
        <w:tc>
          <w:tcPr>
            <w:tcW w:w="0" w:type="auto"/>
          </w:tcPr>
          <w:p>
            <w:pPr>
              <w:spacing w:after="0" w:line="240" w:lineRule="auto"/>
            </w:pPr>
            <w:r>
              <w:t xml:space="preserve">vier Leser, Befunde zu Rev. 2</w:t>
            </w:r>
          </w:p>
        </w:tc>
      </w:tr>
      <w:tr>
        <w:tc>
          <w:tcPr>
            <w:tcW w:w="0" w:type="auto"/>
          </w:tcPr>
          <w:p>
            <w:pPr>
              <w:spacing w:after="0" w:line="240" w:lineRule="auto"/>
            </w:pPr>
            <w:r>
              <w:t xml:space="preserve">Softwarearchitektur</w:t>
            </w:r>
          </w:p>
        </w:tc>
        <w:tc>
          <w:tcPr>
            <w:tcW w:w="0" w:type="auto"/>
          </w:tcPr>
          <w:p>
            <w:pPr>
              <w:spacing w:after="0" w:line="240" w:lineRule="auto"/>
            </w:pPr>
            <w:r>
              <w:rPr>
                <w:rFonts w:ascii="Consolas" w:hAnsi="Consolas" w:cs="Consolas"/>
                <w:noProof/>
                <w:sz w:val="20"/>
                <w:szCs w:val="20"/>
                <w:shd w:val="clear" w:color="auto" w:fill="EFEFEF"/>
              </w:rPr>
              <w:t xml:space="preserve">…/2026-09-15_Gegenlesen_Softwarearchitektur.md</w:t>
            </w:r>
          </w:p>
        </w:tc>
        <w:tc>
          <w:tcPr>
            <w:tcW w:w="0" w:type="auto"/>
          </w:tcPr>
          <w:p>
            <w:pPr>
              <w:spacing w:after="0" w:line="240" w:lineRule="auto"/>
            </w:pPr>
            <w:r>
              <w:t xml:space="preserve">fünf Leser, Befunde zu Rev. 2</w:t>
            </w:r>
          </w:p>
        </w:tc>
      </w:tr>
      <w:tr>
        <w:tc>
          <w:tcPr>
            <w:tcW w:w="0" w:type="auto"/>
          </w:tcPr>
          <w:p>
            <w:pPr>
              <w:spacing w:after="0" w:line="240" w:lineRule="auto"/>
            </w:pPr>
            <w:r>
              <w:t xml:space="preserve">Umsetzungskonzept</w:t>
            </w:r>
          </w:p>
        </w:tc>
        <w:tc>
          <w:tcPr>
            <w:tcW w:w="0" w:type="auto"/>
          </w:tcPr>
          <w:p>
            <w:pPr>
              <w:spacing w:after="0" w:line="240" w:lineRule="auto"/>
            </w:pPr>
            <w:r>
              <w:rPr>
                <w:rFonts w:ascii="Consolas" w:hAnsi="Consolas" w:cs="Consolas"/>
                <w:noProof/>
                <w:sz w:val="20"/>
                <w:szCs w:val="20"/>
                <w:shd w:val="clear" w:color="auto" w:fill="EFEFEF"/>
              </w:rPr>
              <w:t xml:space="preserve">…/2026-09-15_Gegenlesen_Umsetzungskonzept.md</w:t>
            </w:r>
          </w:p>
        </w:tc>
        <w:tc>
          <w:tcPr>
            <w:tcW w:w="0" w:type="auto"/>
          </w:tcPr>
          <w:p>
            <w:pPr>
              <w:spacing w:after="0" w:line="240" w:lineRule="auto"/>
            </w:pPr>
            <w:r>
              <w:t xml:space="preserve">62 Korrekturen zu Rev. 2</w:t>
            </w:r>
          </w:p>
        </w:tc>
      </w:tr>
      <w:tr>
        <w:tc>
          <w:tcPr>
            <w:tcW w:w="0" w:type="auto"/>
          </w:tcPr>
          <w:p>
            <w:pPr>
              <w:spacing w:after="0" w:line="240" w:lineRule="auto"/>
            </w:pPr>
            <w:r>
              <w:t xml:space="preserve">Mehrzonenkonzept</w:t>
            </w:r>
          </w:p>
        </w:tc>
        <w:tc>
          <w:tcPr>
            <w:tcW w:w="0" w:type="auto"/>
          </w:tcPr>
          <w:p>
            <w:pPr>
              <w:spacing w:after="0" w:line="240" w:lineRule="auto"/>
            </w:pPr>
            <w:r>
              <w:rPr>
                <w:rFonts w:ascii="Consolas" w:hAnsi="Consolas" w:cs="Consolas"/>
                <w:noProof/>
                <w:sz w:val="20"/>
                <w:szCs w:val="20"/>
                <w:shd w:val="clear" w:color="auto" w:fill="EFEFEF"/>
              </w:rPr>
              <w:t xml:space="preserve">…/2026-09-15_Gegenlesen_Mehrzonenkonzept.md</w:t>
            </w:r>
          </w:p>
        </w:tc>
        <w:tc>
          <w:tcPr>
            <w:tcW w:w="0" w:type="auto"/>
          </w:tcPr>
          <w:p>
            <w:pPr>
              <w:spacing w:after="0" w:line="240" w:lineRule="auto"/>
            </w:pPr>
            <w:r>
              <w:t xml:space="preserve">Befunde zu Rev. 2</w:t>
            </w:r>
          </w:p>
        </w:tc>
      </w:tr>
      <w:tr>
        <w:tc>
          <w:tcPr>
            <w:tcW w:w="0" w:type="auto"/>
          </w:tcPr>
          <w:p>
            <w:pPr>
              <w:spacing w:after="0" w:line="240" w:lineRule="auto"/>
            </w:pPr>
            <w:r>
              <w:t xml:space="preserve">Datenaustausch</w:t>
            </w:r>
          </w:p>
        </w:tc>
        <w:tc>
          <w:tcPr>
            <w:tcW w:w="0" w:type="auto"/>
          </w:tcPr>
          <w:p>
            <w:pPr>
              <w:spacing w:after="0" w:line="240" w:lineRule="auto"/>
            </w:pPr>
            <w:r>
              <w:rPr>
                <w:rFonts w:ascii="Consolas" w:hAnsi="Consolas" w:cs="Consolas"/>
                <w:noProof/>
                <w:sz w:val="20"/>
                <w:szCs w:val="20"/>
                <w:shd w:val="clear" w:color="auto" w:fill="EFEFEF"/>
              </w:rPr>
              <w:t xml:space="preserve">…/2026-09-15_Gegenlesen_Datenaustausch.md</w:t>
            </w:r>
          </w:p>
        </w:tc>
        <w:tc>
          <w:tcPr>
            <w:tcW w:w="0" w:type="auto"/>
          </w:tcPr>
          <w:p>
            <w:pPr>
              <w:spacing w:after="0" w:line="240" w:lineRule="auto"/>
            </w:pPr>
            <w:r>
              <w:t xml:space="preserve">64 Befunde zu Rev. 2</w:t>
            </w:r>
          </w:p>
        </w:tc>
      </w:tr>
      <w:tr>
        <w:tc>
          <w:tcPr>
            <w:tcW w:w="0" w:type="auto"/>
          </w:tcPr>
          <w:p>
            <w:pPr>
              <w:spacing w:after="0" w:line="240" w:lineRule="auto"/>
            </w:pPr>
            <w:r>
              <w:t xml:space="preserve">IFC</w:t>
            </w:r>
          </w:p>
        </w:tc>
        <w:tc>
          <w:tcPr>
            <w:tcW w:w="0" w:type="auto"/>
          </w:tcPr>
          <w:p>
            <w:pPr>
              <w:spacing w:after="0" w:line="240" w:lineRule="auto"/>
            </w:pPr>
            <w:r>
              <w:rPr>
                <w:rFonts w:ascii="Consolas" w:hAnsi="Consolas" w:cs="Consolas"/>
                <w:noProof/>
                <w:sz w:val="20"/>
                <w:szCs w:val="20"/>
                <w:shd w:val="clear" w:color="auto" w:fill="EFEFEF"/>
              </w:rPr>
              <w:t xml:space="preserve">…/2026-09-15_Gegenlesen_IFC.md</w:t>
            </w:r>
          </w:p>
        </w:tc>
        <w:tc>
          <w:tcPr>
            <w:tcW w:w="0" w:type="auto"/>
          </w:tcPr>
          <w:p>
            <w:pPr>
              <w:spacing w:after="0" w:line="240" w:lineRule="auto"/>
            </w:pPr>
            <w:r>
              <w:t xml:space="preserve">IFC-Aussagen gegen die Primärquellen</w:t>
            </w:r>
          </w:p>
        </w:tc>
      </w:tr>
      <w:tr>
        <w:tc>
          <w:tcPr>
            <w:tcW w:w="0" w:type="auto"/>
          </w:tcPr>
          <w:p>
            <w:pPr>
              <w:spacing w:after="0" w:line="240" w:lineRule="auto"/>
            </w:pPr>
            <w:r>
              <w:t xml:space="preserve">Korrekturliste</w:t>
            </w:r>
          </w:p>
        </w:tc>
        <w:tc>
          <w:tcPr>
            <w:tcW w:w="0" w:type="auto"/>
          </w:tcPr>
          <w:p>
            <w:pPr>
              <w:spacing w:after="0" w:line="240" w:lineRule="auto"/>
            </w:pPr>
            <w:r>
              <w:rPr>
                <w:rFonts w:ascii="Consolas" w:hAnsi="Consolas" w:cs="Consolas"/>
                <w:noProof/>
                <w:sz w:val="20"/>
                <w:szCs w:val="20"/>
                <w:shd w:val="clear" w:color="auto" w:fill="EFEFEF"/>
              </w:rPr>
              <w:t xml:space="preserve">…/2026-09-15_Gegenlesen_Korrekturliste.md</w:t>
            </w:r>
          </w:p>
        </w:tc>
        <w:tc>
          <w:tcPr>
            <w:tcW w:w="0" w:type="auto"/>
          </w:tcPr>
          <w:p>
            <w:pPr>
              <w:spacing w:after="0" w:line="240" w:lineRule="auto"/>
            </w:pPr>
            <w:r>
              <w:t xml:space="preserve">Sammelliste der Korrekturen</w:t>
            </w:r>
          </w:p>
        </w:tc>
      </w:tr>
      <w:tr>
        <w:tc>
          <w:tcPr>
            <w:tcW w:w="0" w:type="auto"/>
          </w:tcPr>
          <w:p>
            <w:pPr>
              <w:spacing w:after="0" w:line="240" w:lineRule="auto"/>
            </w:pPr>
            <w:r>
              <w:rPr>
                <w:b/>
              </w:rPr>
              <w:t xml:space="preserve">Kühlkonzept</w:t>
            </w:r>
          </w:p>
        </w:tc>
        <w:tc>
          <w:tcPr>
            <w:tcW w:w="0" w:type="auto"/>
          </w:tcPr>
          <w:p>
            <w:pPr>
              <w:spacing w:after="0" w:line="240" w:lineRule="auto"/>
            </w:pPr>
            <w:r>
              <w:rPr>
                <w:rFonts w:ascii="Consolas" w:hAnsi="Consolas" w:cs="Consolas"/>
                <w:noProof/>
                <w:sz w:val="20"/>
                <w:szCs w:val="20"/>
                <w:shd w:val="clear" w:color="auto" w:fill="EFEFEF"/>
              </w:rPr>
              <w:t xml:space="preserve">…/2026-09-16_Gegenlesen_Kuehlkonzept.md</w:t>
            </w:r>
          </w:p>
        </w:tc>
        <w:tc>
          <w:tcPr>
            <w:tcW w:w="0" w:type="auto"/>
          </w:tcPr>
          <w:p>
            <w:pPr>
              <w:spacing w:after="0" w:line="240" w:lineRule="auto"/>
            </w:pPr>
            <w:r>
              <w:t xml:space="preserve">drei Leser (Bestand, Konsistenz, Entscheid E15), </w:t>
            </w:r>
            <w:r>
              <w:rPr>
                <w:b/>
              </w:rPr>
              <w:t xml:space="preserve">26 Befunde</w:t>
            </w:r>
            <w:r>
              <w:t xml:space="preserve"> zu Rev. 2 — darunter der schwerste: die zwei gefährlichsten Kanalstellen waren der falschen Klasse zugeschrieben</w:t>
            </w:r>
          </w:p>
        </w:tc>
      </w:tr>
    </w:tbl>
    <w:p>
      <w:pPr>
        <w:spacing w:after="120"/>
      </w:pPr>
    </w:p>
    <w:p>
      <w:pPr>
        <w:pStyle w:val="Heading2"/>
      </w:pPr>
      <w:r>
        <w:t xml:space="preserve">13.5 Hausregeln und Regressionsnetz</w:t>
      </w:r>
    </w:p>
    <w:tbl>
      <w:tblPr>
        <w:tblStyle w:val="TableGrid"/>
        <w:tblW w:w="5000" w:type="pct"/>
        <w:tblLayout w:type="autofit"/>
        <w:tblLook w:val="04A0" w:firstRow="true" w:lastRow="false" w:firstColumn="false" w:lastColumn="false" w:noHBand="false" w:noVBand="true"/>
      </w:tblPr>
      <w:tblGrid>
        <w:gridCol w:w="4819"/>
        <w:gridCol w:w="4819"/>
      </w:tblGrid>
      <w:tr>
        <w:trPr>
          <w:tblHeader/>
        </w:trPr>
        <w:tc>
          <w:tcPr>
            <w:tcW w:w="0" w:type="auto"/>
            <w:shd w:val="clear" w:color="auto" w:fill="D9D9D9"/>
          </w:tcPr>
          <w:p>
            <w:pPr>
              <w:spacing w:after="0" w:line="240" w:lineRule="auto"/>
              <w:rPr>
                <w:b/>
              </w:rPr>
            </w:pPr>
            <w:r>
              <w:rPr>
                <w:b/>
              </w:rPr>
              <w:t xml:space="preserve">Gegenstand</w:t>
            </w:r>
          </w:p>
        </w:tc>
        <w:tc>
          <w:tcPr>
            <w:tcW w:w="0" w:type="auto"/>
            <w:shd w:val="clear" w:color="auto" w:fill="D9D9D9"/>
          </w:tcPr>
          <w:p>
            <w:pPr>
              <w:spacing w:after="0" w:line="240" w:lineRule="auto"/>
              <w:rPr>
                <w:b/>
              </w:rPr>
            </w:pPr>
            <w:r>
              <w:rPr>
                <w:b/>
              </w:rPr>
              <w:t xml:space="preserve">Pfad</w:t>
            </w:r>
          </w:p>
        </w:tc>
      </w:tr>
      <w:tr>
        <w:tc>
          <w:tcPr>
            <w:tcW w:w="0" w:type="auto"/>
          </w:tcPr>
          <w:p>
            <w:pPr>
              <w:spacing w:after="0" w:line="240" w:lineRule="auto"/>
            </w:pPr>
            <w:r>
              <w:t xml:space="preserve">Projektregeln</w:t>
            </w:r>
          </w:p>
        </w:tc>
        <w:tc>
          <w:tcPr>
            <w:tcW w:w="0" w:type="auto"/>
          </w:tcPr>
          <w:p>
            <w:pPr>
              <w:spacing w:after="0" w:line="240" w:lineRule="auto"/>
            </w:pPr>
            <w:r>
              <w:rPr>
                <w:rFonts w:ascii="Consolas" w:hAnsi="Consolas" w:cs="Consolas"/>
                <w:noProof/>
                <w:sz w:val="20"/>
                <w:szCs w:val="20"/>
                <w:shd w:val="clear" w:color="auto" w:fill="EFEFEF"/>
              </w:rPr>
              <w:t xml:space="preserve">CLAUDE.md</w:t>
            </w:r>
            <w:r>
              <w:t xml:space="preserve"> in der Repowurzel sowie je Projekt in </w:t>
            </w:r>
            <w:r>
              <w:rPr>
                <w:rFonts w:ascii="Consolas" w:hAnsi="Consolas" w:cs="Consolas"/>
                <w:noProof/>
                <w:sz w:val="20"/>
                <w:szCs w:val="20"/>
                <w:shd w:val="clear" w:color="auto" w:fill="EFEFEF"/>
              </w:rPr>
              <w:t xml:space="preserve">EPOS.Kern/</w:t>
            </w:r>
            <w:r>
              <w:t xml:space="preserve">, </w:t>
            </w:r>
            <w:r>
              <w:rPr>
                <w:rFonts w:ascii="Consolas" w:hAnsi="Consolas" w:cs="Consolas"/>
                <w:noProof/>
                <w:sz w:val="20"/>
                <w:szCs w:val="20"/>
                <w:shd w:val="clear" w:color="auto" w:fill="EFEFEF"/>
              </w:rPr>
              <w:t xml:space="preserve">EPOS.UI/</w:t>
            </w:r>
            <w:r>
              <w:t xml:space="preserve">, </w:t>
            </w:r>
            <w:r>
              <w:rPr>
                <w:rFonts w:ascii="Consolas" w:hAnsi="Consolas" w:cs="Consolas"/>
                <w:noProof/>
                <w:sz w:val="20"/>
                <w:szCs w:val="20"/>
                <w:shd w:val="clear" w:color="auto" w:fill="EFEFEF"/>
              </w:rPr>
              <w:t xml:space="preserve">EPOS.iOS/</w:t>
            </w:r>
            <w:r>
              <w:t xml:space="preserve">, </w:t>
            </w:r>
            <w:r>
              <w:rPr>
                <w:rFonts w:ascii="Consolas" w:hAnsi="Consolas" w:cs="Consolas"/>
                <w:noProof/>
                <w:sz w:val="20"/>
                <w:szCs w:val="20"/>
                <w:shd w:val="clear" w:color="auto" w:fill="EFEFEF"/>
              </w:rPr>
              <w:t xml:space="preserve">WindowsFormsApplication1/</w:t>
            </w:r>
          </w:p>
        </w:tc>
      </w:tr>
      <w:tr>
        <w:tc>
          <w:tcPr>
            <w:tcW w:w="0" w:type="auto"/>
          </w:tcPr>
          <w:p>
            <w:pPr>
              <w:spacing w:after="0" w:line="240" w:lineRule="auto"/>
            </w:pPr>
            <w:r>
              <w:t xml:space="preserve">Regressionsnetz und Referenzbasis</w:t>
            </w:r>
          </w:p>
        </w:tc>
        <w:tc>
          <w:tcPr>
            <w:tcW w:w="0" w:type="auto"/>
          </w:tcPr>
          <w:p>
            <w:pPr>
              <w:spacing w:after="0" w:line="240" w:lineRule="auto"/>
            </w:pPr>
            <w:r>
              <w:rPr>
                <w:rFonts w:ascii="Consolas" w:hAnsi="Consolas" w:cs="Consolas"/>
                <w:noProof/>
                <w:sz w:val="20"/>
                <w:szCs w:val="20"/>
                <w:shd w:val="clear" w:color="auto" w:fill="EFEFEF"/>
              </w:rPr>
              <w:t xml:space="preserve">Referenzlaeufe/LIESMICH.md</w:t>
            </w:r>
          </w:p>
        </w:tc>
      </w:tr>
      <w:tr>
        <w:tc>
          <w:tcPr>
            <w:tcW w:w="0" w:type="auto"/>
          </w:tcPr>
          <w:p>
            <w:pPr>
              <w:spacing w:after="0" w:line="240" w:lineRule="auto"/>
            </w:pPr>
            <w:r>
              <w:t xml:space="preserve">Index aller Papiere</w:t>
            </w:r>
          </w:p>
        </w:tc>
        <w:tc>
          <w:tcPr>
            <w:tcW w:w="0" w:type="auto"/>
          </w:tcPr>
          <w:p>
            <w:pPr>
              <w:spacing w:after="0" w:line="240" w:lineRule="auto"/>
            </w:pPr>
            <w:r>
              <w:rPr>
                <w:rFonts w:ascii="Consolas" w:hAnsi="Consolas" w:cs="Consolas"/>
                <w:noProof/>
                <w:sz w:val="20"/>
                <w:szCs w:val="20"/>
                <w:shd w:val="clear" w:color="auto" w:fill="EFEFEF"/>
              </w:rPr>
              <w:t xml:space="preserve">Dokumentation/LIESMICH.md</w:t>
            </w:r>
          </w:p>
        </w:tc>
      </w:tr>
      <w:tr>
        <w:tc>
          <w:tcPr>
            <w:tcW w:w="0" w:type="auto"/>
          </w:tcPr>
          <w:p>
            <w:pPr>
              <w:spacing w:after="0" w:line="240" w:lineRule="auto"/>
            </w:pPr>
            <w:r>
              <w:t xml:space="preserve">Betrieb der Datenbank und SQL-Dialekt</w:t>
            </w:r>
          </w:p>
        </w:tc>
        <w:tc>
          <w:tcPr>
            <w:tcW w:w="0" w:type="auto"/>
          </w:tcPr>
          <w:p>
            <w:pPr>
              <w:spacing w:after="0" w:line="240" w:lineRule="auto"/>
            </w:pPr>
            <w:r>
              <w:rPr>
                <w:rFonts w:ascii="Consolas" w:hAnsi="Consolas" w:cs="Consolas"/>
                <w:noProof/>
                <w:sz w:val="20"/>
                <w:szCs w:val="20"/>
                <w:shd w:val="clear" w:color="auto" w:fill="EFEFEF"/>
              </w:rPr>
              <w:t xml:space="preserve">Dokumentation/aktuell/BETRIEB_SQLITE.md</w:t>
            </w:r>
          </w:p>
        </w:tc>
      </w:tr>
      <w:tr>
        <w:tc>
          <w:tcPr>
            <w:tcW w:w="0" w:type="auto"/>
          </w:tcPr>
          <w:p>
            <w:pPr>
              <w:spacing w:after="0" w:line="240" w:lineRule="auto"/>
            </w:pPr>
            <w:r>
              <w:t xml:space="preserve">Simulationsablauf</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Dokumentation/aktuell/Konzept_Simulationsablauf_EPOS-Plan.md</w:t>
            </w:r>
          </w:p>
        </w:tc>
      </w:tr>
      <w:tr>
        <w:tc>
          <w:tcPr>
            <w:tcW w:w="0" w:type="auto"/>
          </w:tcPr>
          <w:p>
            <w:pPr>
              <w:spacing w:after="0" w:line="240" w:lineRule="auto"/>
            </w:pPr>
            <w:r>
              <w:t xml:space="preserve">Hilfe- und Wikikonzept</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Dokumentation/aktuell/Konzept_Hilfesystem_Wikidokumentation.md</w:t>
            </w:r>
          </w:p>
        </w:tc>
      </w:tr>
      <w:tr>
        <w:tc>
          <w:tcPr>
            <w:tcW w:w="0" w:type="auto"/>
          </w:tcPr>
          <w:p>
            <w:pPr>
              <w:spacing w:after="0" w:line="240" w:lineRule="auto"/>
            </w:pPr>
            <w:r>
              <w:t xml:space="preserve">Glossar und Lokalisierung</w:t>
            </w:r>
          </w:p>
        </w:tc>
        <w:tc>
          <w:tcPr>
            <w:tcW w:w="0" w:type="auto"/>
          </w:tcPr>
          <w:p>
            <w:pPr>
              <w:spacing w:after="0" w:line="240" w:lineRule="auto"/>
            </w:pPr>
            <w:r>
              <w:rPr>
                <w:rFonts w:ascii="Consolas" w:hAnsi="Consolas" w:cs="Consolas"/>
                <w:noProof/>
                <w:sz w:val="20"/>
                <w:szCs w:val="20"/>
                <w:shd w:val="clear" w:color="auto" w:fill="EFEFEF"/>
              </w:rPr>
              <w:t xml:space="preserve">Dokumentation/aktuell/Glossar_Lokalisierung.md</w:t>
            </w:r>
          </w:p>
        </w:tc>
      </w:tr>
      <w:tr>
        <w:tc>
          <w:tcPr>
            <w:tcW w:w="0" w:type="auto"/>
          </w:tcPr>
          <w:p>
            <w:pPr>
              <w:spacing w:after="0" w:line="240" w:lineRule="auto"/>
            </w:pPr>
            <w:r>
              <w:t xml:space="preserve">Vorbild des Stufenschnitts</w:t>
            </w:r>
          </w:p>
        </w:tc>
        <w:tc>
          <w:tcPr>
            <w:tcW w:w="0" w:type="auto"/>
          </w:tcPr>
          <w:p>
            <w:pPr>
              <w:spacing w:after="0" w:line="240" w:lineRule="auto"/>
            </w:pPr>
            <w:r>
              <w:rPr>
                <w:rFonts w:ascii="Consolas" w:hAnsi="Consolas" w:cs="Consolas"/>
                <w:noProof/>
                <w:sz w:val="20"/>
                <w:szCs w:val="20"/>
                <w:shd w:val="clear" w:color="auto" w:fill="EFEFEF"/>
              </w:rPr>
              <w:t xml:space="preserve">Dokumentation/aktuell/Konzept_Photovoltaik_Ertragsmodell_EPOS-Plan.md</w:t>
            </w:r>
          </w:p>
        </w:tc>
      </w:tr>
    </w:tbl>
    <w:p>
      <w:pPr>
        <w:spacing w:after="120"/>
      </w:pPr>
    </w:p>
    <w:sectPr>
      <w:pgSz w:w="11906" w:h="16838"/>
      <w:pgMar w:top="1134" w:right="1134" w:bottom="1134" w:left="1134" w:header="709" w:footer="709" w:gutter="0"/>
      <w:cols w:space="708"/>
      <w:docGrid w:linePitch="360"/>
    </w:sectPr>
  </w:body>
</w:document>
</file>

<file path=word/numbering.xml><?xml version="1.0" encoding="utf-8"?>
<w:numbering xmlns:w="http://schemas.openxmlformats.org/wordprocessingml/2006/main">
  <w:abstractNum w:abstractNumId="0">
    <w:nsid w:val="0A1B2C30"/>
    <w:multiLevelType w:val="hybridMultilevel"/>
    <w:lvl w:ilvl="0">
      <w:start w:val="1"/>
      <w:numFmt w:val="bullet"/>
      <w:lvlText w:val="·"/>
      <w:lvlJc w:val="left"/>
      <w:pPr>
        <w:ind w:left="454" w:hanging="284"/>
      </w:pPr>
      <w:rPr>
        <w:rFonts w:ascii="Symbol" w:hAnsi="Symbol" w:hint="default"/>
      </w:rPr>
    </w:lvl>
    <w:lvl w:ilvl="1">
      <w:start w:val="1"/>
      <w:numFmt w:val="bullet"/>
      <w:lvlText w:val="o"/>
      <w:lvlJc w:val="left"/>
      <w:pPr>
        <w:ind w:left="964" w:hanging="284"/>
      </w:pPr>
      <w:rPr>
        <w:rFonts w:ascii="Courier New" w:hAnsi="Courier New" w:hint="default"/>
      </w:rPr>
    </w:lvl>
  </w:abstractNum>
  <w:abstractNum w:abstractNumId="1">
    <w:nsid w:val="0A1B2C31"/>
    <w:multiLevelType w:val="hybridMultilevel"/>
    <w:lvl w:ilvl="0">
      <w:start w:val="1"/>
      <w:numFmt w:val="decimal"/>
      <w:lvlText w:val="%1."/>
      <w:lvlJc w:val="left"/>
      <w:pPr>
        <w:ind w:left="454" w:hanging="454"/>
      </w:pPr>
    </w:lvl>
    <w:lvl w:ilvl="1">
      <w:start w:val="1"/>
      <w:numFmt w:val="lowerLetter"/>
      <w:lvlText w:val="%2."/>
      <w:lvlJc w:val="left"/>
      <w:pPr>
        <w:ind w:left="964" w:hanging="397"/>
      </w:pPr>
    </w:lvl>
  </w:abstractNum>
  <w:num w:numId="1">
    <w:abstractNumId w:val="0"/>
  </w:num>
  <w:num w:numId="2">
    <w:abstractNumId w:val="1"/>
    <w:lvlOverride w:ilvl="0">
      <w:startOverride w:val="1"/>
    </w:lvlOverride>
    <w:lvlOverride w:ilvl="1">
      <w:startOverride w:val="1"/>
    </w:lvlOverride>
  </w:num>
  <w:num w:numId="3">
    <w:abstractNumId w:val="0"/>
  </w:num>
  <w:num w:numId="4">
    <w:abstractNumId w:val="1"/>
    <w:lvlOverride w:ilvl="0">
      <w:startOverride w:val="1"/>
    </w:lvlOverride>
    <w:lvlOverride w:ilvl="1">
      <w:startOverride w:val="1"/>
    </w:lvlOverride>
  </w:num>
  <w:num w:numId="5">
    <w:abstractNumId w:val="0"/>
  </w:num>
  <w:num w:numId="6">
    <w:abstractNumId w:val="0"/>
  </w:num>
  <w:num w:numId="7">
    <w:abstractNumId w:val="1"/>
    <w:lvlOverride w:ilvl="0">
      <w:startOverride w:val="1"/>
    </w:lvlOverride>
    <w:lvlOverride w:ilvl="1">
      <w:startOverride w:val="1"/>
    </w:lvlOverride>
  </w:num>
  <w:num w:numId="8">
    <w:abstractNumId w:val="0"/>
  </w:num>
  <w:num w:numId="9">
    <w:abstractNumId w:val="1"/>
    <w:lvlOverride w:ilvl="0">
      <w:startOverride w:val="1"/>
    </w:lvlOverride>
    <w:lvlOverride w:ilvl="1">
      <w:startOverride w:val="1"/>
    </w:lvlOverride>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9"/>
  <w:characterSpacingControl w:val="doNotCompress"/>
  <w:updateFields w:val="true"/>
</w:settings>
</file>

<file path=word/styles.xml><?xml version="1.0" encoding="utf-8"?>
<w:styles xmlns:w="http://schemas.openxmlformats.org/wordprocessingml/2006/main">
  <w:docDefaults>
    <w:rPrDefault>
      <w:rPr>
        <w:rFonts w:ascii="Calibri" w:hAnsi="Calibri" w:eastAsia="Calibri" w:cs="Calibri"/>
        <w:sz w:val="22"/>
        <w:szCs w:val="22"/>
        <w:lang w:val="de-DE" w:eastAsia="de-DE" w:bidi="ar-SA"/>
      </w:rPr>
    </w:rPrDefault>
    <w:pPrDefault>
      <w:pPr>
        <w:spacing w:after="120" w:line="264"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28" w:type="dxa"/>
        <w:left w:w="85" w:type="dxa"/>
        <w:bottom w:w="28" w:type="dxa"/>
        <w:right w:w="85"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360" w:after="120"/>
      <w:outlineLvl w:val="0"/>
    </w:pPr>
    <w:rPr>
      <w:rFonts w:ascii="Calibri Light" w:hAnsi="Calibri Light" w:cs="Calibri Light"/>
      <w:b/>
      <w:color w:val="1F3864"/>
      <w:sz w:val="36"/>
      <w:szCs w:val="36"/>
    </w:rPr>
  </w:style>
  <w:style w:type="paragraph" w:styleId="Heading2">
    <w:name w:val="heading 2"/>
    <w:basedOn w:val="Normal"/>
    <w:next w:val="Normal"/>
    <w:uiPriority w:val="9"/>
    <w:qFormat/>
    <w:pPr>
      <w:keepNext/>
      <w:keepLines/>
      <w:spacing w:before="280" w:after="120"/>
      <w:outlineLvl w:val="1"/>
    </w:pPr>
    <w:rPr>
      <w:rFonts w:ascii="Calibri Light" w:hAnsi="Calibri Light" w:cs="Calibri Light"/>
      <w:b/>
      <w:color w:val="1F3864"/>
      <w:sz w:val="30"/>
      <w:szCs w:val="30"/>
    </w:rPr>
  </w:style>
  <w:style w:type="paragraph" w:styleId="Heading3">
    <w:name w:val="heading 3"/>
    <w:basedOn w:val="Normal"/>
    <w:next w:val="Normal"/>
    <w:uiPriority w:val="9"/>
    <w:qFormat/>
    <w:pPr>
      <w:keepNext/>
      <w:keepLines/>
      <w:spacing w:before="240" w:after="120"/>
      <w:outlineLvl w:val="2"/>
    </w:pPr>
    <w:rPr>
      <w:rFonts w:ascii="Calibri Light" w:hAnsi="Calibri Light" w:cs="Calibri Light"/>
      <w:b/>
      <w:color w:val="2E5395"/>
      <w:sz w:val="26"/>
      <w:szCs w:val="26"/>
    </w:rPr>
  </w:style>
  <w:style w:type="paragraph" w:styleId="Heading4">
    <w:name w:val="heading 4"/>
    <w:basedOn w:val="Normal"/>
    <w:next w:val="Normal"/>
    <w:uiPriority w:val="9"/>
    <w:qFormat/>
    <w:pPr>
      <w:keepNext/>
      <w:keepLines/>
      <w:spacing w:before="200" w:after="120"/>
      <w:outlineLvl w:val="3"/>
    </w:pPr>
    <w:rPr>
      <w:rFonts w:ascii="Calibri Light" w:hAnsi="Calibri Light" w:cs="Calibri Light"/>
      <w:b/>
      <w:color w:val="2E5395"/>
      <w:sz w:val="23"/>
      <w:szCs w:val="23"/>
    </w:rPr>
  </w:style>
  <w:style w:type="paragraph" w:styleId="Title">
    <w:name w:val="Title"/>
    <w:basedOn w:val="Normal"/>
    <w:next w:val="Normal"/>
    <w:uiPriority w:val="10"/>
    <w:qFormat/>
    <w:pPr>
      <w:spacing w:before="2400" w:after="120"/>
      <w:jc w:val="center"/>
    </w:pPr>
    <w:rPr>
      <w:rFonts w:ascii="Calibri Light" w:hAnsi="Calibri Light" w:cs="Calibri Light"/>
      <w:b/>
      <w:color w:val="1F3864"/>
      <w:spacing w:val="-10"/>
      <w:sz w:val="56"/>
      <w:szCs w:val="56"/>
    </w:rPr>
  </w:style>
  <w:style w:type="paragraph" w:styleId="Subtitle">
    <w:name w:val="Subtitle"/>
    <w:basedOn w:val="Normal"/>
    <w:next w:val="Normal"/>
    <w:uiPriority w:val="11"/>
    <w:qFormat/>
    <w:pPr>
      <w:spacing w:after="360"/>
      <w:jc w:val="center"/>
    </w:pPr>
    <w:rPr>
      <w:rFonts w:ascii="Calibri Light" w:hAnsi="Calibri Light" w:cs="Calibri Light"/>
      <w:color w:val="2E5395"/>
      <w:sz w:val="32"/>
      <w:szCs w:val="32"/>
    </w:rPr>
  </w:style>
  <w:style w:type="paragraph" w:styleId="ListBullet">
    <w:name w:val="List Bullet"/>
    <w:basedOn w:val="Normal"/>
    <w:uiPriority w:val="99"/>
    <w:qFormat/>
    <w:pPr>
      <w:numPr>
        <w:numId w:val="1"/>
      </w:numPr>
      <w:spacing w:after="60"/>
      <w:contextualSpacing/>
    </w:pPr>
  </w:style>
  <w:style w:type="paragraph" w:styleId="ListNumber">
    <w:name w:val="List Number"/>
    <w:basedOn w:val="Normal"/>
    <w:uiPriority w:val="99"/>
    <w:qFormat/>
    <w:pPr>
      <w:numPr>
        <w:numId w:val="2"/>
      </w:numPr>
      <w:spacing w:after="60"/>
      <w:contextualSpacing/>
    </w:pPr>
  </w:style>
  <w:style w:type="paragraph" w:styleId="Quote">
    <w:name w:val="Quote"/>
    <w:basedOn w:val="Normal"/>
    <w:next w:val="Normal"/>
    <w:uiPriority w:val="29"/>
    <w:qFormat/>
    <w:pPr>
      <w:pBdr>
        <w:left w:val="single" w:sz="18" w:space="8" w:color="BFBFBF"/>
      </w:pBdr>
      <w:spacing w:before="120" w:after="120"/>
      <w:ind w:left="454"/>
    </w:pPr>
    <w:rPr>
      <w:i/>
      <w:iCs/>
      <w:color w:val="595959"/>
    </w:rPr>
  </w:style>
  <w:style w:type="paragraph" w:styleId="Codeblock">
    <w:name w:val="Codeblock"/>
    <w:basedOn w:val="Normal"/>
    <w:next w:val="Normal"/>
    <w:uiPriority w:val="30"/>
    <w:qFormat/>
    <w:pPr>
      <w:pBdr>
        <w:top w:val="single" w:sz="4" w:space="4" w:color="BFBFBF"/>
        <w:left w:val="single" w:sz="4" w:space="4" w:color="BFBFBF"/>
        <w:bottom w:val="single" w:sz="4" w:space="4" w:color="BFBFBF"/>
        <w:right w:val="single" w:sz="4" w:space="4" w:color="BFBFBF"/>
      </w:pBdr>
      <w:shd w:val="clear" w:color="auto" w:fill="F2F2F2"/>
      <w:spacing w:before="120" w:after="180" w:line="240" w:lineRule="auto"/>
    </w:pPr>
    <w:rPr>
      <w:rFonts w:ascii="Consolas" w:hAnsi="Consolas" w:cs="Consolas"/>
      <w:noProof/>
      <w:sz w:val="18"/>
      <w:szCs w:val="18"/>
    </w:rPr>
  </w:style>
  <w:style w:type="paragraph" w:styleId="Diagrammhinweis">
    <w:name w:val="Diagrammhinweis"/>
    <w:basedOn w:val="Normal"/>
    <w:next w:val="Normal"/>
    <w:uiPriority w:val="30"/>
    <w:qFormat/>
    <w:pPr>
      <w:keepNext/>
      <w:spacing w:before="120" w:after="0"/>
    </w:pPr>
    <w:rPr>
      <w:i/>
      <w:iCs/>
      <w:color w:val="595959"/>
    </w:rPr>
  </w:style>
  <w:style w:type="paragraph" w:styleId="Diagrammbild">
    <w:name w:val="Diagrammbild"/>
    <w:basedOn w:val="Normal"/>
    <w:next w:val="Bildunterschrift"/>
    <w:uiPriority w:val="30"/>
    <w:qFormat/>
    <w:pPr>
      <w:keepNext/>
      <w:spacing w:before="120" w:after="60" w:line="240" w:lineRule="auto"/>
      <w:jc w:val="center"/>
    </w:pPr>
  </w:style>
  <w:style w:type="paragraph" w:styleId="Bildunterschrift">
    <w:name w:val="caption"/>
    <w:basedOn w:val="Normal"/>
    <w:next w:val="Normal"/>
    <w:uiPriority w:val="35"/>
    <w:qFormat/>
    <w:pPr>
      <w:spacing w:before="0" w:after="180"/>
      <w:jc w:val="center"/>
    </w:pPr>
    <w:rPr>
      <w:i/>
      <w:iCs/>
      <w:color w:val="595959"/>
      <w:sz w:val="18"/>
      <w:szCs w:val="18"/>
    </w:rPr>
  </w:style>
  <w:style w:type="paragraph" w:styleId="Trennlinie">
    <w:name w:val="Trennlinie"/>
    <w:basedOn w:val="Normal"/>
    <w:next w:val="Normal"/>
    <w:uiPriority w:val="30"/>
    <w:qFormat/>
    <w:pPr>
      <w:pBdr>
        <w:bottom w:val="single" w:sz="4" w:space="1" w:color="BFBFBF"/>
      </w:pBdr>
      <w:spacing w:before="120" w:after="180"/>
    </w:pPr>
  </w:style>
  <w:style w:type="paragraph" w:styleId="Formelblock">
    <w:name w:val="Formelblock"/>
    <w:basedOn w:val="Normal"/>
    <w:next w:val="Normal"/>
    <w:uiPriority w:val="30"/>
    <w:qFormat/>
    <w:pPr>
      <w:keepLines/>
      <w:spacing w:before="140" w:after="140" w:line="240" w:lineRule="auto"/>
      <w:jc w:val="center"/>
    </w:pPr>
    <w:rPr>
      <w:rFonts w:ascii="Cambria Math" w:hAnsi="Cambria Math"/>
    </w:rPr>
  </w:style>
  <w:style w:type="character" w:styleId="Hyperlink">
    <w:name w:val="Hyperlink"/>
    <w:basedOn w:val="DefaultParagraphFont"/>
    <w:uiPriority w:val="99"/>
    <w:unhideWhenUsed/>
    <w:rPr>
      <w:color w:val="0563C1"/>
      <w:u w:val="single"/>
    </w:rPr>
  </w:style>
  <w:style w:type="table" w:styleId="TableGrid">
    <w:name w:val="Table Grid"/>
    <w:basedOn w:val="TableNormal"/>
    <w:uiPriority w:val="39"/>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&#65279;<?xml version="1.0" encoding="utf-8"?><Relationships xmlns="http://schemas.openxmlformats.org/package/2006/relationships"><Relationship Type="http://schemas.openxmlformats.org/officeDocument/2006/relationships/styles" Target="/word/styles.xml" Id="R5197b38416d94f31" /><Relationship Type="http://schemas.openxmlformats.org/officeDocument/2006/relationships/settings" Target="/word/settings.xml" Id="Re960b3e67dc14ec7" /><Relationship Type="http://schemas.openxmlformats.org/officeDocument/2006/relationships/image" Target="/word/media/image.png" Id="Re908ab9f0c94487b" /><Relationship Type="http://schemas.openxmlformats.org/officeDocument/2006/relationships/image" Target="/word/media/image2.png" Id="R7ee1fe2dd52a440c" /><Relationship Type="http://schemas.openxmlformats.org/officeDocument/2006/relationships/image" Target="/word/media/image3.png" Id="R972134d9378842b6" /><Relationship Type="http://schemas.openxmlformats.org/officeDocument/2006/relationships/image" Target="/word/media/image4.png" Id="R4c2df93bd98943e3" /><Relationship Type="http://schemas.openxmlformats.org/officeDocument/2006/relationships/image" Target="/word/media/image5.png" Id="R11ecadd698f14d66" /><Relationship Type="http://schemas.openxmlformats.org/officeDocument/2006/relationships/image" Target="/word/media/image6.png" Id="R23aaa0f730ce49df" /><Relationship Type="http://schemas.openxmlformats.org/officeDocument/2006/relationships/image" Target="/word/media/image7.png" Id="R0b6c2569f103495b" /><Relationship Type="http://schemas.openxmlformats.org/officeDocument/2006/relationships/image" Target="/word/media/image8.png" Id="Rf7fac3ae7a6e479f" /><Relationship Type="http://schemas.openxmlformats.org/officeDocument/2006/relationships/image" Target="/word/media/image9.png" Id="Rd96bd7d132f24dab" /><Relationship Type="http://schemas.openxmlformats.org/officeDocument/2006/relationships/image" Target="/word/media/image10.png" Id="R24535653125f41ba" /><Relationship Type="http://schemas.openxmlformats.org/officeDocument/2006/relationships/image" Target="/word/media/image11.png" Id="Rb2dd00e42bd745c0" /><Relationship Type="http://schemas.openxmlformats.org/officeDocument/2006/relationships/image" Target="/word/media/image12.png" Id="R614fb11118234d27" /><Relationship Type="http://schemas.openxmlformats.org/officeDocument/2006/relationships/image" Target="/word/media/image13.png" Id="Rf00f4773175b4330" /><Relationship Type="http://schemas.openxmlformats.org/officeDocument/2006/relationships/image" Target="/word/media/image14.png" Id="R7f7b19efb93e4e71" /><Relationship Type="http://schemas.openxmlformats.org/officeDocument/2006/relationships/image" Target="/word/media/image15.png" Id="R246d066ceaaa41f8" /><Relationship Type="http://schemas.openxmlformats.org/officeDocument/2006/relationships/image" Target="/word/media/image16.png" Id="R7fe7eaa3de904768" /><Relationship Type="http://schemas.openxmlformats.org/officeDocument/2006/relationships/numbering" Target="/word/numbering.xml" Id="R821454a6d9874d12" /></Relationships>
</file>