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Inhalt</w:t>
      </w:r>
      <w:commentRangeEnd w:id="1"/>
      <w:r>
        <w:commentReference w:id="1"/>
      </w:r>
    </w:p>
    <w:p>
      <w:pPr>
        <w:pStyle w:val="Normal"/>
      </w:pPr>
      <w:r>
        <w:fldChar w:fldCharType="begin"/>
      </w:r>
      <w:r>
        <w:instrText xml:space="preserve"> TOC \o "1-3" \h \z \u </w:instrText>
      </w:r>
      <w:r>
        <w:fldChar w:fldCharType="separate"/>
      </w:r>
      <w:r>
        <w:t xml:space="preserve">Das Inhaltsverzeichnis wird beim Öffnen in Word aktualisiert.</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Projektname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Beschreibung</w:t>
            </w:r>
          </w:p>
        </w:tc>
        <w:tc>
          <w:tcPr>
            <w:tcW w:w="5755" w:type="dxa"/>
            <w:vAlign w:val="center"/>
          </w:tcPr>
          <w:p>
            <w:r>
              <w:rPr>
                <w:noProof/>
              </w:rPr>
              <w:t xml:space="preserve">{{projekt.beschreibung}}</w:t>
            </w:r>
          </w:p>
        </w:tc>
      </w:tr>
      <w:tr>
        <w:tc>
          <w:tcPr>
            <w:tcW w:w="3600" w:type="dxa"/>
            <w:shd w:val="clear" w:color="auto" w:fill="F2F2F2"/>
            <w:vAlign w:val="center"/>
          </w:tcPr>
          <w:p>
            <w:r>
              <w:t xml:space="preserve">Klimaregion</w:t>
            </w:r>
          </w:p>
        </w:tc>
        <w:tc>
          <w:tcPr>
            <w:tcW w:w="5755" w:type="dxa"/>
            <w:vAlign w:val="center"/>
          </w:tcPr>
          <w:p>
            <w:r>
              <w:rPr>
                <w:noProof/>
              </w:rPr>
              <w:t xml:space="preserve">{{projekt.klimaregion}}</w:t>
            </w:r>
          </w:p>
        </w:tc>
      </w:tr>
      <w:tr>
        <w:tc>
          <w:tcPr>
            <w:tcW w:w="3600" w:type="dxa"/>
            <w:shd w:val="clear" w:color="auto" w:fill="F2F2F2"/>
            <w:vAlign w:val="center"/>
          </w:tcPr>
          <w:p>
            <w:r>
              <w:t xml:space="preserve">Angelegt</w:t>
            </w:r>
          </w:p>
        </w:tc>
        <w:tc>
          <w:tcPr>
            <w:tcW w:w="5755" w:type="dxa"/>
            <w:vAlign w:val="center"/>
          </w:tcPr>
          <w:p>
            <w:r>
              <w:rPr>
                <w:noProof/>
              </w:rPr>
              <w:t xml:space="preserve">{{projekt.angelegt}}</w:t>
            </w:r>
          </w:p>
        </w:tc>
      </w:tr>
      <w:tr>
        <w:tc>
          <w:tcPr>
            <w:tcW w:w="3600" w:type="dxa"/>
            <w:shd w:val="clear" w:color="auto" w:fill="F2F2F2"/>
            <w:vAlign w:val="center"/>
          </w:tcPr>
          <w:p>
            <w:r>
              <w:t xml:space="preserve">Zuletzt geändert</w:t>
            </w:r>
          </w:p>
        </w:tc>
        <w:tc>
          <w:tcPr>
            <w:tcW w:w="5755" w:type="dxa"/>
            <w:vAlign w:val="center"/>
          </w:tcPr>
          <w:p>
            <w:r>
              <w:rPr>
                <w:noProof/>
              </w:rPr>
              <w:t xml:space="preserve">{{projekt.geaendert}}</w:t>
            </w:r>
          </w:p>
        </w:tc>
      </w:tr>
      <w:tr>
        <w:tc>
          <w:tcPr>
            <w:tcW w:w="3600" w:type="dxa"/>
            <w:shd w:val="clear" w:color="auto" w:fill="F2F2F2"/>
            <w:vAlign w:val="center"/>
          </w:tcPr>
          <w:p>
            <w:r>
              <w:t xml:space="preserve">Simulationsstand</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Gebäude</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Gebäudeart</w:t>
            </w:r>
          </w:p>
        </w:tc>
        <w:tc>
          <w:tcPr>
            <w:tcW w:w="5755" w:type="dxa"/>
            <w:vAlign w:val="center"/>
          </w:tcPr>
          <w:p>
            <w:r>
              <w:rPr>
                <w:noProof/>
              </w:rPr>
              <w:t xml:space="preserve">{{gebaeude.art}}</w:t>
            </w:r>
          </w:p>
        </w:tc>
      </w:tr>
      <w:tr>
        <w:tc>
          <w:tcPr>
            <w:tcW w:w="3600" w:type="dxa"/>
            <w:shd w:val="clear" w:color="auto" w:fill="F2F2F2"/>
            <w:vAlign w:val="center"/>
          </w:tcPr>
          <w:p>
            <w:r>
              <w:t xml:space="preserve">Baualtersklasse</w:t>
            </w:r>
          </w:p>
        </w:tc>
        <w:tc>
          <w:tcPr>
            <w:tcW w:w="5755" w:type="dxa"/>
            <w:vAlign w:val="center"/>
          </w:tcPr>
          <w:p>
            <w:r>
              <w:rPr>
                <w:noProof/>
              </w:rPr>
              <w:t xml:space="preserve">{{gebaeude.baualtersklasse}}</w:t>
            </w:r>
          </w:p>
        </w:tc>
      </w:tr>
      <w:tr>
        <w:tc>
          <w:tcPr>
            <w:tcW w:w="3600" w:type="dxa"/>
            <w:shd w:val="clear" w:color="auto" w:fill="F2F2F2"/>
            <w:vAlign w:val="center"/>
          </w:tcPr>
          <w:p>
            <w:r>
              <w:t xml:space="preserve">Wohn-/Nutzfläche</w:t>
            </w:r>
          </w:p>
        </w:tc>
        <w:tc>
          <w:tcPr>
            <w:tcW w:w="5755" w:type="dxa"/>
            <w:vAlign w:val="center"/>
          </w:tcPr>
          <w:p>
            <w:r>
              <w:rPr>
                <w:noProof/>
              </w:rPr>
              <w:t xml:space="preserve">{{gebaeude.flaeche}}</w:t>
            </w:r>
          </w:p>
        </w:tc>
      </w:tr>
      <w:tr>
        <w:tc>
          <w:tcPr>
            <w:tcW w:w="3600" w:type="dxa"/>
            <w:shd w:val="clear" w:color="auto" w:fill="F2F2F2"/>
            <w:vAlign w:val="center"/>
          </w:tcPr>
          <w:p>
            <w:r>
              <w:t xml:space="preserve">Bewohner/Nutzer</w:t>
            </w:r>
          </w:p>
        </w:tc>
        <w:tc>
          <w:tcPr>
            <w:tcW w:w="5755" w:type="dxa"/>
            <w:vAlign w:val="center"/>
          </w:tcPr>
          <w:p>
            <w:r>
              <w:rPr>
                <w:noProof/>
              </w:rPr>
              <w:t xml:space="preserve">{{gebaeude.nutzer}}</w:t>
            </w:r>
          </w:p>
        </w:tc>
      </w:tr>
      <w:tr>
        <w:tc>
          <w:tcPr>
            <w:tcW w:w="3600" w:type="dxa"/>
            <w:shd w:val="clear" w:color="auto" w:fill="F2F2F2"/>
            <w:vAlign w:val="center"/>
          </w:tcPr>
          <w:p>
            <w:r>
              <w:t xml:space="preserve">Wärmebedarf</w:t>
            </w:r>
          </w:p>
        </w:tc>
        <w:tc>
          <w:tcPr>
            <w:tcW w:w="5755" w:type="dxa"/>
            <w:vAlign w:val="center"/>
          </w:tcPr>
          <w:p>
            <w:r>
              <w:rPr>
                <w:noProof/>
              </w:rPr>
              <w:t xml:space="preserve">{{gebaeude.waermebedarf}}</w:t>
            </w:r>
          </w:p>
        </w:tc>
      </w:tr>
      <w:tr>
        <w:tc>
          <w:tcPr>
            <w:tcW w:w="3600" w:type="dxa"/>
            <w:shd w:val="clear" w:color="auto" w:fill="F2F2F2"/>
            <w:vAlign w:val="center"/>
          </w:tcPr>
          <w:p>
            <w:r>
              <w:t xml:space="preserve">spez. Wärmeverbrauch</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Warmwasserbedarf</w:t>
            </w:r>
          </w:p>
        </w:tc>
        <w:tc>
          <w:tcPr>
            <w:tcW w:w="5755" w:type="dxa"/>
            <w:vAlign w:val="center"/>
          </w:tcPr>
          <w:p>
            <w:r>
              <w:rPr>
                <w:noProof/>
              </w:rPr>
              <w:t xml:space="preserve">{{gebaeude.ww_bedarf}}</w:t>
            </w:r>
          </w:p>
        </w:tc>
      </w:tr>
      <w:tr>
        <w:tc>
          <w:tcPr>
            <w:tcW w:w="3600" w:type="dxa"/>
            <w:shd w:val="clear" w:color="auto" w:fill="F2F2F2"/>
            <w:vAlign w:val="center"/>
          </w:tcPr>
          <w:p>
            <w:r>
              <w:t xml:space="preserve">Raumhöhe</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Energiebedarf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Deckungsgrade je Bedarfsart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Kältebedarf und -deckung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Kälteerzeuger</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Gebäude (Simulationsergebnis Stamm)</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Pufferspeicher-Auslegung</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Kältespeicher</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Speichertemperaturen (Schichtmodell)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Speichertemperaturen in charakteristischen Wochen (Winter/Übergang/Sommer)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Komponentenübersicht</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Wärmepumpe</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BHKW</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Spitzenkessel</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Solarthermie</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Photovoltaik</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Pufferspeicher</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Stromspeicher</w:t>
      </w:r>
    </w:p>
    <w:p>
      <w:pPr>
        <w:pStyle w:val="Normal"/>
      </w:pPr>
      <w:r>
        <w:rPr>
          <w:noProof/>
        </w:rPr>
        <w:t xml:space="preserve">{{tabelle.komponenten.kenndaten.stromspeicher}}</w:t>
      </w:r>
    </w:p>
    <w:p>
      <w:pPr>
        <w:pStyle w:val="Normal"/>
      </w:pPr>
      <w:r>
        <w:rPr>
          <w:noProof/>
        </w:rPr>
        <w:t xml:space="preserve">{{/wenn}}</w:t>
      </w:r>
    </w:p>
    <w:p>
      <w:pPr>
        <w:pStyle w:val="Normal"/>
      </w:pPr>
      <w:r>
        <w:rPr>
          <w:noProof/>
        </w:rPr>
        <w:t xml:space="preserve">{{#wenn hat.tabelle.komponenten.kenndaten.kaeltemaschine}}</w:t>
      </w:r>
    </w:p>
    <w:p>
      <w:pPr>
        <w:pStyle w:val="Heading2"/>
      </w:pPr>
      <w:r>
        <w:t xml:space="preserve">Kältemaschine</w:t>
      </w:r>
    </w:p>
    <w:p>
      <w:pPr>
        <w:pStyle w:val="Normal"/>
      </w:pPr>
      <w:r>
        <w:rPr>
          <w:noProof/>
        </w:rPr>
        <w:t xml:space="preserve">{{tabelle.komponenten.kenndaten.kaeltemaschine}}</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Abweichungen der Varianten gegenüber dem Stamm</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Simulationsstand: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Wärmeerzeugung im Jahresverlauf (gestapelte Erzeuger, Bedarf als Linie, Tagesmittel)</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Jahresdauerlinie Wärme (geordnete Bedarfs- und Erzeugerdauerlinien)</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Strombilanz im Monatsverlauf (Deckung gestapelt, Einspeisung separat, Bedarf als Linie)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Speicherverlauf in charakteristischen Wochen (Winter/Übergang/Sommer)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Wärmelast im Jahresverlauf (normiert, Summe und Wärmekanäle)</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Strombedarf im Jahresverlauf (normiert)</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Kältelast im Jahresverlauf (normiert)</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Wärmeproduktion und Heizstab mit Wärmebedarf</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Stromverbrauch samt Heizstab</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Leistung über der Außentemperatur</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Heizkessel: Wärmeproduktion, Restwärme und Wärmebedarf</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Solarthermie: Wärmeproduktion und Wärmebedarf</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Wärmeproduktion, Restwärme und Wärmebedarf</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Stromproduktion, Einspeisung, Reststrombedarf und Strombedarf</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Photovoltaik: Erzeugung, Überschuss und Strombedarf</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Kälteproduktion: gedeckte Kälte je Wärmepumpe, ungedeckte Kälte und Kältebedarf</w:t>
      </w:r>
    </w:p>
    <w:p>
      <w:pPr>
        <w:pStyle w:val="Normal"/>
      </w:pPr>
      <w:r>
        <w:rPr>
          <w:noProof/>
        </w:rPr>
        <w:t xml:space="preserve">{{/wenn}}</w:t>
      </w:r>
    </w:p>
    <w:p>
      <w:pPr>
        <w:pStyle w:val="Normal"/>
      </w:pPr>
      <w:r>
        <w:rPr>
          <w:noProof/>
        </w:rPr>
        <w:t xml:space="preserve">{{#wenn hat.tabelle.heizkessel}}</w:t>
      </w:r>
    </w:p>
    <w:p>
      <w:pPr>
        <w:pStyle w:val="Normal"/>
      </w:pPr>
      <w:r>
        <w:t xml:space="preserve">Betrieb je Heizkessel: Jahresnutzungsgrad, Anteil des Brennwertbetriebs nach Stunden und nach Wärme, Starts im Jahr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Stromspeicher: </w:t>
      </w:r>
      <w:r>
        <w:rPr>
          <w:noProof/>
        </w:rPr>
        <w:t xml:space="preserve">{{stand.speicher.betriebsart}}</w:t>
      </w:r>
      <w:r>
        <w:t xml:space="preserve">, </w:t>
      </w:r>
      <w:r>
        <w:rPr>
          <w:noProof/>
        </w:rPr>
        <w:t xml:space="preserve">{{stand.speicher.berechnungsart}}</w:t>
      </w:r>
    </w:p>
    <w:p>
      <w:pPr>
        <w:pStyle w:val="Normal"/>
      </w:pPr>
      <w:r>
        <w:t xml:space="preserve">Ertrag </w:t>
      </w:r>
      <w:r>
        <w:rPr>
          <w:noProof/>
        </w:rPr>
        <w:t xml:space="preserve">{{stand.speicher.ertrag}}</w:t>
      </w:r>
      <w:r>
        <w:t xml:space="preserve">, Überschuss </w:t>
      </w:r>
      <w:r>
        <w:rPr>
          <w:noProof/>
        </w:rPr>
        <w:t xml:space="preserve">{{stand.speicher.ueberschuss}}</w:t>
      </w:r>
      <w:r>
        <w:t xml:space="preserve">, Amortisation </w:t>
      </w:r>
      <w:r>
        <w:rPr>
          <w:noProof/>
        </w:rPr>
        <w:t xml:space="preserve">{{stand.speicher.amortisation}}</w:t>
      </w:r>
    </w:p>
    <w:p>
      <w:pPr>
        <w:pStyle w:val="Normal"/>
      </w:pPr>
      <w:r>
        <w:t xml:space="preserve">Vollzyklen </w:t>
      </w:r>
      <w:r>
        <w:rPr>
          <w:noProof/>
        </w:rPr>
        <w:t xml:space="preserve">{{stand.speicher.vollzyklen}}</w:t>
      </w:r>
      <w:r>
        <w:t xml:space="preserve">, Eigenverbrauch </w:t>
      </w:r>
      <w:r>
        <w:rPr>
          <w:noProof/>
        </w:rPr>
        <w:t xml:space="preserve">{{stand.speicher.eigenverbrauch}}</w:t>
      </w:r>
      <w:r>
        <w:t xml:space="preserve">, Autarkie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Solare Deckung des Wärmebedarfs: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Es wurden keine Varianten ausgewählt — die Tabellen zeigen nur das Stammprojekt.</w:t>
      </w:r>
    </w:p>
    <w:p>
      <w:pPr>
        <w:pStyle w:val="Normal"/>
      </w:pPr>
      <w:r>
        <w:rPr>
          <w:noProof/>
        </w:rPr>
        <w:t xml:space="preserve">{{/wenn}}</w:t>
      </w:r>
    </w:p>
    <w:p>
      <w:pPr>
        <w:pStyle w:val="Normal"/>
      </w:pPr>
      <w:r>
        <w:rPr>
          <w:noProof/>
        </w:rPr>
        <w:t xml:space="preserve">{{#wenn hat.tabelle.vergleich.energiebilanz}}</w:t>
      </w:r>
    </w:p>
    <w:p>
      <w:pPr>
        <w:pStyle w:val="Heading2"/>
      </w:pPr>
      <w:r>
        <w:t xml:space="preserve">Energiebilanz</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Effizienz</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Kälte</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Gebäude</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Emissionen</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Kosten</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Abweichung zum Stamm (Schlüsselkennzahlen, in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Schlüsselkennzahlen je Stand</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Stand</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Spanne der Jahresarbeitszahl über alle Stände: </w:t>
      </w:r>
      <w:r>
        <w:rPr>
          <w:noProof/>
        </w:rPr>
        <w:t xml:space="preserve">{{vergleich.minimum.eff.jaz|stellen 1}}</w:t>
      </w:r>
      <w:r>
        <w:t xml:space="preserve"> bis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Kennzahlen im Vergleich (Diagramme)</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je Variante (Stamm hervorgehoben)</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je Variante (Stamm hervorgehoben)</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je Variante (Stamm hervorgehoben)</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je Variante (Stamm hervorgehoben)</w:t>
      </w:r>
    </w:p>
    <w:p>
      <w:pPr>
        <w:pStyle w:val="Normal"/>
      </w:pPr>
      <w:r>
        <w:rPr>
          <w:noProof/>
        </w:rPr>
        <w:t xml:space="preserve">{{/wenn}}</w:t>
      </w:r>
    </w:p>
    <w:p>
      <w:pPr>
        <w:pStyle w:val="Heading2"/>
      </w:pPr>
      <w:commentRangeStart w:id="13"/>
      <w:r>
        <w:t xml:space="preserve">Deckungsdiagramme</w:t>
      </w:r>
      <w:commentRangeEnd w:id="13"/>
      <w:r>
        <w:commentReference w:id="13"/>
      </w:r>
    </w:p>
    <w:p>
      <w:pPr>
        <w:pStyle w:val="Hinweis"/>
      </w:pPr>
      <w:r>
        <w:t xml:space="preserve">Anteile an der Wärme- bzw. Stromdeckung je Projekt (aus den Deckungsgraden der Erzeuger; der Rest ist ungedeckte Wärme bzw. Netzbezug).</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Erzeuger — Einzelauflistung je Projekt</w:t>
      </w:r>
    </w:p>
    <w:p>
      <w:pPr>
        <w:pStyle w:val="Hinweis"/>
      </w:pPr>
      <w:r>
        <w:t xml:space="preserve">Je Projekt eine Zeile pro Gerät (Modul) mit erzeugter Energie; bei BHKW/Kessel der Brennstoff, bei der Wärmepumpe Strom (inkl. Heizstab).</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Brennstoffmengen</w:t>
      </w:r>
    </w:p>
    <w:p>
      <w:pPr>
        <w:pStyle w:val="Hinweis"/>
      </w:pPr>
      <w:r>
        <w:t xml:space="preserve">Aus dem Brennstoffverbrauch über den projektspezifischen effektiven Heizwert in die Abrechnungseinheit umgerechnete Menge.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Gebäude je Projekt</w:t>
      </w:r>
    </w:p>
    <w:p>
      <w:pPr>
        <w:pStyle w:val="Hinweis"/>
      </w:pPr>
      <w:r>
        <w:t xml:space="preserve">Je Projekt die Gebäudetafel mit Lüftungs- und Aufheizwerten; die Abweichung zum Stamm zeigt die Kennzahlgruppe „Gebäude“.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Kennzahlen im Szenario „Erwartet“</w:t>
      </w:r>
    </w:p>
    <w:p>
      <w:pPr>
        <w:pStyle w:val="Normal"/>
      </w:pPr>
      <w:r>
        <w:rPr>
          <w:noProof/>
        </w:rPr>
        <w:t xml:space="preserve">{{tabelle.wirtschaft.kennzahlen}}</w:t>
      </w:r>
    </w:p>
    <w:p>
      <w:pPr>
        <w:pStyle w:val="Normal"/>
      </w:pPr>
      <w:commentRangeStart w:id="15"/>
      <w:r>
        <w:t xml:space="preserve">Auf einen Blick:</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Stand</w:t>
            </w:r>
          </w:p>
        </w:tc>
        <w:tc>
          <w:tcPr>
            <w:tcW w:w="1250" w:type="dxa"/>
            <w:vAlign w:val="center"/>
          </w:tcPr>
          <w:p>
            <w:r>
              <w:t xml:space="preserve">Investition [€]</w:t>
            </w:r>
          </w:p>
        </w:tc>
        <w:tc>
          <w:tcPr>
            <w:tcW w:w="1250" w:type="dxa"/>
            <w:vAlign w:val="center"/>
          </w:tcPr>
          <w:p>
            <w:r>
              <w:t xml:space="preserve">Betriebskosten [€/a]</w:t>
            </w:r>
          </w:p>
        </w:tc>
        <w:tc>
          <w:tcPr>
            <w:tcW w:w="1250" w:type="dxa"/>
            <w:vAlign w:val="center"/>
          </w:tcPr>
          <w:p>
            <w:r>
              <w:t xml:space="preserve">Energiekosten [€/a]</w:t>
            </w:r>
          </w:p>
        </w:tc>
        <w:tc>
          <w:tcPr>
            <w:tcW w:w="1250" w:type="dxa"/>
            <w:vAlign w:val="center"/>
          </w:tcPr>
          <w:p>
            <w:r>
              <w:t xml:space="preserve">Nettobarwert [€]</w:t>
            </w:r>
          </w:p>
        </w:tc>
        <w:tc>
          <w:tcPr>
            <w:tcW w:w="1250" w:type="dxa"/>
            <w:vAlign w:val="center"/>
          </w:tcPr>
          <w:p>
            <w:r>
              <w:t xml:space="preserve">Kapitalwertdifferenz [€]</w:t>
            </w:r>
          </w:p>
        </w:tc>
        <w:tc>
          <w:tcPr>
            <w:tcW w:w="1250" w:type="dxa"/>
            <w:vAlign w:val="center"/>
          </w:tcPr>
          <w:p>
            <w:r>
              <w:t xml:space="preserve">Amortisation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KWK-Zuschlag je Modul</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Betriebskosten nach Kostenarten</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Kapitalwert-Verlauf über den Betrachtungszeitraum</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Von der Investition zur Kapitalwertdifferenz</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Mehrjahresübersicht der Zahlungsströme</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Nachweis — nicht Teil des Zahlungsstroms</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Szenarien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Beste Variante: </w:t>
      </w:r>
      <w:r>
        <w:rPr>
          <w:noProof/>
        </w:rPr>
        <w:t xml:space="preserve">{{wirtschaft.beste.anzeige}}</w:t>
      </w:r>
      <w:r>
        <w:t xml:space="preserve"> mit einer Kapitalwertdifferenz von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Nicht monetäre Wirkungen</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Sensitivitätsanalyse (Szenario „Erwartet“)</w:t>
      </w:r>
    </w:p>
    <w:p>
      <w:pPr>
        <w:pStyle w:val="Hinweis"/>
      </w:pPr>
      <w:r>
        <w:t xml:space="preserve">Kapitalwert der Variante gegenüber dem Stamm bei Veränderung je eines Einflussparameters; Zins und Preissteigerung wirken auf beide Projekte, Investitions- und Energiekosten-Ausschlag nur auf die Variante.</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Strommengen</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Emissionsbilanz — gekoppelte vs. getrennte Erzeugung</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Simulationsstände</w:t>
      </w:r>
    </w:p>
    <w:p>
      <w:pPr>
        <w:pStyle w:val="Normal"/>
      </w:pPr>
      <w:r>
        <w:rPr>
          <w:noProof/>
        </w:rPr>
        <w:t xml:space="preserve">{{tabelle.anhang.simulationsstaende}}</w:t>
      </w:r>
    </w:p>
    <w:p>
      <w:pPr>
        <w:pStyle w:val="Heading2"/>
      </w:pPr>
      <w:r>
        <w:t xml:space="preserve">Datengrundlage und Methodik</w:t>
      </w:r>
    </w:p>
    <w:p>
      <w:pPr>
        <w:pStyle w:val="Normal"/>
      </w:pPr>
      <w:r>
        <w:t xml:space="preserve">Für diesen Bericht wurde jedes aufgeführte Projekt neu simuliert (stündliche Jahresrechnung) und anschließend wirtschaftlich bewertet; die Zahlen aller Kapitel stammen damit aus demselben Rechenlauf.</w:t>
      </w:r>
    </w:p>
    <w:p>
      <w:pPr>
        <w:pStyle w:val="Normal"/>
      </w:pPr>
      <w:r>
        <w:t xml:space="preserve">Grundlage sind die je Projekt gespeicherten Simulationsergebnisse der EPOS-Plan-Simulation (stündliche Jahresrechnung). Varianten sind eigenständige Projektkopien, verknüpft über die Variantenliste des Stammprojekts.</w:t>
      </w:r>
    </w:p>
    <w:p>
      <w:pPr>
        <w:pStyle w:val="Normal"/>
      </w:pPr>
      <w:r>
        <w:t xml:space="preserve">Gerätedaten stammen aus den hinterlegten Katalogen oder manuellen Eingaben, Klimadaten aus der dem Projekt zugeordneten Klimaregion.</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Stamm</w:t>
            </w:r>
            <w:commentRangeEnd w:id="21"/>
            <w:r>
              <w:commentReference w:id="21"/>
            </w:r>
          </w:p>
        </w:tc>
        <w:tc>
          <w:tcPr>
            <w:tcW w:w="2338" w:type="dxa"/>
            <w:shd w:val="clear" w:color="auto" w:fill="DCE6F0"/>
            <w:vAlign w:val="center"/>
          </w:tcPr>
          <w:p>
            <w:r>
              <w:rPr>
                <w:b/>
                <w:color w:val="1F4E79"/>
              </w:rPr>
              <w:t xml:space="preserve">Gruppe</w:t>
            </w:r>
          </w:p>
        </w:tc>
        <w:tc>
          <w:tcPr>
            <w:tcW w:w="2338" w:type="dxa"/>
            <w:shd w:val="clear" w:color="auto" w:fill="E7E6E6"/>
            <w:vAlign w:val="center"/>
          </w:tcPr>
          <w:p>
            <w:r>
              <w:rPr>
                <w:b/>
              </w:rPr>
              <w:t xml:space="preserve">Summe</w:t>
            </w:r>
          </w:p>
        </w:tc>
        <w:tc>
          <w:tcPr>
            <w:tcW w:w="2338" w:type="dxa"/>
            <w:vAlign w:val="center"/>
          </w:tcPr>
          <w:p>
            <w:r>
              <w:rPr>
                <w:color w:val="C00000"/>
              </w:rPr>
              <w:t xml:space="preserve">Warnung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Ausführliche Vorlage – der volle Bericht aus Einzelelementen, frei umbaubar. Sie enthält dieselben Inhalte in derselben Reihenfolge wie die Standardvorlage, aber jeder Abschnitt besteht aus einzelnen Platzhaltern statt aus einem ganzen Kapitel. So lässt sich jeder Teil verschieben, umformatieren, kürzen oder löschen.</w:t>
      </w:r>
    </w:p>
    <w:p>
      <w:r>
        <w:t xml:space="preserve">Text in doppelten geschweiften Klammern ist ein Platzhalter, etwa {{projekt.kunde}}: Beim Erstellen setzt EPOS-Plan an seine Stelle den Wert aus dem Projekt, in Schrift, Größe und Farbe des Platzhalters. Hinter einem senkrechten Strich folgt wahlweise eine Formatangabe, etwa |leer statt strich. Der Text zwischen den Klammern muss unverändert bleiben; der Platzhalterkatalog der Berichtsseite nennt alle Schlüssel.</w:t>
      </w:r>
    </w:p>
    <w:p>
      <w:r>
        <w:t xml:space="preserve">Das Deckblatt ist ein eigener Abschnitt ohne Kopf- und Fußzeile; seine Beschriftungen ({{text.kunde}} …) erscheinen in der Sprache des Berichts. Kopf- und Fußzeile tragen ebenfalls Platzhalter (Word erlaubt dort keine Kommentare): Das Bild rechts oben ist der Bildplatzhalter {{bild.ersteller.logo}} für das Logo aus den Einstellungen; die Seitenzahlen sind Word-Felder.</w:t>
      </w:r>
    </w:p>
    <w:p>
      <w:r>
        <w:t xml:space="preserve">Diese Datei ist schreibgeschützt. „Neue Vorlage…“ mit „Kopie von: Ausführliche Vorlage“ legt eine Kopie an, die Sie frei ändern. Kommentare erscheinen nicht im fertigen Bericht.</w:t>
      </w:r>
    </w:p>
  </w:comment>
  <w:comment w:initials="EP" w:author="EPOS-Plan" w:id="1">
    <w:p>
      <w:r>
        <w:annotationRef/>
      </w:r>
      <w:r>
        <w:t xml:space="preserve">Das Inhaltsverzeichnis ist ein gewöhnliches Word-Feld (TOC) über die Überschriften 1 bis 3 – kein Platzhalter. EPOS-Plan lässt Word das Feld beim Öffnen des Berichts aktualisieren. Wer kein Verzeichnis will, löscht Überschrift, Feld und Seitenumbruch.</w:t>
      </w:r>
    </w:p>
  </w:comment>
  <w:comment w:initials="EP" w:author="EPOS-Plan" w:id="2">
    <w:p>
      <w:r>
        <w:annotationRef/>
      </w:r>
      <w:r>
        <w:t xml:space="preserve">Kapitelkopf im Absatzformat „EPOS Kapitelkopf“: {{text.kapitel_projekt}} setzt den Titel des Abschnitts in der Sprache des Berichts ein; eigener Text statt des Platzhalters ist erlaubt. Darunter steht die Projektbeschreibung aus Einzelwerten – die Tabelle hat links feste Beschriftungen, rechts Platzhalter.</w:t>
      </w:r>
    </w:p>
    <w:p>
      <w:r>
        <w:t xml:space="preserve">Nicht als Einzelelement verfügbar sind die Zonentafeln je Gebäude und die Tafeln der Heiz- und Kühlkreise (Anlagenkopplung). Wer sie braucht, ersetzt diesen Abschnitt bis zum nächsten Kapitelkopf durch einen Absatz mit {{kapitel.projekt|ohne titel}} – dann schreibt EPOS-Plan das ganze Kapitel.</w:t>
      </w:r>
    </w:p>
  </w:comment>
  <w:comment w:initials="EP" w:author="EPOS-Plan" w:id="3">
    <w:p>
      <w:r>
        <w:annotationRef/>
      </w:r>
      <w:r>
        <w:t xml:space="preserve">{{#wenn hat.gebaeude}} … {{/wenn}} zeigt die Überschrift nur, wenn das Projekt Gebäude führt. Der Block {{#je gebaeude}} … {{/je}} wiederholt Überschrift und Tabelle für jedes Gebäude des Stammprojekts; {{gebaeude.*}}-Platzhalter gelten nur darin. Die Absätze mit den Blockmarken entfallen im Bericht.</w:t>
      </w:r>
    </w:p>
  </w:comment>
  <w:comment w:initials="EP" w:author="EPOS-Plan" w:id="4">
    <w:p>
      <w:r>
        <w:annotationRef/>
      </w:r>
      <w:r>
        <w:t xml:space="preserve">Kennzahlen des Stammprojekts: links {{kennzahl.&lt;k&gt;.beschriftung}} – die Beschriftung der Kennzahl in der Sprache des Berichts –, rechts {{stamm.kennzahl.&lt;k&gt;}} mit Zahl und Einheit. Eine Zeile entfernen oder eine weitere Kennzahl eintragen ist erlaubt; der Platzhalterkatalog nennt alle Kennzahlen. Fehlt ein Wert, steht ein Strich.</w:t>
      </w:r>
    </w:p>
  </w:comment>
  <w:comment w:initials="EP" w:author="EPOS-Plan" w:id="5">
    <w:p>
      <w:r>
        <w:annotationRef/>
      </w:r>
      <w:r>
        <w:t xml:space="preserve">Ein bedingter Abschnitt: Alles zwischen {{#wenn hat.kaelte}} und {{/wenn}} erscheint nur, wenn das Projekt Kälte rechnet. {{tabelle.kaelteerzeuger}} allein im Absatz ist eine Strukturtabelle: EPOS-Plan baut Zeilen und Spalten selbst, das Aussehen folgt dem Format „EPOS Tabelle“ und der Mustertabelle am Ende.</w:t>
      </w:r>
    </w:p>
  </w:comment>
  <w:comment w:initials="EP" w:author="EPOS-Plan" w:id="6">
    <w:p>
      <w:r>
        <w:annotationRef/>
      </w:r>
      <w:r>
        <w:t xml:space="preserve">Jede Strukturtabelle und jedes Bild hat einen Schalter hat.tabelle.&lt;name&gt; bzw. hat.bild.&lt;name&gt;: Mit {{#wenn …}} entfällt die Überschrift, wenn es nichts zu zeigen gibt. Das Bild darunter ist ein Bildrahmen mit dem Schlüssel {{stamm.bild.speichertemperaturen}} im Alternativtext; EPOS-Plan zeichnet das Diagramm in der Breite des Rahmens. Rahmen verkleinern oder verschieben ist erlaubt.</w:t>
      </w:r>
    </w:p>
  </w:comment>
  <w:comment w:initials="EP" w:author="EPOS-Plan" w:id="7">
    <w:p>
      <w:r>
        <w:annotationRef/>
      </w:r>
      <w:r>
        <w:t xml:space="preserve">Komponenten und Varianten aus Strukturtabellen. Tabellen mit Spalten je Stand teilt EPOS-Plan in Blöcke zu höchstens drei Varianten, die Stammspalte wiederholt sich je Block; mit |block 2 hinter dem Schlüssel werden die Blöcke kleiner.</w:t>
      </w:r>
    </w:p>
    <w:p>
      <w:r>
        <w:t xml:space="preserve">Je Gewerk steht die Tafel in einem {{#wenn hat.tabelle.komponenten.kenndaten.&lt;gewerk&gt;}}-Block: Ohne Gerät dieses Gewerks entfällt die Überschrift. Ein Gewerk, das nicht interessiert, löscht man samt Block.</w:t>
      </w:r>
    </w:p>
  </w:comment>
  <w:comment w:initials="EP" w:author="EPOS-Plan" w:id="8">
    <w:p>
      <w:r>
        <w:annotationRef/>
      </w:r>
      <w:r>
        <w:t xml:space="preserve">{{#je variante}} … {{/je}} wiederholt seinen Inhalt für jede verglichene Variante, ohne das Stammprojekt ({{#je stand}} nimmt das Stammprojekt dazu). {{stand.tabelle.abweichungen}} ist die Tabelle des laufenden Stands; ohne Abweichung steht dort ein Strich mit Grund.</w:t>
      </w:r>
    </w:p>
  </w:comment>
  <w:comment w:initials="EP" w:author="EPOS-Plan" w:id="9">
    <w:p>
      <w:r>
        <w:annotationRef/>
      </w:r>
      <w:r>
        <w:t xml:space="preserve">Der Block {{#je stand}} … {{/je}} wiederholt alles dazwischen für das Stammprojekt und jede Variante: Überschrift, Simulationsstand, Kennzahltabelle und die Diagramme des Stands. {{stand.rolle}} ist „Stamm“ oder „Variante“, {{stand.anzeige}} der Name.</w:t>
      </w:r>
    </w:p>
    <w:p>
      <w:r>
        <w:t xml:space="preserve">Innerhalb des Blocks gelten die Schalter für den laufenden Stand: {{#wenn hat.bild.waerme_jahresverlauf}} zeigt das Bild nur, wenn der Stand Stundenreihen hat. Blöcke dürfen zwei Ebenen tief geschachtelt werden, nicht tiefer.</w:t>
      </w:r>
    </w:p>
  </w:comment>
  <w:comment w:initials="EP" w:author="EPOS-Plan" w:id="10">
    <w:p>
      <w:r>
        <w:annotationRef/>
      </w:r>
      <w:r>
        <w:t xml:space="preserve">Der Variantenvergleich aus Strukturtabellen je Kennzahlgruppe; darüber die verglichenen Varianten ({{text.varianten}}, {{bericht.varianten.liste}}). Die Δ-Spalte erscheint nur bei genau einer Variante, die Tafel der prozentualen Abweichung ab zwei Varianten. Ohne Varianten zeigt der Hinweis im Block {{#wenn nicht hat.varianten}}, dass nur das Stammprojekt verglichen wird.</w:t>
      </w:r>
    </w:p>
  </w:comment>
  <w:comment w:initials="EP" w:author="EPOS-Plan" w:id="11">
    <w:p>
      <w:r>
        <w:annotationRef/>
      </w:r>
      <w:r>
        <w:t xml:space="preserve">Eine Tabelle aus Einzelwerten: Die zweite Zeile ist eine Musterzeile – {{#je stand}} in der ersten, {{/je}} in der letzten Zelle. EPOS-Plan wiederholt sie für das Stammprojekt und jede Variante; bei „Variante 1“ und „Variante 2“ entstehen drei Zeilen. Verbundene Zellen sind in der Musterzeile nicht erlaubt.</w:t>
      </w:r>
    </w:p>
    <w:p>
      <w:r>
        <w:t xml:space="preserve">Der Kopf nennt Beschriftung und Einheit jeder Kennzahl ({{kennzahl.&lt;k&gt;.beschriftung}}, {{kennzahl.&lt;k&gt;.einheit}}), die Werte stehen deshalb mit |ohne einheit; |stellen 1 zeigt eine Nachkommastelle. Eine Spalte austauschen: den Schlüssel in Kopf und Musterzeile ändern.</w:t>
      </w:r>
    </w:p>
    <w:p>
      <w:r>
        <w:t xml:space="preserve">Darunter Einzelwerte über alle Stände: {{vergleich.minimum.&lt;k&gt;}} und {{vergleich.maximum.&lt;k&gt;}} nennen den kleinsten und größten Wert einer Kennzahl.</w:t>
      </w:r>
    </w:p>
  </w:comment>
  <w:comment w:initials="EP" w:author="EPOS-Plan" w:id="12">
    <w:p>
      <w:r>
        <w:annotationRef/>
      </w:r>
      <w:r>
        <w:t xml:space="preserve">Die Balkendiagramme vergleichen je eine Kennzahl über alle Stände. Jeder Bildrahmen hat die volle Breite; die Höhe passt EPOS-Plan der Zahl der Stände an. Die Beschriftung darunter setzt sich aus {{kennzahl.&lt;k&gt;.beschriftung}} und festem Text zusammen.</w:t>
      </w:r>
    </w:p>
  </w:comment>
  <w:comment w:initials="EP" w:author="EPOS-Plan" w:id="13">
    <w:p>
      <w:r>
        <w:annotationRef/>
      </w:r>
      <w:r>
        <w:t xml:space="preserve">Zwei Bilder nebeneinander: eine zweispaltige Tabelle ohne Rahmen, in jeder Zelle ein Bildrahmen in halber Breite. EPOS-Plan zeichnet jedes Diagramm in dieser Größe, die Schrift bleibt lesbar. Der Block {{#je stand}} wiederholt Überschrift und Bilder je Stand, {{#wenn hat.ergebnis}} lässt einen Stand ohne Ergebnis aus.</w:t>
      </w:r>
    </w:p>
  </w:comment>
  <w:comment w:initials="EP" w:author="EPOS-Plan" w:id="14">
    <w:p>
      <w:r>
        <w:annotationRef/>
      </w:r>
      <w:r>
        <w:t xml:space="preserve">Die Wirtschaftlichkeit aus Einzelelementen. {{wirtschaft.methodik}} ist der Methodiksatz, {{wirtschaft.parameternachweis}} die Nachweiszeile der Parameter dieses Rechenlaufs. Listen wie {{wirtschaft.valeri_hinweise}} und {{wirtschaft.deklarationen}} werden zu einer Aufzählung und entfallen, wenn sie leer sind.</w:t>
      </w:r>
    </w:p>
    <w:p>
      <w:r>
        <w:t xml:space="preserve">{{wirtschaft.warnungen}} ist die Warnliste der Wirtschaftlichkeit (veraltete oder unvollständige Rechnung, Rückfall auf den gespeicherten Stand, Warnungen einzelner Zellen). Wer Wirtschaftlichkeitswerte zeigt, sollte sie behalten – sonst meldet die Vorlagenprüfung „Gültigkeitshinweise fehlen“.</w:t>
      </w:r>
    </w:p>
  </w:comment>
  <w:comment w:initials="EP" w:author="EPOS-Plan" w:id="15">
    <w:p>
      <w:r>
        <w:annotationRef/>
      </w:r>
      <w:r>
        <w:t xml:space="preserve">Eine Musterzeile mit Wirtschaftlichkeitswerten je Stand: {{stand.wirtschaft.&lt;zeile&gt;}} nimmt eine Zeile der Kennzahltafel im Szenario „Erwartet“, mit .guenstig bzw. .unguenstig am Ende das andere Szenario. Die Einheit steht im Kopf, die Werte deshalb mit |ohne einheit; |mit grund nennt den Grund, wenn ein Wert fehlt. Die Zahlen sind dieselben wie in der Tafel darüber.</w:t>
      </w:r>
    </w:p>
  </w:comment>
  <w:comment w:initials="EP" w:author="EPOS-Plan" w:id="16">
    <w:p>
      <w:r>
        <w:annotationRef/>
      </w:r>
      <w:r>
        <w:t xml:space="preserve">Die Diagramme der Wirtschaftlichkeit stehen je in einem {{#wenn hat.bild.…}}-Block: Ohne Modell – etwa ohne Stundenreihen – entfallen Überschrift und Rahmen.</w:t>
      </w:r>
    </w:p>
  </w:comment>
  <w:comment w:initials="EP" w:author="EPOS-Plan" w:id="17">
    <w:p>
      <w:r>
        <w:annotationRef/>
      </w:r>
      <w:r>
        <w:t xml:space="preserve">Je Stand der Zahlungsstrom als Bild und die Mehrjahrestafel, darunter der Nachweis der vermiedenen Kosten (nicht Teil des Zahlungsstroms). Bild und Tafeln gelten für den laufenden Stand.</w:t>
      </w:r>
    </w:p>
  </w:comment>
  <w:comment w:initials="EP" w:author="EPOS-Plan" w:id="18">
    <w:p>
      <w:r>
        <w:annotationRef/>
      </w:r>
      <w:r>
        <w:t xml:space="preserve">Die Überschrift setzt die Namen der drei Szenarien als Platzhalter ein ({{wirtschaft.szenario.&lt;s&gt;.name}}). Darunter die Szenarientafel, das Bild der Spanne, die Annahmen der Szenarien, der Vorschlag zur Entscheidung und ein Satz mit den Werten der besten Variante ({{wirtschaft.beste.*}}).</w:t>
      </w:r>
    </w:p>
  </w:comment>
  <w:comment w:initials="EP" w:author="EPOS-Plan" w:id="19">
    <w:p>
      <w:r>
        <w:annotationRef/>
      </w:r>
      <w:r>
        <w:t xml:space="preserve">Der Anhang: die Tafel der Simulationsstände, feste Sätze zur Datengrundlage – frei zu ändern – und {{bericht.warnungen}}, die Hinweise dieses Berichtslaufs als Aufzählung; ohne Hinweise entfällt sie.</w:t>
      </w:r>
    </w:p>
  </w:comment>
  <w:comment w:initials="EP" w:author="EPOS-Plan" w:id="20">
    <w:p>
      <w:r>
        <w:annotationRef/>
      </w:r>
      <w:r>
        <w:t xml:space="preserve">Anhang E: die Checkliste für den Bewertungsbericht als Strukturtabelle, nur wenn eine Wirtschaftlichkeit vorliegt. Die Spalte „Stelle“ nennt die Kapitel eines Berichts, der seine Kapitel als Kapitelplatzhalter führt; in einer Vorlage aus Einzelelementen steht dort „nicht im Bericht“. Wer die Stellen braucht, setzt hier {{kapitel.anhang_e|ohne titel}} und für die genannten Abschnitte ihre Kapitelplatzhalter.</w:t>
      </w:r>
    </w:p>
  </w:comment>
  <w:comment w:initials="EP" w:author="EPOS-Plan" w:id="21">
    <w:p>
      <w:r>
        <w:annotationRef/>
      </w:r>
      <w:r>
        <w:t xml:space="preserve">Die Mustertabelle mit dem Alternativtext {{muster.tabelle}}: Schattierung und Schrift jeder Zelle gelten für die Zeilen dieser Rolle in allen Strukturtabellen – Stamm, Gruppe, Summe, Warnung. Rahmen, Kopfzeile und Schriftgröße aller Tabellen folgen dem Tabellenformat „EPOS Tabelle“ dieser Datei. EPOS-Plan liest die Mustertabelle und entfernt sie aus dem Bericht.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Berichtsvorlage EPOS-Plan — ausführliche Vorlage</dc:title>
  <dc:creator>EPOS-Plan</dc:creator>
  <dc:description>Der volle Bericht aus Einzelelementen, frei umbaubar: Einzelwerte, Blöcke, Tabellen und Bilder in der Folge des Standardberichts, erläutert in Kommentaren; Kopie über „Neue Vorlage…“.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26</vt:i4>
  </op:property>
  <op:property fmtid="{D5CDD505-2E9C-101B-9397-08002B2CF9AE}" pid="3" name="EPOS.Vorlage">
    <vt:lpwstr>ausfuehrlich</vt:lpwstr>
  </op:property>
  <op:property fmtid="{D5CDD505-2E9C-101B-9397-08002B2CF9AE}" pid="4" name="EPOS.Sprache">
    <vt:lpwstr>de</vt:lpwstr>
  </op:property>
</op:Properties>
</file>