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55EA9" w14:textId="77777777" w:rsidR="003D2E31" w:rsidRDefault="00000000">
      <w:pPr>
        <w:pStyle w:val="berschrift1"/>
        <w:spacing w:before="0" w:after="0" w:line="275" w:lineRule="auto"/>
        <w:rPr>
          <w:rFonts w:ascii="Google Sans" w:eastAsia="Google Sans" w:hAnsi="Google Sans" w:cs="Google Sans"/>
          <w:color w:val="1F1F1F"/>
        </w:rPr>
      </w:pPr>
      <w:r>
        <w:rPr>
          <w:rFonts w:ascii="Google Sans" w:eastAsia="Google Sans" w:hAnsi="Google Sans" w:cs="Google Sans"/>
          <w:color w:val="1F1F1F"/>
        </w:rPr>
        <w:t>Systemarchitektur und elektrotechnische Auslegung von Photovoltaikanlagen: Module, Stränge und Wechselrichter</w:t>
      </w:r>
    </w:p>
    <w:p w14:paraId="74ED5A20" w14:textId="77777777" w:rsidR="003D2E31" w:rsidRDefault="00000000">
      <w:pPr>
        <w:pStyle w:val="berschrift2"/>
        <w:spacing w:before="0" w:after="0" w:line="275" w:lineRule="auto"/>
        <w:rPr>
          <w:rFonts w:ascii="Google Sans" w:eastAsia="Google Sans" w:hAnsi="Google Sans" w:cs="Google Sans"/>
          <w:color w:val="1F1F1F"/>
        </w:rPr>
      </w:pPr>
      <w:r>
        <w:rPr>
          <w:rFonts w:ascii="Google Sans" w:eastAsia="Google Sans" w:hAnsi="Google Sans" w:cs="Google Sans"/>
          <w:color w:val="1F1F1F"/>
        </w:rPr>
        <w:t>1 Einleitung und konzeptionelle Grundlagen</w:t>
      </w:r>
    </w:p>
    <w:p w14:paraId="50A76A92"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Die korrekte Auslegung von Photovoltaik-(PV)-Stromversorgungssystemen stellt eine komplexe, interdisziplinäre ingenieurtechnische Aufgabe dar. Sie erfordert ein tiefgreifendes Verständnis der physikalischen Eigenschaften von Halbleitern unter wechselnden klimatischen Bedingungen, der Topologie von Leistungselektronik in Wechselrichtern sowie der strikten Anwendung nationaler und internationaler Normen. Mit Stand vom 08.09.2026 bildet die technische Prüfung und Auslegung der Konfiguration zwischen PV-Modulen, DC-Strängen und MPP-Trackern (Maximum Power Point) den Kern einer jeden sicheren und ertragreichen Anlagenplanung.</w:t>
      </w:r>
    </w:p>
    <w:p w14:paraId="41B04113"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Die nachfolgende Dokumentation analysiert die physikalischen, regulatorischen und softwaretechnischen Zusammenhänge bei der Zusammenstellung von Modulen und Wechselrichtern. Grundlage dieser Betrachtung ist die Systemlogik, wie sie in fortschrittlichen computergestützten Planungswerkzeugen (beispielsweise implementiert in den C#-Modulen </w:t>
      </w:r>
      <w:proofErr w:type="spellStart"/>
      <w:r>
        <w:rPr>
          <w:rFonts w:ascii="Google Sans" w:eastAsia="Google Sans" w:hAnsi="Google Sans" w:cs="Google Sans"/>
          <w:color w:val="1F1F1F"/>
        </w:rPr>
        <w:t>EPOS.Kern</w:t>
      </w:r>
      <w:proofErr w:type="spellEnd"/>
      <w:r>
        <w:rPr>
          <w:rFonts w:ascii="Google Sans" w:eastAsia="Google Sans" w:hAnsi="Google Sans" w:cs="Google Sans"/>
          <w:color w:val="1F1F1F"/>
        </w:rPr>
        <w:t>/Allgemein/Import/</w:t>
      </w:r>
      <w:proofErr w:type="spellStart"/>
      <w:r>
        <w:rPr>
          <w:rFonts w:ascii="Google Sans" w:eastAsia="Google Sans" w:hAnsi="Google Sans" w:cs="Google Sans"/>
          <w:color w:val="1F1F1F"/>
        </w:rPr>
        <w:t>StrangPlausibilitaet.cs</w:t>
      </w:r>
      <w:proofErr w:type="spellEnd"/>
      <w:r>
        <w:rPr>
          <w:rFonts w:ascii="Google Sans" w:eastAsia="Google Sans" w:hAnsi="Google Sans" w:cs="Google Sans"/>
          <w:color w:val="1F1F1F"/>
        </w:rPr>
        <w:t xml:space="preserve"> für die Prüfung und </w:t>
      </w:r>
      <w:proofErr w:type="spellStart"/>
      <w:r>
        <w:rPr>
          <w:rFonts w:ascii="Google Sans" w:eastAsia="Google Sans" w:hAnsi="Google Sans" w:cs="Google Sans"/>
          <w:color w:val="1F1F1F"/>
        </w:rPr>
        <w:t>EPOS.Kern</w:t>
      </w:r>
      <w:proofErr w:type="spellEnd"/>
      <w:r>
        <w:rPr>
          <w:rFonts w:ascii="Google Sans" w:eastAsia="Google Sans" w:hAnsi="Google Sans" w:cs="Google Sans"/>
          <w:color w:val="1F1F1F"/>
        </w:rPr>
        <w:t>/Allgemein/Import/</w:t>
      </w:r>
      <w:proofErr w:type="spellStart"/>
      <w:r>
        <w:rPr>
          <w:rFonts w:ascii="Google Sans" w:eastAsia="Google Sans" w:hAnsi="Google Sans" w:cs="Google Sans"/>
          <w:color w:val="1F1F1F"/>
        </w:rPr>
        <w:t>StrangAuslegung.cs</w:t>
      </w:r>
      <w:proofErr w:type="spellEnd"/>
      <w:r>
        <w:rPr>
          <w:rFonts w:ascii="Google Sans" w:eastAsia="Google Sans" w:hAnsi="Google Sans" w:cs="Google Sans"/>
          <w:color w:val="1F1F1F"/>
        </w:rPr>
        <w:t xml:space="preserve"> für die Auslegungshilfe) realisiert wird. Ziel ist es, ein umfassendes, tiefgründiges Verständnis für die acht zentralen Auslegungsregeln, das dazugehörige Meldungswesen, die Softwarearchitektur der Validierung und die Methodik zur proaktiven Unterstützung der passenden Komponentenauswahl zu vermitteln. Dabei werden die statischen Auslegungsregeln in den Kontext dynamischer Umwelteinflüsse und aktueller Normen, wie der DIN VDE 0100-712 und der novellierten VDE-AR-N 4105:2026-03, gesetzt.</w:t>
      </w:r>
    </w:p>
    <w:p w14:paraId="21BD4E2C" w14:textId="77777777" w:rsidR="003D2E31" w:rsidRDefault="00000000">
      <w:pPr>
        <w:pStyle w:val="berschrift2"/>
        <w:spacing w:before="0" w:after="0" w:line="275" w:lineRule="auto"/>
        <w:rPr>
          <w:rFonts w:ascii="Google Sans" w:eastAsia="Google Sans" w:hAnsi="Google Sans" w:cs="Google Sans"/>
          <w:color w:val="1F1F1F"/>
        </w:rPr>
      </w:pPr>
      <w:r>
        <w:rPr>
          <w:rFonts w:ascii="Google Sans" w:eastAsia="Google Sans" w:hAnsi="Google Sans" w:cs="Google Sans"/>
          <w:color w:val="1F1F1F"/>
        </w:rPr>
        <w:t>2 Die Begriffswelt und topologische Struktur der Systemauslegung</w:t>
      </w:r>
    </w:p>
    <w:p w14:paraId="766CA068"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Um die Interaktion der Komponenten auf physikalischer und logischer Ebene präzise zu beschreiben, ist eine exakte Definition der verwendeten Parameter unerlässlich. Diese Definitionen bilden das semantische Fundament für die nachfolgenden mathematischen und logischen Verifikationsschritte.</w:t>
      </w:r>
    </w:p>
    <w:p w14:paraId="4052BF5A" w14:textId="77777777" w:rsidR="003D2E31" w:rsidRDefault="003D2E31">
      <w:pPr>
        <w:pBdr>
          <w:top w:val="nil"/>
          <w:left w:val="nil"/>
          <w:bottom w:val="nil"/>
          <w:right w:val="nil"/>
          <w:between w:val="nil"/>
        </w:pBdr>
        <w:spacing w:line="275" w:lineRule="auto"/>
        <w:rPr>
          <w:rFonts w:ascii="Google Sans" w:eastAsia="Google Sans" w:hAnsi="Google Sans" w:cs="Google Sans"/>
          <w:color w:val="1F1F1F"/>
        </w:rPr>
      </w:pP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3D2E31" w14:paraId="051C6EA3" w14:textId="77777777">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4183A60E" w14:textId="77777777" w:rsidR="003D2E3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Begriff</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72863010" w14:textId="77777777" w:rsidR="003D2E3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Definition und elektrotechnische Bedeutung</w:t>
            </w:r>
          </w:p>
        </w:tc>
        <w:tc>
          <w:tcPr>
            <w:tcW w:w="3120" w:type="dxa"/>
            <w:tcBorders>
              <w:top w:val="single" w:sz="6" w:space="0" w:color="C4C7C5"/>
              <w:left w:val="single" w:sz="6" w:space="0" w:color="C4C7C5"/>
              <w:bottom w:val="single" w:sz="6" w:space="0" w:color="C4C7C5"/>
              <w:right w:val="single" w:sz="6" w:space="0" w:color="C4C7C5"/>
            </w:tcBorders>
            <w:shd w:val="clear" w:color="auto" w:fill="EFEFEF"/>
            <w:tcMar>
              <w:top w:w="120" w:type="dxa"/>
              <w:left w:w="180" w:type="dxa"/>
              <w:bottom w:w="120" w:type="dxa"/>
              <w:right w:w="180" w:type="dxa"/>
            </w:tcMar>
          </w:tcPr>
          <w:p w14:paraId="20EED2DF" w14:textId="77777777" w:rsidR="003D2E3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Systemische Implikation in der Software</w:t>
            </w:r>
          </w:p>
        </w:tc>
      </w:tr>
      <w:tr w:rsidR="003D2E31" w14:paraId="6034E40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CD0A7B" w14:textId="77777777" w:rsidR="003D2E3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Modul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17CB0E"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Die kleinste zusammenhängende Stromerzeugungseinheit. Ein Katalogmodul wird durch Werte unter Standard-Testbedingungen (STC: 1.000 W/m², 25 °C Zelltemperatur, Air </w:t>
            </w:r>
            <w:proofErr w:type="spellStart"/>
            <w:r>
              <w:rPr>
                <w:rFonts w:ascii="Google Sans" w:eastAsia="Google Sans" w:hAnsi="Google Sans" w:cs="Google Sans"/>
                <w:color w:val="1F1F1F"/>
              </w:rPr>
              <w:t>Mass</w:t>
            </w:r>
            <w:proofErr w:type="spellEnd"/>
            <w:r>
              <w:rPr>
                <w:rFonts w:ascii="Google Sans" w:eastAsia="Google Sans" w:hAnsi="Google Sans" w:cs="Google Sans"/>
                <w:color w:val="1F1F1F"/>
              </w:rPr>
              <w:t xml:space="preserve"> 1,5) definiert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D59EAC" w14:textId="77777777" w:rsidR="003D2E3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Liefert die Basisparameter </w:t>
            </w:r>
            <w:r>
              <w:rPr>
                <w:rFonts w:ascii="Google Sans" w:eastAsia="Google Sans" w:hAnsi="Google Sans" w:cs="Google Sans"/>
                <w:noProof/>
                <w:color w:val="1F1F1F"/>
              </w:rPr>
              <w:drawing>
                <wp:inline distT="19050" distB="19050" distL="19050" distR="19050" wp14:anchorId="7699239E" wp14:editId="6BF855C3">
                  <wp:extent cx="269378" cy="253052"/>
                  <wp:effectExtent l="0" t="0" r="0" b="0"/>
                  <wp:docPr id="61"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
                          <a:srcRect/>
                          <a:stretch>
                            <a:fillRect/>
                          </a:stretch>
                        </pic:blipFill>
                        <pic:spPr>
                          <a:xfrm>
                            <a:off x="0" y="0"/>
                            <a:ext cx="269378" cy="253052"/>
                          </a:xfrm>
                          <a:prstGeom prst="rect">
                            <a:avLst/>
                          </a:prstGeom>
                          <a:ln/>
                        </pic:spPr>
                      </pic:pic>
                    </a:graphicData>
                  </a:graphic>
                </wp:inline>
              </w:drawing>
            </w:r>
            <w:r>
              <w:rPr>
                <w:rFonts w:ascii="Google Sans" w:eastAsia="Google Sans" w:hAnsi="Google Sans" w:cs="Google Sans"/>
                <w:color w:val="1F1F1F"/>
              </w:rPr>
              <w:t xml:space="preserve"> (Leerlaufspannung), </w:t>
            </w:r>
            <w:r>
              <w:rPr>
                <w:rFonts w:ascii="Google Sans" w:eastAsia="Google Sans" w:hAnsi="Google Sans" w:cs="Google Sans"/>
                <w:noProof/>
                <w:color w:val="1F1F1F"/>
              </w:rPr>
              <w:drawing>
                <wp:inline distT="19050" distB="19050" distL="19050" distR="19050" wp14:anchorId="30FF134D" wp14:editId="44943562">
                  <wp:extent cx="401836" cy="249138"/>
                  <wp:effectExtent l="0" t="0" r="0" b="0"/>
                  <wp:docPr id="6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
                          <a:srcRect/>
                          <a:stretch>
                            <a:fillRect/>
                          </a:stretch>
                        </pic:blipFill>
                        <pic:spPr>
                          <a:xfrm>
                            <a:off x="0" y="0"/>
                            <a:ext cx="401836" cy="249138"/>
                          </a:xfrm>
                          <a:prstGeom prst="rect">
                            <a:avLst/>
                          </a:prstGeom>
                          <a:ln/>
                        </pic:spPr>
                      </pic:pic>
                    </a:graphicData>
                  </a:graphic>
                </wp:inline>
              </w:drawing>
            </w:r>
            <w:r>
              <w:rPr>
                <w:rFonts w:ascii="Google Sans" w:eastAsia="Google Sans" w:hAnsi="Google Sans" w:cs="Google Sans"/>
                <w:color w:val="1F1F1F"/>
              </w:rPr>
              <w:t xml:space="preserve"> (Spannung im optimalen Arbeitspunkt), </w:t>
            </w:r>
            <w:r>
              <w:rPr>
                <w:rFonts w:ascii="Google Sans" w:eastAsia="Google Sans" w:hAnsi="Google Sans" w:cs="Google Sans"/>
                <w:noProof/>
                <w:color w:val="1F1F1F"/>
              </w:rPr>
              <w:drawing>
                <wp:inline distT="19050" distB="19050" distL="19050" distR="19050" wp14:anchorId="04D0C43A" wp14:editId="58048D75">
                  <wp:extent cx="219522" cy="252043"/>
                  <wp:effectExtent l="0" t="0" r="0" b="0"/>
                  <wp:docPr id="6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
                          <a:srcRect/>
                          <a:stretch>
                            <a:fillRect/>
                          </a:stretch>
                        </pic:blipFill>
                        <pic:spPr>
                          <a:xfrm>
                            <a:off x="0" y="0"/>
                            <a:ext cx="219522" cy="252043"/>
                          </a:xfrm>
                          <a:prstGeom prst="rect">
                            <a:avLst/>
                          </a:prstGeom>
                          <a:ln/>
                        </pic:spPr>
                      </pic:pic>
                    </a:graphicData>
                  </a:graphic>
                </wp:inline>
              </w:drawing>
            </w:r>
            <w:r>
              <w:rPr>
                <w:rFonts w:ascii="Google Sans" w:eastAsia="Google Sans" w:hAnsi="Google Sans" w:cs="Google Sans"/>
                <w:color w:val="1F1F1F"/>
              </w:rPr>
              <w:t xml:space="preserve"> (Kurzschlussstrom), </w:t>
            </w:r>
            <w:r>
              <w:rPr>
                <w:rFonts w:ascii="Google Sans" w:eastAsia="Google Sans" w:hAnsi="Google Sans" w:cs="Google Sans"/>
                <w:noProof/>
                <w:color w:val="1F1F1F"/>
              </w:rPr>
              <w:drawing>
                <wp:inline distT="19050" distB="19050" distL="19050" distR="19050" wp14:anchorId="41B397AC" wp14:editId="21CE76FB">
                  <wp:extent cx="333127" cy="245880"/>
                  <wp:effectExtent l="0" t="0" r="0" b="0"/>
                  <wp:docPr id="6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33127" cy="245880"/>
                          </a:xfrm>
                          <a:prstGeom prst="rect">
                            <a:avLst/>
                          </a:prstGeom>
                          <a:ln/>
                        </pic:spPr>
                      </pic:pic>
                    </a:graphicData>
                  </a:graphic>
                </wp:inline>
              </w:drawing>
            </w:r>
            <w:r>
              <w:rPr>
                <w:rFonts w:ascii="Google Sans" w:eastAsia="Google Sans" w:hAnsi="Google Sans" w:cs="Google Sans"/>
                <w:color w:val="1F1F1F"/>
              </w:rPr>
              <w:t xml:space="preserve"> (Temperaturkoeffizient Spannung), </w:t>
            </w:r>
            <w:r>
              <w:rPr>
                <w:rFonts w:ascii="Google Sans" w:eastAsia="Google Sans" w:hAnsi="Google Sans" w:cs="Google Sans"/>
                <w:noProof/>
                <w:color w:val="1F1F1F"/>
              </w:rPr>
              <w:drawing>
                <wp:inline distT="19050" distB="19050" distL="19050" distR="19050" wp14:anchorId="08B73854" wp14:editId="77F8AA61">
                  <wp:extent cx="326926" cy="253367"/>
                  <wp:effectExtent l="0" t="0" r="0" b="0"/>
                  <wp:docPr id="6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26926" cy="253367"/>
                          </a:xfrm>
                          <a:prstGeom prst="rect">
                            <a:avLst/>
                          </a:prstGeom>
                          <a:ln/>
                        </pic:spPr>
                      </pic:pic>
                    </a:graphicData>
                  </a:graphic>
                </wp:inline>
              </w:drawing>
            </w:r>
            <w:r>
              <w:rPr>
                <w:rFonts w:ascii="Google Sans" w:eastAsia="Google Sans" w:hAnsi="Google Sans" w:cs="Google Sans"/>
                <w:color w:val="1F1F1F"/>
              </w:rPr>
              <w:t xml:space="preserve"> (Temperaturkoeffizient Strom) und </w:t>
            </w:r>
            <w:r>
              <w:rPr>
                <w:rFonts w:ascii="Google Sans" w:eastAsia="Google Sans" w:hAnsi="Google Sans" w:cs="Google Sans"/>
                <w:noProof/>
                <w:color w:val="1F1F1F"/>
              </w:rPr>
              <w:drawing>
                <wp:inline distT="19050" distB="19050" distL="19050" distR="19050" wp14:anchorId="19AD5077" wp14:editId="28F49736">
                  <wp:extent cx="407541" cy="247721"/>
                  <wp:effectExtent l="0" t="0" r="0" b="0"/>
                  <wp:docPr id="6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407541" cy="247721"/>
                          </a:xfrm>
                          <a:prstGeom prst="rect">
                            <a:avLst/>
                          </a:prstGeom>
                          <a:ln/>
                        </pic:spPr>
                      </pic:pic>
                    </a:graphicData>
                  </a:graphic>
                </wp:inline>
              </w:drawing>
            </w:r>
            <w:r>
              <w:rPr>
                <w:rFonts w:ascii="Google Sans" w:eastAsia="Google Sans" w:hAnsi="Google Sans" w:cs="Google Sans"/>
                <w:color w:val="1F1F1F"/>
              </w:rPr>
              <w:t xml:space="preserve"> (Nennleistung).</w:t>
            </w:r>
          </w:p>
        </w:tc>
      </w:tr>
      <w:tr w:rsidR="003D2E31" w14:paraId="61488E7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1BEB0E" w14:textId="77777777" w:rsidR="003D2E3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Strang (String)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15591F"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Eine Reihenschaltung von </w:t>
            </w:r>
            <w:r>
              <w:rPr>
                <w:rFonts w:ascii="Google Sans" w:eastAsia="Google Sans" w:hAnsi="Google Sans" w:cs="Google Sans"/>
                <w:noProof/>
                <w:color w:val="1F1F1F"/>
              </w:rPr>
              <w:drawing>
                <wp:inline distT="19050" distB="19050" distL="19050" distR="19050" wp14:anchorId="4A59AC03" wp14:editId="6D28CE2C">
                  <wp:extent cx="117575" cy="260344"/>
                  <wp:effectExtent l="0" t="0" r="0" b="0"/>
                  <wp:docPr id="6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117575" cy="260344"/>
                          </a:xfrm>
                          <a:prstGeom prst="rect">
                            <a:avLst/>
                          </a:prstGeom>
                          <a:ln/>
                        </pic:spPr>
                      </pic:pic>
                    </a:graphicData>
                  </a:graphic>
                </wp:inline>
              </w:drawing>
            </w:r>
            <w:r>
              <w:rPr>
                <w:rFonts w:ascii="Google Sans" w:eastAsia="Google Sans" w:hAnsi="Google Sans" w:cs="Google Sans"/>
                <w:color w:val="1F1F1F"/>
              </w:rPr>
              <w:t xml:space="preserve"> Solarmodulen. In dieser Verschaltung addieren sich die Einzelspannungen der Module zu einer Gesamtspannung, während der Strom durch das Glied mit dem geringsten Stromfluss (bzw. durch Baugleichheit) limitiert bleibt</w:t>
            </w:r>
            <w:r>
              <w:rPr>
                <w:rFonts w:ascii="Google Sans" w:eastAsia="Google Sans" w:hAnsi="Google Sans" w:cs="Google Sans"/>
                <w:color w:val="444746"/>
                <w:sz w:val="24"/>
                <w:szCs w:val="24"/>
                <w:vertAlign w:val="superscript"/>
              </w:rPr>
              <w:t>4</w:t>
            </w:r>
            <w:r>
              <w:rPr>
                <w:rFonts w:ascii="Google Sans" w:eastAsia="Google Sans" w:hAnsi="Google Sans" w:cs="Google Sans"/>
                <w:color w:val="1F1F1F"/>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08B65A" w14:textId="77777777" w:rsidR="003D2E3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Bestimmt die maximale Systemspannung und die Eingangsspannung am Wechselrichter. Wird in der Strangtabelle des PV-Dialogs als Parameter </w:t>
            </w:r>
            <w:r>
              <w:rPr>
                <w:rFonts w:ascii="Google Sans" w:eastAsia="Google Sans" w:hAnsi="Google Sans" w:cs="Google Sans"/>
                <w:noProof/>
                <w:color w:val="1F1F1F"/>
              </w:rPr>
              <w:drawing>
                <wp:inline distT="19050" distB="19050" distL="19050" distR="19050" wp14:anchorId="517A5B14" wp14:editId="5E04FA16">
                  <wp:extent cx="117575" cy="260344"/>
                  <wp:effectExtent l="0" t="0" r="0" b="0"/>
                  <wp:docPr id="6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117575" cy="260344"/>
                          </a:xfrm>
                          <a:prstGeom prst="rect">
                            <a:avLst/>
                          </a:prstGeom>
                          <a:ln/>
                        </pic:spPr>
                      </pic:pic>
                    </a:graphicData>
                  </a:graphic>
                </wp:inline>
              </w:drawing>
            </w:r>
            <w:r>
              <w:rPr>
                <w:rFonts w:ascii="Google Sans" w:eastAsia="Google Sans" w:hAnsi="Google Sans" w:cs="Google Sans"/>
                <w:color w:val="1F1F1F"/>
              </w:rPr>
              <w:t xml:space="preserve"> erfasst.</w:t>
            </w:r>
          </w:p>
        </w:tc>
      </w:tr>
      <w:tr w:rsidR="003D2E31" w14:paraId="5661A73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8E10B2" w14:textId="77777777" w:rsidR="003D2E3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Parallele Stränge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234F9C"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noProof/>
                <w:color w:val="1F1F1F"/>
              </w:rPr>
              <w:drawing>
                <wp:inline distT="19050" distB="19050" distL="19050" distR="19050" wp14:anchorId="7FFB0670" wp14:editId="5C32FED5">
                  <wp:extent cx="98599" cy="254714"/>
                  <wp:effectExtent l="0" t="0" r="0" b="0"/>
                  <wp:docPr id="68"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98599" cy="254714"/>
                          </a:xfrm>
                          <a:prstGeom prst="rect">
                            <a:avLst/>
                          </a:prstGeom>
                          <a:ln/>
                        </pic:spPr>
                      </pic:pic>
                    </a:graphicData>
                  </a:graphic>
                </wp:inline>
              </w:drawing>
            </w:r>
            <w:r>
              <w:rPr>
                <w:rFonts w:ascii="Google Sans" w:eastAsia="Google Sans" w:hAnsi="Google Sans" w:cs="Google Sans"/>
                <w:color w:val="1F1F1F"/>
              </w:rPr>
              <w:t xml:space="preserve"> physikalisch getrennte, jedoch identisch konfigurierte Stränge, die parallel auf denselben Leistungseingang geschaltet werden. Hier </w:t>
            </w:r>
            <w:r>
              <w:rPr>
                <w:rFonts w:ascii="Google Sans" w:eastAsia="Google Sans" w:hAnsi="Google Sans" w:cs="Google Sans"/>
                <w:color w:val="1F1F1F"/>
              </w:rPr>
              <w:lastRenderedPageBreak/>
              <w:t>addieren sich die Ströme, während die Spannung konstant bleibt</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B1F06F" w14:textId="77777777" w:rsidR="003D2E3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Kritisch für die Auslegung der Stromtragfähigkeit und des Kurzschlussstroms (</w:t>
            </w:r>
            <w:r>
              <w:rPr>
                <w:rFonts w:ascii="Google Sans" w:eastAsia="Google Sans" w:hAnsi="Google Sans" w:cs="Google Sans"/>
                <w:noProof/>
                <w:color w:val="1F1F1F"/>
              </w:rPr>
              <w:drawing>
                <wp:inline distT="19050" distB="19050" distL="19050" distR="19050" wp14:anchorId="2B670CDE" wp14:editId="2B65722C">
                  <wp:extent cx="219522" cy="252043"/>
                  <wp:effectExtent l="0" t="0" r="0" b="0"/>
                  <wp:docPr id="72"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
                          <a:srcRect/>
                          <a:stretch>
                            <a:fillRect/>
                          </a:stretch>
                        </pic:blipFill>
                        <pic:spPr>
                          <a:xfrm>
                            <a:off x="0" y="0"/>
                            <a:ext cx="219522" cy="252043"/>
                          </a:xfrm>
                          <a:prstGeom prst="rect">
                            <a:avLst/>
                          </a:prstGeom>
                          <a:ln/>
                        </pic:spPr>
                      </pic:pic>
                    </a:graphicData>
                  </a:graphic>
                </wp:inline>
              </w:drawing>
            </w:r>
            <w:r>
              <w:rPr>
                <w:rFonts w:ascii="Google Sans" w:eastAsia="Google Sans" w:hAnsi="Google Sans" w:cs="Google Sans"/>
                <w:color w:val="1F1F1F"/>
              </w:rPr>
              <w:t>) am Eingang des Wechselrichters.</w:t>
            </w:r>
          </w:p>
        </w:tc>
      </w:tr>
      <w:tr w:rsidR="003D2E31" w14:paraId="47221C8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58E176" w14:textId="77777777" w:rsidR="003D2E3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MPPT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CE6F12"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Maximum Power Point Tracker. Eine leistungselektronische Regelschleife im Wechselrichter, die Strom und Spannung kontinuierlich anpasst, um das maximale Leistungsprodukt abzugreifen</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87BB1D" w14:textId="77777777" w:rsidR="003D2E3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Jeder MPPT besitzt ein hardwarespezifisches Betriebsfenster (</w:t>
            </w:r>
            <w:r>
              <w:rPr>
                <w:rFonts w:ascii="Google Sans" w:eastAsia="Google Sans" w:hAnsi="Google Sans" w:cs="Google Sans"/>
                <w:noProof/>
                <w:color w:val="1F1F1F"/>
              </w:rPr>
              <w:drawing>
                <wp:inline distT="19050" distB="19050" distL="19050" distR="19050" wp14:anchorId="6DD9CD6F" wp14:editId="57AB1827">
                  <wp:extent cx="764356" cy="246823"/>
                  <wp:effectExtent l="0" t="0" r="0" b="0"/>
                  <wp:docPr id="7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764356" cy="246823"/>
                          </a:xfrm>
                          <a:prstGeom prst="rect">
                            <a:avLst/>
                          </a:prstGeom>
                          <a:ln/>
                        </pic:spPr>
                      </pic:pic>
                    </a:graphicData>
                  </a:graphic>
                </wp:inline>
              </w:drawing>
            </w:r>
            <w:r>
              <w:rPr>
                <w:rFonts w:ascii="Google Sans" w:eastAsia="Google Sans" w:hAnsi="Google Sans" w:cs="Google Sans"/>
                <w:color w:val="1F1F1F"/>
              </w:rPr>
              <w:t xml:space="preserve"> bis </w:t>
            </w:r>
            <w:r>
              <w:rPr>
                <w:rFonts w:ascii="Google Sans" w:eastAsia="Google Sans" w:hAnsi="Google Sans" w:cs="Google Sans"/>
                <w:noProof/>
                <w:color w:val="1F1F1F"/>
              </w:rPr>
              <w:drawing>
                <wp:inline distT="19050" distB="19050" distL="19050" distR="19050" wp14:anchorId="59CA81AF" wp14:editId="48DDF788">
                  <wp:extent cx="785813" cy="246063"/>
                  <wp:effectExtent l="0" t="0" r="0" b="0"/>
                  <wp:docPr id="71"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
                          <a:srcRect/>
                          <a:stretch>
                            <a:fillRect/>
                          </a:stretch>
                        </pic:blipFill>
                        <pic:spPr>
                          <a:xfrm>
                            <a:off x="0" y="0"/>
                            <a:ext cx="785813" cy="246063"/>
                          </a:xfrm>
                          <a:prstGeom prst="rect">
                            <a:avLst/>
                          </a:prstGeom>
                          <a:ln/>
                        </pic:spPr>
                      </pic:pic>
                    </a:graphicData>
                  </a:graphic>
                </wp:inline>
              </w:drawing>
            </w:r>
            <w:r>
              <w:rPr>
                <w:rFonts w:ascii="Google Sans" w:eastAsia="Google Sans" w:hAnsi="Google Sans" w:cs="Google Sans"/>
                <w:color w:val="1F1F1F"/>
              </w:rPr>
              <w:t>) sowie eine absolute Stromgrenze, die nicht überschritten werden darf.</w:t>
            </w:r>
          </w:p>
        </w:tc>
      </w:tr>
      <w:tr w:rsidR="003D2E31" w14:paraId="1BC8961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AC59F5" w14:textId="77777777" w:rsidR="003D2E3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Gerät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03BE5C" w14:textId="77777777" w:rsidR="003D2E3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Ein physischer Wechselrichter, der Gleichstrom in netzkonformen Wechselstrom wandelt.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AA854D" w14:textId="77777777" w:rsidR="003D2E3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Identifiziert durch eine Gerätenummer. Stränge mit derselben Nummer nutzen die Gesamtkapazität desselben Geräts. Bei Mehrfachbelegung teilen sich die Stränge die AC-Nennleistung.</w:t>
            </w:r>
          </w:p>
        </w:tc>
      </w:tr>
      <w:tr w:rsidR="003D2E31" w14:paraId="74598F1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32D641" w14:textId="77777777" w:rsidR="003D2E31"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DC/AC-Verhältnis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527D04"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Der Quotient aus der summierten DC-Nennleistung (</w:t>
            </w:r>
            <w:r>
              <w:rPr>
                <w:rFonts w:ascii="Google Sans" w:eastAsia="Google Sans" w:hAnsi="Google Sans" w:cs="Google Sans"/>
                <w:noProof/>
                <w:color w:val="1F1F1F"/>
              </w:rPr>
              <w:drawing>
                <wp:inline distT="19050" distB="19050" distL="19050" distR="19050" wp14:anchorId="066DF7E6" wp14:editId="43CBDDB7">
                  <wp:extent cx="407541" cy="247721"/>
                  <wp:effectExtent l="0" t="0" r="0" b="0"/>
                  <wp:docPr id="73"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407541" cy="247721"/>
                          </a:xfrm>
                          <a:prstGeom prst="rect">
                            <a:avLst/>
                          </a:prstGeom>
                          <a:ln/>
                        </pic:spPr>
                      </pic:pic>
                    </a:graphicData>
                  </a:graphic>
                </wp:inline>
              </w:drawing>
            </w:r>
            <w:r>
              <w:rPr>
                <w:rFonts w:ascii="Google Sans" w:eastAsia="Google Sans" w:hAnsi="Google Sans" w:cs="Google Sans"/>
                <w:color w:val="1F1F1F"/>
              </w:rPr>
              <w:t>) der angeschlossenen Module und der maximalen AC-Ausgangsleistung des Geräts</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92D09B" w14:textId="77777777" w:rsidR="003D2E31"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Indikator für die Überdimensionierung (</w:t>
            </w:r>
            <w:proofErr w:type="spellStart"/>
            <w:r>
              <w:rPr>
                <w:rFonts w:ascii="Google Sans" w:eastAsia="Google Sans" w:hAnsi="Google Sans" w:cs="Google Sans"/>
                <w:color w:val="1F1F1F"/>
              </w:rPr>
              <w:t>Overpaneling</w:t>
            </w:r>
            <w:proofErr w:type="spellEnd"/>
            <w:r>
              <w:rPr>
                <w:rFonts w:ascii="Google Sans" w:eastAsia="Google Sans" w:hAnsi="Google Sans" w:cs="Google Sans"/>
                <w:color w:val="1F1F1F"/>
              </w:rPr>
              <w:t>) des PV-Generators, entscheidend für die Wirtschaftlichkeit und das Inverter Clipping.</w:t>
            </w:r>
          </w:p>
        </w:tc>
      </w:tr>
    </w:tbl>
    <w:p w14:paraId="2AD35BD2" w14:textId="77777777" w:rsidR="003D2E31" w:rsidRDefault="00000000">
      <w:pPr>
        <w:pStyle w:val="berschrift2"/>
        <w:spacing w:before="0" w:after="0" w:line="275" w:lineRule="auto"/>
        <w:rPr>
          <w:rFonts w:ascii="Google Sans" w:eastAsia="Google Sans" w:hAnsi="Google Sans" w:cs="Google Sans"/>
          <w:color w:val="1F1F1F"/>
        </w:rPr>
      </w:pPr>
      <w:r>
        <w:rPr>
          <w:rFonts w:ascii="Google Sans" w:eastAsia="Google Sans" w:hAnsi="Google Sans" w:cs="Google Sans"/>
          <w:color w:val="1F1F1F"/>
        </w:rPr>
        <w:t>3 Thermische Modellierung und Umwelteinflüsse auf Halbleiter</w:t>
      </w:r>
    </w:p>
    <w:p w14:paraId="09764183"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Die in Datenblättern deklarierten Nennwerte basieren auf den Standard-Testbedingungen (STC), die in der realen Umgebung nahezu nie eintreten. Ein Einstrahlungswert von 1.000 W/m² geht im Freifeld mit einer signifikanten Aufheizung des Moduls einher, wodurch die reale </w:t>
      </w:r>
      <w:r>
        <w:rPr>
          <w:rFonts w:ascii="Google Sans" w:eastAsia="Google Sans" w:hAnsi="Google Sans" w:cs="Google Sans"/>
          <w:color w:val="1F1F1F"/>
        </w:rPr>
        <w:lastRenderedPageBreak/>
        <w:t>Zelltemperatur weit über den geforderten 25 °C liegt</w:t>
      </w:r>
      <w:r>
        <w:rPr>
          <w:rFonts w:ascii="Google Sans" w:eastAsia="Google Sans" w:hAnsi="Google Sans" w:cs="Google Sans"/>
          <w:color w:val="444746"/>
          <w:sz w:val="24"/>
          <w:szCs w:val="24"/>
          <w:vertAlign w:val="superscript"/>
        </w:rPr>
        <w:t>1</w:t>
      </w:r>
      <w:r>
        <w:rPr>
          <w:rFonts w:ascii="Google Sans" w:eastAsia="Google Sans" w:hAnsi="Google Sans" w:cs="Google Sans"/>
          <w:color w:val="1F1F1F"/>
        </w:rPr>
        <w:t>. Für die ingenieurtechnische Anlagenplanung ist es daher zwingend erforderlich, das Verhalten des Silizium-Halbleiters unter extremen Temperaturbedingungen zu simulieren.</w:t>
      </w:r>
    </w:p>
    <w:p w14:paraId="18BBF73D" w14:textId="77777777" w:rsidR="003D2E31" w:rsidRDefault="00000000">
      <w:pPr>
        <w:pStyle w:val="berschrift3"/>
        <w:spacing w:before="0" w:after="0" w:line="275" w:lineRule="auto"/>
        <w:rPr>
          <w:rFonts w:ascii="Google Sans" w:eastAsia="Google Sans" w:hAnsi="Google Sans" w:cs="Google Sans"/>
          <w:color w:val="1F1F1F"/>
        </w:rPr>
      </w:pPr>
      <w:r>
        <w:rPr>
          <w:rFonts w:ascii="Google Sans" w:eastAsia="Google Sans" w:hAnsi="Google Sans" w:cs="Google Sans"/>
          <w:color w:val="1F1F1F"/>
        </w:rPr>
        <w:t>3.1 Dynamische Temperaturmodelle versus statische Grenzwerte</w:t>
      </w:r>
    </w:p>
    <w:p w14:paraId="7E089EEC"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In der wissenschaftlichen Leistungsmodellierung existieren komplexe Modelle zur Vorhersage der exakten Zelltemperatur. Das Nominal Operating </w:t>
      </w:r>
      <w:proofErr w:type="spellStart"/>
      <w:r>
        <w:rPr>
          <w:rFonts w:ascii="Google Sans" w:eastAsia="Google Sans" w:hAnsi="Google Sans" w:cs="Google Sans"/>
          <w:color w:val="1F1F1F"/>
        </w:rPr>
        <w:t>Cell</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Temperature</w:t>
      </w:r>
      <w:proofErr w:type="spellEnd"/>
      <w:r>
        <w:rPr>
          <w:rFonts w:ascii="Google Sans" w:eastAsia="Google Sans" w:hAnsi="Google Sans" w:cs="Google Sans"/>
          <w:color w:val="1F1F1F"/>
        </w:rPr>
        <w:t xml:space="preserve"> (NOCT) Modell definiert beispielsweise realistischere Referenzbedingungen (800 W/m², 20 °C Lufttemperatur, 1 m/s Windgeschwindigkeit), bei denen typische Zelltemperaturen von etwa 45 °C erreicht werden</w:t>
      </w:r>
      <w:r>
        <w:rPr>
          <w:rFonts w:ascii="Google Sans" w:eastAsia="Google Sans" w:hAnsi="Google Sans" w:cs="Google Sans"/>
          <w:color w:val="444746"/>
          <w:sz w:val="24"/>
          <w:szCs w:val="24"/>
          <w:vertAlign w:val="superscript"/>
        </w:rPr>
        <w:t>2</w:t>
      </w:r>
      <w:r>
        <w:rPr>
          <w:rFonts w:ascii="Google Sans" w:eastAsia="Google Sans" w:hAnsi="Google Sans" w:cs="Google Sans"/>
          <w:color w:val="1F1F1F"/>
        </w:rPr>
        <w:t>.</w:t>
      </w:r>
    </w:p>
    <w:p w14:paraId="2BC5B3AE"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Noch präziser arbeiten empirische Wärmeverlustmodelle wie das Faiman-Modell oder das Sandia-Temperaturmodell, welche die Umwelteinflüsse detailliert aufschlüsseln. Beim </w:t>
      </w:r>
      <w:r>
        <w:rPr>
          <w:rFonts w:ascii="Google Sans" w:eastAsia="Google Sans" w:hAnsi="Google Sans" w:cs="Google Sans"/>
          <w:b/>
          <w:bCs/>
          <w:color w:val="1F1F1F"/>
        </w:rPr>
        <w:t>Faiman-Modell</w:t>
      </w:r>
      <w:r>
        <w:rPr>
          <w:rFonts w:ascii="Google Sans" w:eastAsia="Google Sans" w:hAnsi="Google Sans" w:cs="Google Sans"/>
          <w:color w:val="1F1F1F"/>
        </w:rPr>
        <w:t xml:space="preserve"> wird die Modultemperatur (</w:t>
      </w:r>
      <w:r>
        <w:rPr>
          <w:rFonts w:ascii="Google Sans" w:eastAsia="Google Sans" w:hAnsi="Google Sans" w:cs="Google Sans"/>
          <w:noProof/>
          <w:color w:val="1F1F1F"/>
        </w:rPr>
        <w:drawing>
          <wp:inline distT="19050" distB="19050" distL="19050" distR="19050" wp14:anchorId="7F0580EE" wp14:editId="1130274B">
            <wp:extent cx="244574" cy="244574"/>
            <wp:effectExtent l="0" t="0" r="0" b="0"/>
            <wp:docPr id="74"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5"/>
                    <a:srcRect/>
                    <a:stretch>
                      <a:fillRect/>
                    </a:stretch>
                  </pic:blipFill>
                  <pic:spPr>
                    <a:xfrm>
                      <a:off x="0" y="0"/>
                      <a:ext cx="244574" cy="244574"/>
                    </a:xfrm>
                    <a:prstGeom prst="rect">
                      <a:avLst/>
                    </a:prstGeom>
                    <a:ln/>
                  </pic:spPr>
                </pic:pic>
              </a:graphicData>
            </a:graphic>
          </wp:inline>
        </w:drawing>
      </w:r>
      <w:r>
        <w:rPr>
          <w:rFonts w:ascii="Google Sans" w:eastAsia="Google Sans" w:hAnsi="Google Sans" w:cs="Google Sans"/>
          <w:color w:val="1F1F1F"/>
        </w:rPr>
        <w:t xml:space="preserve">) mithilfe der Formel </w:t>
      </w:r>
      <w:r>
        <w:rPr>
          <w:rFonts w:ascii="Google Sans" w:eastAsia="Google Sans" w:hAnsi="Google Sans" w:cs="Google Sans"/>
          <w:noProof/>
          <w:color w:val="1F1F1F"/>
        </w:rPr>
        <w:drawing>
          <wp:inline distT="19050" distB="19050" distL="19050" distR="19050" wp14:anchorId="7F603365" wp14:editId="28A0B103">
            <wp:extent cx="2737695" cy="246711"/>
            <wp:effectExtent l="0" t="0" r="0" b="0"/>
            <wp:docPr id="75"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16"/>
                    <a:srcRect/>
                    <a:stretch>
                      <a:fillRect/>
                    </a:stretch>
                  </pic:blipFill>
                  <pic:spPr>
                    <a:xfrm>
                      <a:off x="0" y="0"/>
                      <a:ext cx="2737695" cy="246711"/>
                    </a:xfrm>
                    <a:prstGeom prst="rect">
                      <a:avLst/>
                    </a:prstGeom>
                    <a:ln/>
                  </pic:spPr>
                </pic:pic>
              </a:graphicData>
            </a:graphic>
          </wp:inline>
        </w:drawing>
      </w:r>
      <w:r>
        <w:rPr>
          <w:rFonts w:ascii="Google Sans" w:eastAsia="Google Sans" w:hAnsi="Google Sans" w:cs="Google Sans"/>
          <w:color w:val="1F1F1F"/>
        </w:rPr>
        <w:t xml:space="preserve"> ermittelt</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 Die Berechnung integriert folgende fundamentale physikalische Parameter:</w:t>
      </w:r>
    </w:p>
    <w:p w14:paraId="5A8ADC12" w14:textId="77777777" w:rsidR="003D2E3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37B39BBA" wp14:editId="006A0E08">
            <wp:extent cx="196701" cy="243909"/>
            <wp:effectExtent l="0" t="0" r="0" b="0"/>
            <wp:docPr id="7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196701" cy="243909"/>
                    </a:xfrm>
                    <a:prstGeom prst="rect">
                      <a:avLst/>
                    </a:prstGeom>
                    <a:ln/>
                  </pic:spPr>
                </pic:pic>
              </a:graphicData>
            </a:graphic>
          </wp:inline>
        </w:drawing>
      </w:r>
      <w:r>
        <w:rPr>
          <w:rFonts w:ascii="Google Sans" w:eastAsia="Google Sans" w:hAnsi="Google Sans" w:cs="Google Sans"/>
          <w:b/>
          <w:bCs/>
          <w:color w:val="1F1F1F"/>
        </w:rPr>
        <w:t xml:space="preserve"> (Ambient Air </w:t>
      </w:r>
      <w:proofErr w:type="spellStart"/>
      <w:r>
        <w:rPr>
          <w:rFonts w:ascii="Google Sans" w:eastAsia="Google Sans" w:hAnsi="Google Sans" w:cs="Google Sans"/>
          <w:b/>
          <w:bCs/>
          <w:color w:val="1F1F1F"/>
        </w:rPr>
        <w:t>Temperature</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Die Umgebungslufttemperatur in °C.</w:t>
      </w:r>
    </w:p>
    <w:p w14:paraId="1C2991C8" w14:textId="77777777" w:rsidR="003D2E3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7FA90C1D" wp14:editId="1342B21F">
            <wp:extent cx="453430" cy="246602"/>
            <wp:effectExtent l="0" t="0" r="0" b="0"/>
            <wp:docPr id="7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53430" cy="246602"/>
                    </a:xfrm>
                    <a:prstGeom prst="rect">
                      <a:avLst/>
                    </a:prstGeom>
                    <a:ln/>
                  </pic:spPr>
                </pic:pic>
              </a:graphicData>
            </a:graphic>
          </wp:inline>
        </w:drawing>
      </w:r>
      <w:r>
        <w:rPr>
          <w:rFonts w:ascii="Google Sans" w:eastAsia="Google Sans" w:hAnsi="Google Sans" w:cs="Google Sans"/>
          <w:b/>
          <w:bCs/>
          <w:color w:val="1F1F1F"/>
        </w:rPr>
        <w:t xml:space="preserve"> (Plane of Array </w:t>
      </w:r>
      <w:proofErr w:type="spellStart"/>
      <w:r>
        <w:rPr>
          <w:rFonts w:ascii="Google Sans" w:eastAsia="Google Sans" w:hAnsi="Google Sans" w:cs="Google Sans"/>
          <w:b/>
          <w:bCs/>
          <w:color w:val="1F1F1F"/>
        </w:rPr>
        <w:t>Irradiance</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Die spezifische solare Bestrahlungsstärke, die unter Berücksichtigung des Aufstellwinkels exakt auf die Moduloberfläche trifft (in W/m²).</w:t>
      </w:r>
    </w:p>
    <w:p w14:paraId="01CA6713" w14:textId="77777777" w:rsidR="003D2E3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00B7FB40" wp14:editId="2D2E6B44">
            <wp:extent cx="212080" cy="252864"/>
            <wp:effectExtent l="0" t="0" r="0" b="0"/>
            <wp:docPr id="78" name="image38.png"/>
            <wp:cNvGraphicFramePr/>
            <a:graphic xmlns:a="http://schemas.openxmlformats.org/drawingml/2006/main">
              <a:graphicData uri="http://schemas.openxmlformats.org/drawingml/2006/picture">
                <pic:pic xmlns:pic="http://schemas.openxmlformats.org/drawingml/2006/picture">
                  <pic:nvPicPr>
                    <pic:cNvPr id="0" name="image38.png"/>
                    <pic:cNvPicPr preferRelativeResize="0"/>
                  </pic:nvPicPr>
                  <pic:blipFill>
                    <a:blip r:embed="rId19"/>
                    <a:srcRect/>
                    <a:stretch>
                      <a:fillRect/>
                    </a:stretch>
                  </pic:blipFill>
                  <pic:spPr>
                    <a:xfrm>
                      <a:off x="0" y="0"/>
                      <a:ext cx="212080" cy="252864"/>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Ein konstanter Wärmeübergangskoeffizient, der die windunabhängige Wärmeabstrahlung und thermische Konvektion des Moduls beschreibt (in W/(m²K)).</w:t>
      </w:r>
    </w:p>
    <w:p w14:paraId="4CE0E6F8" w14:textId="77777777" w:rsidR="003D2E3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68D5DF33" wp14:editId="6FE0A884">
            <wp:extent cx="212080" cy="252864"/>
            <wp:effectExtent l="0" t="0" r="0" b="0"/>
            <wp:docPr id="79" name="image37.png"/>
            <wp:cNvGraphicFramePr/>
            <a:graphic xmlns:a="http://schemas.openxmlformats.org/drawingml/2006/main">
              <a:graphicData uri="http://schemas.openxmlformats.org/drawingml/2006/picture">
                <pic:pic xmlns:pic="http://schemas.openxmlformats.org/drawingml/2006/picture">
                  <pic:nvPicPr>
                    <pic:cNvPr id="0" name="image37.png"/>
                    <pic:cNvPicPr preferRelativeResize="0"/>
                  </pic:nvPicPr>
                  <pic:blipFill>
                    <a:blip r:embed="rId20"/>
                    <a:srcRect/>
                    <a:stretch>
                      <a:fillRect/>
                    </a:stretch>
                  </pic:blipFill>
                  <pic:spPr>
                    <a:xfrm>
                      <a:off x="0" y="0"/>
                      <a:ext cx="212080" cy="252864"/>
                    </a:xfrm>
                    <a:prstGeom prst="rect">
                      <a:avLst/>
                    </a:prstGeom>
                    <a:ln/>
                  </pic:spPr>
                </pic:pic>
              </a:graphicData>
            </a:graphic>
          </wp:inline>
        </w:drawing>
      </w:r>
      <w:r>
        <w:rPr>
          <w:rFonts w:ascii="Google Sans" w:eastAsia="Google Sans" w:hAnsi="Google Sans" w:cs="Google Sans"/>
          <w:b/>
          <w:bCs/>
          <w:color w:val="1F1F1F"/>
        </w:rPr>
        <w:t>:</w:t>
      </w:r>
      <w:r>
        <w:rPr>
          <w:rFonts w:ascii="Google Sans" w:eastAsia="Google Sans" w:hAnsi="Google Sans" w:cs="Google Sans"/>
          <w:color w:val="1F1F1F"/>
        </w:rPr>
        <w:t xml:space="preserve"> Der konvektive Wärmeübergangskoeffizient, der die Effizienz der Modulkühlung durch Luftströmungen abbildet (in W/(m³sK)).</w:t>
      </w:r>
    </w:p>
    <w:p w14:paraId="6B09923C" w14:textId="77777777" w:rsidR="003D2E31"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18ADB136" wp14:editId="5A7435C3">
            <wp:extent cx="286618" cy="246810"/>
            <wp:effectExtent l="0" t="0" r="0" b="0"/>
            <wp:docPr id="80"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286618" cy="246810"/>
                    </a:xfrm>
                    <a:prstGeom prst="rect">
                      <a:avLst/>
                    </a:prstGeom>
                    <a:ln/>
                  </pic:spPr>
                </pic:pic>
              </a:graphicData>
            </a:graphic>
          </wp:inline>
        </w:drawing>
      </w:r>
      <w:r>
        <w:rPr>
          <w:rFonts w:ascii="Google Sans" w:eastAsia="Google Sans" w:hAnsi="Google Sans" w:cs="Google Sans"/>
          <w:b/>
          <w:bCs/>
          <w:color w:val="1F1F1F"/>
        </w:rPr>
        <w:t xml:space="preserve"> (Wind Speed):</w:t>
      </w:r>
      <w:r>
        <w:rPr>
          <w:rFonts w:ascii="Google Sans" w:eastAsia="Google Sans" w:hAnsi="Google Sans" w:cs="Google Sans"/>
          <w:color w:val="1F1F1F"/>
        </w:rPr>
        <w:t xml:space="preserve"> Die lokale Windgeschwindigkeit in m/s, welche die konvektive Kühlung dynamisch skaliert</w:t>
      </w:r>
      <w:r>
        <w:rPr>
          <w:rFonts w:ascii="Google Sans" w:eastAsia="Google Sans" w:hAnsi="Google Sans" w:cs="Google Sans"/>
          <w:color w:val="444746"/>
          <w:sz w:val="24"/>
          <w:szCs w:val="24"/>
          <w:vertAlign w:val="superscript"/>
        </w:rPr>
        <w:t>14</w:t>
      </w:r>
      <w:r>
        <w:rPr>
          <w:rFonts w:ascii="Google Sans" w:eastAsia="Google Sans" w:hAnsi="Google Sans" w:cs="Google Sans"/>
          <w:color w:val="1F1F1F"/>
        </w:rPr>
        <w:t>.</w:t>
      </w:r>
    </w:p>
    <w:p w14:paraId="693BE5FB"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Das </w:t>
      </w:r>
      <w:r>
        <w:rPr>
          <w:rFonts w:ascii="Google Sans" w:eastAsia="Google Sans" w:hAnsi="Google Sans" w:cs="Google Sans"/>
          <w:b/>
          <w:bCs/>
          <w:color w:val="1F1F1F"/>
        </w:rPr>
        <w:t>Sandia-Modell</w:t>
      </w:r>
      <w:r>
        <w:rPr>
          <w:rFonts w:ascii="Google Sans" w:eastAsia="Google Sans" w:hAnsi="Google Sans" w:cs="Google Sans"/>
          <w:color w:val="1F1F1F"/>
        </w:rPr>
        <w:t xml:space="preserve"> baut auf empirischen Messungen auf und berechnet zunächst die Modultemperatur über ähnliche Umweltdaten. Im Anschluss wird die tatsächliche Zelltemperatur (</w:t>
      </w:r>
      <w:r>
        <w:rPr>
          <w:rFonts w:ascii="Google Sans" w:eastAsia="Google Sans" w:hAnsi="Google Sans" w:cs="Google Sans"/>
          <w:noProof/>
          <w:color w:val="1F1F1F"/>
        </w:rPr>
        <w:drawing>
          <wp:inline distT="19050" distB="19050" distL="19050" distR="19050" wp14:anchorId="373F6F2E" wp14:editId="1798FC6C">
            <wp:extent cx="183554" cy="258645"/>
            <wp:effectExtent l="0" t="0" r="0" b="0"/>
            <wp:docPr id="51"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22"/>
                    <a:srcRect/>
                    <a:stretch>
                      <a:fillRect/>
                    </a:stretch>
                  </pic:blipFill>
                  <pic:spPr>
                    <a:xfrm>
                      <a:off x="0" y="0"/>
                      <a:ext cx="183554" cy="258645"/>
                    </a:xfrm>
                    <a:prstGeom prst="rect">
                      <a:avLst/>
                    </a:prstGeom>
                    <a:ln/>
                  </pic:spPr>
                </pic:pic>
              </a:graphicData>
            </a:graphic>
          </wp:inline>
        </w:drawing>
      </w:r>
      <w:r>
        <w:rPr>
          <w:rFonts w:ascii="Google Sans" w:eastAsia="Google Sans" w:hAnsi="Google Sans" w:cs="Google Sans"/>
          <w:color w:val="1F1F1F"/>
        </w:rPr>
        <w:t>) abgeleitet, indem ein empirischer Temperaturdifferenzparameter (</w:t>
      </w:r>
      <w:r>
        <w:rPr>
          <w:rFonts w:ascii="Google Sans" w:eastAsia="Google Sans" w:hAnsi="Google Sans" w:cs="Google Sans"/>
          <w:noProof/>
          <w:color w:val="1F1F1F"/>
        </w:rPr>
        <w:drawing>
          <wp:inline distT="19050" distB="19050" distL="19050" distR="19050" wp14:anchorId="6318845D" wp14:editId="3E9AC86A">
            <wp:extent cx="304850" cy="248693"/>
            <wp:effectExtent l="0" t="0" r="0" b="0"/>
            <wp:docPr id="52"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23"/>
                    <a:srcRect/>
                    <a:stretch>
                      <a:fillRect/>
                    </a:stretch>
                  </pic:blipFill>
                  <pic:spPr>
                    <a:xfrm>
                      <a:off x="0" y="0"/>
                      <a:ext cx="304850" cy="248693"/>
                    </a:xfrm>
                    <a:prstGeom prst="rect">
                      <a:avLst/>
                    </a:prstGeom>
                    <a:ln/>
                  </pic:spPr>
                </pic:pic>
              </a:graphicData>
            </a:graphic>
          </wp:inline>
        </w:drawing>
      </w:r>
      <w:r>
        <w:rPr>
          <w:rFonts w:ascii="Google Sans" w:eastAsia="Google Sans" w:hAnsi="Google Sans" w:cs="Google Sans"/>
          <w:color w:val="1F1F1F"/>
        </w:rPr>
        <w:t>) und die Einstrahlung (</w:t>
      </w:r>
      <w:r>
        <w:rPr>
          <w:rFonts w:ascii="Google Sans" w:eastAsia="Google Sans" w:hAnsi="Google Sans" w:cs="Google Sans"/>
          <w:noProof/>
          <w:color w:val="1F1F1F"/>
        </w:rPr>
        <w:drawing>
          <wp:inline distT="19050" distB="19050" distL="19050" distR="19050" wp14:anchorId="5307622C" wp14:editId="5D4E1FC1">
            <wp:extent cx="453430" cy="246602"/>
            <wp:effectExtent l="0" t="0" r="0" b="0"/>
            <wp:docPr id="5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53430" cy="246602"/>
                    </a:xfrm>
                    <a:prstGeom prst="rect">
                      <a:avLst/>
                    </a:prstGeom>
                    <a:ln/>
                  </pic:spPr>
                </pic:pic>
              </a:graphicData>
            </a:graphic>
          </wp:inline>
        </w:drawing>
      </w:r>
      <w:r>
        <w:rPr>
          <w:rFonts w:ascii="Google Sans" w:eastAsia="Google Sans" w:hAnsi="Google Sans" w:cs="Google Sans"/>
          <w:color w:val="1F1F1F"/>
        </w:rPr>
        <w:t>) mit einer Referenzeinstrahlung (</w:t>
      </w:r>
      <w:r>
        <w:rPr>
          <w:rFonts w:ascii="Google Sans" w:eastAsia="Google Sans" w:hAnsi="Google Sans" w:cs="Google Sans"/>
          <w:noProof/>
          <w:color w:val="1F1F1F"/>
        </w:rPr>
        <w:drawing>
          <wp:inline distT="19050" distB="19050" distL="19050" distR="19050" wp14:anchorId="19250CED" wp14:editId="3D6DA375">
            <wp:extent cx="222870" cy="255887"/>
            <wp:effectExtent l="0" t="0" r="0" b="0"/>
            <wp:docPr id="54"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24"/>
                    <a:srcRect/>
                    <a:stretch>
                      <a:fillRect/>
                    </a:stretch>
                  </pic:blipFill>
                  <pic:spPr>
                    <a:xfrm>
                      <a:off x="0" y="0"/>
                      <a:ext cx="222870" cy="255887"/>
                    </a:xfrm>
                    <a:prstGeom prst="rect">
                      <a:avLst/>
                    </a:prstGeom>
                    <a:ln/>
                  </pic:spPr>
                </pic:pic>
              </a:graphicData>
            </a:graphic>
          </wp:inline>
        </w:drawing>
      </w:r>
      <w:r>
        <w:rPr>
          <w:rFonts w:ascii="Google Sans" w:eastAsia="Google Sans" w:hAnsi="Google Sans" w:cs="Google Sans"/>
          <w:color w:val="1F1F1F"/>
        </w:rPr>
        <w:t xml:space="preserve"> von 1.000 W/m²) ins Verhältnis gesetzt werden: </w:t>
      </w:r>
      <w:r>
        <w:rPr>
          <w:rFonts w:ascii="Google Sans" w:eastAsia="Google Sans" w:hAnsi="Google Sans" w:cs="Google Sans"/>
          <w:noProof/>
          <w:color w:val="1F1F1F"/>
        </w:rPr>
        <w:drawing>
          <wp:inline distT="19050" distB="19050" distL="19050" distR="19050" wp14:anchorId="3224A4A9" wp14:editId="42CDA31D">
            <wp:extent cx="2302002" cy="246076"/>
            <wp:effectExtent l="0" t="0" r="0" b="0"/>
            <wp:docPr id="5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5"/>
                    <a:srcRect/>
                    <a:stretch>
                      <a:fillRect/>
                    </a:stretch>
                  </pic:blipFill>
                  <pic:spPr>
                    <a:xfrm>
                      <a:off x="0" y="0"/>
                      <a:ext cx="2302002" cy="246076"/>
                    </a:xfrm>
                    <a:prstGeom prst="rect">
                      <a:avLst/>
                    </a:prstGeom>
                    <a:ln/>
                  </pic:spPr>
                </pic:pic>
              </a:graphicData>
            </a:graphic>
          </wp:inline>
        </w:drawing>
      </w:r>
      <w:r>
        <w:rPr>
          <w:rFonts w:ascii="Google Sans" w:eastAsia="Google Sans" w:hAnsi="Google Sans" w:cs="Google Sans"/>
          <w:color w:val="444746"/>
          <w:sz w:val="24"/>
          <w:szCs w:val="24"/>
          <w:vertAlign w:val="superscript"/>
        </w:rPr>
        <w:t>16</w:t>
      </w:r>
      <w:r>
        <w:rPr>
          <w:rFonts w:ascii="Google Sans" w:eastAsia="Google Sans" w:hAnsi="Google Sans" w:cs="Google Sans"/>
          <w:color w:val="1F1F1F"/>
        </w:rPr>
        <w:t xml:space="preserve">. Neuere Forschungsansätze berücksichtigen zudem den </w:t>
      </w:r>
      <w:proofErr w:type="spellStart"/>
      <w:r>
        <w:rPr>
          <w:rFonts w:ascii="Google Sans" w:eastAsia="Google Sans" w:hAnsi="Google Sans" w:cs="Google Sans"/>
          <w:color w:val="1F1F1F"/>
        </w:rPr>
        <w:t>radiativen</w:t>
      </w:r>
      <w:proofErr w:type="spellEnd"/>
      <w:r>
        <w:rPr>
          <w:rFonts w:ascii="Google Sans" w:eastAsia="Google Sans" w:hAnsi="Google Sans" w:cs="Google Sans"/>
          <w:color w:val="1F1F1F"/>
        </w:rPr>
        <w:t xml:space="preserve"> Wärmeverlust an den kalten Himmel, um die Präzision dynamischer Simulationen weiter zu steigern</w:t>
      </w:r>
      <w:r>
        <w:rPr>
          <w:rFonts w:ascii="Google Sans" w:eastAsia="Google Sans" w:hAnsi="Google Sans" w:cs="Google Sans"/>
          <w:color w:val="444746"/>
          <w:sz w:val="24"/>
          <w:szCs w:val="24"/>
          <w:vertAlign w:val="superscript"/>
        </w:rPr>
        <w:t>17</w:t>
      </w:r>
      <w:r>
        <w:rPr>
          <w:rFonts w:ascii="Google Sans" w:eastAsia="Google Sans" w:hAnsi="Google Sans" w:cs="Google Sans"/>
          <w:color w:val="1F1F1F"/>
        </w:rPr>
        <w:t>.</w:t>
      </w:r>
    </w:p>
    <w:p w14:paraId="39F2B476"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Für die statische Grenzwertermittlung im </w:t>
      </w:r>
      <w:r>
        <w:rPr>
          <w:rFonts w:ascii="Google Sans" w:eastAsia="Google Sans" w:hAnsi="Google Sans" w:cs="Google Sans"/>
          <w:b/>
          <w:bCs/>
          <w:color w:val="1F1F1F"/>
        </w:rPr>
        <w:t>Auslegungsstadium (Dimensionierung der Hardware)</w:t>
      </w:r>
      <w:r>
        <w:rPr>
          <w:rFonts w:ascii="Google Sans" w:eastAsia="Google Sans" w:hAnsi="Google Sans" w:cs="Google Sans"/>
          <w:color w:val="1F1F1F"/>
        </w:rPr>
        <w:t xml:space="preserve"> sind solche flüchtigen, zeitaufgelösten Modelle (</w:t>
      </w:r>
      <w:r>
        <w:rPr>
          <w:rFonts w:ascii="Google Sans" w:eastAsia="Google Sans" w:hAnsi="Google Sans" w:cs="Google Sans"/>
          <w:noProof/>
          <w:color w:val="1F1F1F"/>
        </w:rPr>
        <w:drawing>
          <wp:inline distT="19050" distB="19050" distL="19050" distR="19050" wp14:anchorId="65F76075" wp14:editId="5E3C48EF">
            <wp:extent cx="286618" cy="246810"/>
            <wp:effectExtent l="0" t="0" r="0" b="0"/>
            <wp:docPr id="56"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286618" cy="246810"/>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49C6F042" wp14:editId="6FFC0258">
            <wp:extent cx="196701" cy="243909"/>
            <wp:effectExtent l="0" t="0" r="0" b="0"/>
            <wp:docPr id="5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196701" cy="243909"/>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31F2D92A" wp14:editId="4C81E903">
            <wp:extent cx="453430" cy="246602"/>
            <wp:effectExtent l="0" t="0" r="0" b="0"/>
            <wp:docPr id="5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53430" cy="246602"/>
                    </a:xfrm>
                    <a:prstGeom prst="rect">
                      <a:avLst/>
                    </a:prstGeom>
                    <a:ln/>
                  </pic:spPr>
                </pic:pic>
              </a:graphicData>
            </a:graphic>
          </wp:inline>
        </w:drawing>
      </w:r>
      <w:r>
        <w:rPr>
          <w:rFonts w:ascii="Google Sans" w:eastAsia="Google Sans" w:hAnsi="Google Sans" w:cs="Google Sans"/>
          <w:color w:val="1F1F1F"/>
        </w:rPr>
        <w:t xml:space="preserve">) jedoch zu komplex und im Sinne der Anlagensicherheit nicht konservativ genug. Es bedarf statischer Hüllkurven, die deterministische Worst-Case-Szenarien ohne Berücksichtigung kühlender Faktoren absichern. Die internationale Praxis (beispielsweise verankert in der IEC 62548 und </w:t>
      </w:r>
      <w:r>
        <w:rPr>
          <w:rFonts w:ascii="Google Sans" w:eastAsia="Google Sans" w:hAnsi="Google Sans" w:cs="Google Sans"/>
          <w:color w:val="1F1F1F"/>
        </w:rPr>
        <w:lastRenderedPageBreak/>
        <w:t>der DIN VDE 0100-712) definiert hierzu feste Auslegungstemperaturen für die Berechnung der Spannungsgrenzen</w:t>
      </w:r>
      <w:r>
        <w:rPr>
          <w:rFonts w:ascii="Google Sans" w:eastAsia="Google Sans" w:hAnsi="Google Sans" w:cs="Google Sans"/>
          <w:color w:val="444746"/>
          <w:sz w:val="24"/>
          <w:szCs w:val="24"/>
          <w:vertAlign w:val="superscript"/>
        </w:rPr>
        <w:t>19</w:t>
      </w:r>
      <w:r>
        <w:rPr>
          <w:rFonts w:ascii="Google Sans" w:eastAsia="Google Sans" w:hAnsi="Google Sans" w:cs="Google Sans"/>
          <w:color w:val="1F1F1F"/>
        </w:rPr>
        <w:t>.</w:t>
      </w:r>
    </w:p>
    <w:p w14:paraId="2F01EA63" w14:textId="77777777" w:rsidR="003D2E31"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Der kalte Fall (-10 °C Zelltemperatur):</w:t>
      </w:r>
      <w:r>
        <w:rPr>
          <w:rFonts w:ascii="Google Sans" w:eastAsia="Google Sans" w:hAnsi="Google Sans" w:cs="Google Sans"/>
          <w:color w:val="1F1F1F"/>
        </w:rPr>
        <w:t xml:space="preserve"> Bei sinkenden Temperaturen verringert sich die Eigenleitungsdichte des Halbleiters, was den internen Leckstrom minimiert und die Spannung an den Klemmen drastisch ansteigen lässt</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 Dieser Zustand tritt typischerweise an kalten, klaren Wintermorgen auf. Die Leerlaufspannung (</w:t>
      </w:r>
      <w:r>
        <w:rPr>
          <w:rFonts w:ascii="Google Sans" w:eastAsia="Google Sans" w:hAnsi="Google Sans" w:cs="Google Sans"/>
          <w:noProof/>
          <w:color w:val="1F1F1F"/>
        </w:rPr>
        <w:drawing>
          <wp:inline distT="19050" distB="19050" distL="19050" distR="19050" wp14:anchorId="2ED5003E" wp14:editId="3C77106F">
            <wp:extent cx="269378" cy="253052"/>
            <wp:effectExtent l="0" t="0" r="0" b="0"/>
            <wp:docPr id="5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
                    <a:srcRect/>
                    <a:stretch>
                      <a:fillRect/>
                    </a:stretch>
                  </pic:blipFill>
                  <pic:spPr>
                    <a:xfrm>
                      <a:off x="0" y="0"/>
                      <a:ext cx="269378" cy="253052"/>
                    </a:xfrm>
                    <a:prstGeom prst="rect">
                      <a:avLst/>
                    </a:prstGeom>
                    <a:ln/>
                  </pic:spPr>
                </pic:pic>
              </a:graphicData>
            </a:graphic>
          </wp:inline>
        </w:drawing>
      </w:r>
      <w:r>
        <w:rPr>
          <w:rFonts w:ascii="Google Sans" w:eastAsia="Google Sans" w:hAnsi="Google Sans" w:cs="Google Sans"/>
          <w:color w:val="1F1F1F"/>
        </w:rPr>
        <w:t>) erreicht hier ihr absolutes Maximum, was die Isolationsfestigkeit und die Bauteiltoleranzen des Wechselrichters herausfordert.</w:t>
      </w:r>
    </w:p>
    <w:p w14:paraId="7789916F" w14:textId="77777777" w:rsidR="003D2E31" w:rsidRDefault="00000000">
      <w:pPr>
        <w:numPr>
          <w:ilvl w:val="0"/>
          <w:numId w:val="4"/>
        </w:numPr>
        <w:pBdr>
          <w:top w:val="nil"/>
          <w:left w:val="nil"/>
          <w:bottom w:val="nil"/>
          <w:right w:val="nil"/>
          <w:between w:val="nil"/>
        </w:pBdr>
        <w:spacing w:line="275" w:lineRule="auto"/>
      </w:pPr>
      <w:r>
        <w:rPr>
          <w:rFonts w:ascii="Google Sans" w:eastAsia="Google Sans" w:hAnsi="Google Sans" w:cs="Google Sans"/>
          <w:b/>
          <w:bCs/>
          <w:color w:val="1F1F1F"/>
        </w:rPr>
        <w:t>Der heiße Fall (+70 °C Zelltemperatur):</w:t>
      </w:r>
      <w:r>
        <w:rPr>
          <w:rFonts w:ascii="Google Sans" w:eastAsia="Google Sans" w:hAnsi="Google Sans" w:cs="Google Sans"/>
          <w:color w:val="1F1F1F"/>
        </w:rPr>
        <w:t xml:space="preserve"> Im Hochsommer können PV-Module durch die absorbierte Strahlung (</w:t>
      </w:r>
      <w:r>
        <w:rPr>
          <w:rFonts w:ascii="Google Sans" w:eastAsia="Google Sans" w:hAnsi="Google Sans" w:cs="Google Sans"/>
          <w:noProof/>
          <w:color w:val="1F1F1F"/>
        </w:rPr>
        <w:drawing>
          <wp:inline distT="19050" distB="19050" distL="19050" distR="19050" wp14:anchorId="3EBE37DC" wp14:editId="2271BBFB">
            <wp:extent cx="453430" cy="246602"/>
            <wp:effectExtent l="0" t="0" r="0" b="0"/>
            <wp:docPr id="6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53430" cy="246602"/>
                    </a:xfrm>
                    <a:prstGeom prst="rect">
                      <a:avLst/>
                    </a:prstGeom>
                    <a:ln/>
                  </pic:spPr>
                </pic:pic>
              </a:graphicData>
            </a:graphic>
          </wp:inline>
        </w:drawing>
      </w:r>
      <w:r>
        <w:rPr>
          <w:rFonts w:ascii="Google Sans" w:eastAsia="Google Sans" w:hAnsi="Google Sans" w:cs="Google Sans"/>
          <w:color w:val="1F1F1F"/>
        </w:rPr>
        <w:t xml:space="preserve">) und mangelnde </w:t>
      </w:r>
      <w:proofErr w:type="spellStart"/>
      <w:r>
        <w:rPr>
          <w:rFonts w:ascii="Google Sans" w:eastAsia="Google Sans" w:hAnsi="Google Sans" w:cs="Google Sans"/>
          <w:color w:val="1F1F1F"/>
        </w:rPr>
        <w:t>Hinterlüftung</w:t>
      </w:r>
      <w:proofErr w:type="spellEnd"/>
      <w:r>
        <w:rPr>
          <w:rFonts w:ascii="Google Sans" w:eastAsia="Google Sans" w:hAnsi="Google Sans" w:cs="Google Sans"/>
          <w:color w:val="1F1F1F"/>
        </w:rPr>
        <w:t xml:space="preserve"> Temperaturen von 70 °C oder mehr erreichen</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Die thermische Energie regt vermehrt Elektronen an, was den Strom minimal ansteigen lässt, jedoch die Spannung massiv absinken lässt. Dies ist der kritische Zustand für den Ertragsverlust, da die Systemspannung unter das Tracking-Fenster des Wechselrichters fallen kann.</w:t>
      </w:r>
    </w:p>
    <w:p w14:paraId="739D3560" w14:textId="77777777" w:rsidR="003D2E31" w:rsidRDefault="00000000">
      <w:pPr>
        <w:pStyle w:val="berschrift3"/>
        <w:spacing w:before="0" w:after="0" w:line="275" w:lineRule="auto"/>
        <w:rPr>
          <w:rFonts w:ascii="Google Sans" w:eastAsia="Google Sans" w:hAnsi="Google Sans" w:cs="Google Sans"/>
          <w:color w:val="1F1F1F"/>
        </w:rPr>
      </w:pPr>
      <w:r>
        <w:rPr>
          <w:rFonts w:ascii="Google Sans" w:eastAsia="Google Sans" w:hAnsi="Google Sans" w:cs="Google Sans"/>
          <w:color w:val="1F1F1F"/>
        </w:rPr>
        <w:t>3.2 Die Anwendung von Temperaturkoeffizienten</w:t>
      </w:r>
    </w:p>
    <w:p w14:paraId="71158CFF"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Um diese statischen Extremwerte mathematisch zu greifen, werden materialspezifische Temperaturkoeffizienten herangezogen, die im Datenblatt eines jeden PV-Moduls ausgewiesen sein müssen. Der Koeffizient </w:t>
      </w:r>
      <w:r>
        <w:rPr>
          <w:rFonts w:ascii="Google Sans" w:eastAsia="Google Sans" w:hAnsi="Google Sans" w:cs="Google Sans"/>
          <w:noProof/>
          <w:color w:val="1F1F1F"/>
        </w:rPr>
        <w:drawing>
          <wp:inline distT="19050" distB="19050" distL="19050" distR="19050" wp14:anchorId="0045437C" wp14:editId="7C3AA178">
            <wp:extent cx="333127" cy="245880"/>
            <wp:effectExtent l="0" t="0" r="0" b="0"/>
            <wp:docPr id="11"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33127" cy="245880"/>
                    </a:xfrm>
                    <a:prstGeom prst="rect">
                      <a:avLst/>
                    </a:prstGeom>
                    <a:ln/>
                  </pic:spPr>
                </pic:pic>
              </a:graphicData>
            </a:graphic>
          </wp:inline>
        </w:drawing>
      </w:r>
      <w:r>
        <w:rPr>
          <w:rFonts w:ascii="Google Sans" w:eastAsia="Google Sans" w:hAnsi="Google Sans" w:cs="Google Sans"/>
          <w:color w:val="1F1F1F"/>
        </w:rPr>
        <w:t xml:space="preserve"> beschreibt die prozentuale Spannungsänderung pro Grad Celsius Abweichung von den 25 °C der STC-Bedingungen. Bei kristallinem Silizium ist dieser Wert stets negativ (typischerweise -0,25 %/°C bis -0,35 %/°C)</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xml:space="preserve">. Der Koeffizient </w:t>
      </w:r>
      <w:r>
        <w:rPr>
          <w:rFonts w:ascii="Google Sans" w:eastAsia="Google Sans" w:hAnsi="Google Sans" w:cs="Google Sans"/>
          <w:noProof/>
          <w:color w:val="1F1F1F"/>
        </w:rPr>
        <w:drawing>
          <wp:inline distT="19050" distB="19050" distL="19050" distR="19050" wp14:anchorId="705165FD" wp14:editId="7DC28AA0">
            <wp:extent cx="326926" cy="253367"/>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26926" cy="253367"/>
                    </a:xfrm>
                    <a:prstGeom prst="rect">
                      <a:avLst/>
                    </a:prstGeom>
                    <a:ln/>
                  </pic:spPr>
                </pic:pic>
              </a:graphicData>
            </a:graphic>
          </wp:inline>
        </w:drawing>
      </w:r>
      <w:r>
        <w:rPr>
          <w:rFonts w:ascii="Google Sans" w:eastAsia="Google Sans" w:hAnsi="Google Sans" w:cs="Google Sans"/>
          <w:color w:val="1F1F1F"/>
        </w:rPr>
        <w:t xml:space="preserve"> für den Kurzschlussstrom ist leicht positiv (ca. +0,04 %/°C bis +0,06 %/°C)</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w:t>
      </w:r>
    </w:p>
    <w:p w14:paraId="62CF0CD8"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In der Praxis führt nicht jeder Hersteller einen spezifischen Koeffizienten für die Spannung im optimalen Arbeitspunkt (</w:t>
      </w:r>
      <w:r>
        <w:rPr>
          <w:rFonts w:ascii="Google Sans" w:eastAsia="Google Sans" w:hAnsi="Google Sans" w:cs="Google Sans"/>
          <w:noProof/>
          <w:color w:val="1F1F1F"/>
        </w:rPr>
        <w:drawing>
          <wp:inline distT="19050" distB="19050" distL="19050" distR="19050" wp14:anchorId="2B4D15BC" wp14:editId="47479FA5">
            <wp:extent cx="401836" cy="249138"/>
            <wp:effectExtent l="0" t="0" r="0" b="0"/>
            <wp:docPr id="13"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
                    <a:srcRect/>
                    <a:stretch>
                      <a:fillRect/>
                    </a:stretch>
                  </pic:blipFill>
                  <pic:spPr>
                    <a:xfrm>
                      <a:off x="0" y="0"/>
                      <a:ext cx="401836" cy="249138"/>
                    </a:xfrm>
                    <a:prstGeom prst="rect">
                      <a:avLst/>
                    </a:prstGeom>
                    <a:ln/>
                  </pic:spPr>
                </pic:pic>
              </a:graphicData>
            </a:graphic>
          </wp:inline>
        </w:drawing>
      </w:r>
      <w:r>
        <w:rPr>
          <w:rFonts w:ascii="Google Sans" w:eastAsia="Google Sans" w:hAnsi="Google Sans" w:cs="Google Sans"/>
          <w:color w:val="1F1F1F"/>
        </w:rPr>
        <w:t>). In Softwaresystemen wie EPOS-Plan wird daher konservativ genähert, indem der Koeffizient der Leerlaufspannung (</w:t>
      </w:r>
      <w:r>
        <w:rPr>
          <w:rFonts w:ascii="Google Sans" w:eastAsia="Google Sans" w:hAnsi="Google Sans" w:cs="Google Sans"/>
          <w:noProof/>
          <w:color w:val="1F1F1F"/>
        </w:rPr>
        <w:drawing>
          <wp:inline distT="19050" distB="19050" distL="19050" distR="19050" wp14:anchorId="21C44852" wp14:editId="0217414B">
            <wp:extent cx="333127" cy="245880"/>
            <wp:effectExtent l="0" t="0" r="0" b="0"/>
            <wp:docPr id="1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33127" cy="245880"/>
                    </a:xfrm>
                    <a:prstGeom prst="rect">
                      <a:avLst/>
                    </a:prstGeom>
                    <a:ln/>
                  </pic:spPr>
                </pic:pic>
              </a:graphicData>
            </a:graphic>
          </wp:inline>
        </w:drawing>
      </w:r>
      <w:r>
        <w:rPr>
          <w:rFonts w:ascii="Google Sans" w:eastAsia="Google Sans" w:hAnsi="Google Sans" w:cs="Google Sans"/>
          <w:color w:val="1F1F1F"/>
        </w:rPr>
        <w:t>) auch für die Kalkulation der MPP-Spannung herangezogen wird</w:t>
      </w:r>
      <w:r>
        <w:rPr>
          <w:rFonts w:ascii="Google Sans" w:eastAsia="Google Sans" w:hAnsi="Google Sans" w:cs="Google Sans"/>
          <w:color w:val="444746"/>
          <w:sz w:val="24"/>
          <w:szCs w:val="24"/>
          <w:vertAlign w:val="superscript"/>
        </w:rPr>
        <w:t>6</w:t>
      </w:r>
      <w:r>
        <w:rPr>
          <w:rFonts w:ascii="Google Sans" w:eastAsia="Google Sans" w:hAnsi="Google Sans" w:cs="Google Sans"/>
          <w:color w:val="1F1F1F"/>
        </w:rPr>
        <w:t>. Diese Näherung hat sich als verlässlich erwiesen und wird in der UI in den Werkzeugtipps transparent kommuniziert.</w:t>
      </w:r>
    </w:p>
    <w:p w14:paraId="3C2C9E33" w14:textId="77777777" w:rsidR="003D2E31" w:rsidRDefault="00000000">
      <w:pPr>
        <w:pStyle w:val="berschrift2"/>
        <w:spacing w:before="0" w:after="0" w:line="275" w:lineRule="auto"/>
        <w:rPr>
          <w:rFonts w:ascii="Google Sans" w:eastAsia="Google Sans" w:hAnsi="Google Sans" w:cs="Google Sans"/>
          <w:color w:val="1F1F1F"/>
        </w:rPr>
      </w:pPr>
      <w:r>
        <w:rPr>
          <w:rFonts w:ascii="Google Sans" w:eastAsia="Google Sans" w:hAnsi="Google Sans" w:cs="Google Sans"/>
          <w:color w:val="1F1F1F"/>
        </w:rPr>
        <w:t>4 Normative Rahmenbedingungen der Auslegung</w:t>
      </w:r>
    </w:p>
    <w:p w14:paraId="16BDDB4E"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Die mathematische Prüfung der Modul-Wechselrichter-Kombination existiert nicht im luftleeren Raum, sondern ist die direkte informationstechnische Übersetzung verbindlicher elektrotechnischer Normenkreise. Zwei Normen sind hier für die Logik der Auslegungsprüfung von entscheidender Bedeutung.</w:t>
      </w:r>
    </w:p>
    <w:p w14:paraId="0C92EB79" w14:textId="77777777" w:rsidR="003D2E31" w:rsidRDefault="00000000">
      <w:pPr>
        <w:pStyle w:val="berschrift3"/>
        <w:spacing w:before="0" w:after="0" w:line="275" w:lineRule="auto"/>
        <w:rPr>
          <w:rFonts w:ascii="Google Sans" w:eastAsia="Google Sans" w:hAnsi="Google Sans" w:cs="Google Sans"/>
          <w:color w:val="1F1F1F"/>
        </w:rPr>
      </w:pPr>
      <w:r>
        <w:rPr>
          <w:rFonts w:ascii="Google Sans" w:eastAsia="Google Sans" w:hAnsi="Google Sans" w:cs="Google Sans"/>
          <w:color w:val="1F1F1F"/>
        </w:rPr>
        <w:t>4.1 Die DIN VDE 0100-712: Sicherheit und Grenzwerte</w:t>
      </w:r>
    </w:p>
    <w:p w14:paraId="7B6033E8"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Die DIN VDE 0100-712 regelt die Errichtung von Niederspannungsanlagen mit besonderem Fokus auf Photovoltaik-Stromversorgungssysteme</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xml:space="preserve">. Sie definiert die zwingenden </w:t>
      </w:r>
      <w:r>
        <w:rPr>
          <w:rFonts w:ascii="Google Sans" w:eastAsia="Google Sans" w:hAnsi="Google Sans" w:cs="Google Sans"/>
          <w:color w:val="1F1F1F"/>
        </w:rPr>
        <w:lastRenderedPageBreak/>
        <w:t>Anforderungen an den Schutz gegen elektrischen Schlag, den Brandschutz und die Dimensionierung von Leitungen. Ein zentraler Aspekt der Norm, der in der Plausibilitätsprüfung (Regel P1 und P4) verankert ist, ist das Verfahren zur Berechnung der maximalen Systemspannung und des maximalen Stroms im Anhang B</w:t>
      </w:r>
      <w:r>
        <w:rPr>
          <w:rFonts w:ascii="Google Sans" w:eastAsia="Google Sans" w:hAnsi="Google Sans" w:cs="Google Sans"/>
          <w:color w:val="444746"/>
          <w:sz w:val="24"/>
          <w:szCs w:val="24"/>
          <w:vertAlign w:val="superscript"/>
        </w:rPr>
        <w:t>29</w:t>
      </w:r>
      <w:r>
        <w:rPr>
          <w:rFonts w:ascii="Google Sans" w:eastAsia="Google Sans" w:hAnsi="Google Sans" w:cs="Google Sans"/>
          <w:color w:val="1F1F1F"/>
        </w:rPr>
        <w:t>. Die Norm begrenzt die Systemspannung im privaten und gewerblichen Niederspannungsbereich rigoros auf 1.000 V DC (in Großanlagen bis 1.500 V DC)</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w:t>
      </w:r>
    </w:p>
    <w:p w14:paraId="34B438E7"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Zusätzlich fordert die Norm für den Schutz gegen Kurzschlüsse (relevant für die Stromgrenzen des MPPT), dass die Belastbarkeit der Systemkomponenten und Leitungen auf den 1,25-fachen Kurzschlussstrom (</w:t>
      </w:r>
      <w:r>
        <w:rPr>
          <w:rFonts w:ascii="Google Sans" w:eastAsia="Google Sans" w:hAnsi="Google Sans" w:cs="Google Sans"/>
          <w:noProof/>
          <w:color w:val="1F1F1F"/>
        </w:rPr>
        <w:drawing>
          <wp:inline distT="19050" distB="19050" distL="19050" distR="19050" wp14:anchorId="51308302" wp14:editId="4D1EB660">
            <wp:extent cx="219522" cy="252043"/>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
                    <a:srcRect/>
                    <a:stretch>
                      <a:fillRect/>
                    </a:stretch>
                  </pic:blipFill>
                  <pic:spPr>
                    <a:xfrm>
                      <a:off x="0" y="0"/>
                      <a:ext cx="219522" cy="252043"/>
                    </a:xfrm>
                    <a:prstGeom prst="rect">
                      <a:avLst/>
                    </a:prstGeom>
                    <a:ln/>
                  </pic:spPr>
                </pic:pic>
              </a:graphicData>
            </a:graphic>
          </wp:inline>
        </w:drawing>
      </w:r>
      <w:r>
        <w:rPr>
          <w:rFonts w:ascii="Google Sans" w:eastAsia="Google Sans" w:hAnsi="Google Sans" w:cs="Google Sans"/>
          <w:color w:val="1F1F1F"/>
        </w:rPr>
        <w:t>) unter STC ausgelegt sein muss</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Dieser Korrekturfaktor (</w:t>
      </w:r>
      <w:r>
        <w:rPr>
          <w:rFonts w:ascii="Google Sans" w:eastAsia="Google Sans" w:hAnsi="Google Sans" w:cs="Google Sans"/>
          <w:noProof/>
          <w:color w:val="1F1F1F"/>
        </w:rPr>
        <w:drawing>
          <wp:inline distT="19050" distB="19050" distL="19050" distR="19050" wp14:anchorId="2E4758C4" wp14:editId="02253385">
            <wp:extent cx="247179" cy="247179"/>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6"/>
                    <a:srcRect/>
                    <a:stretch>
                      <a:fillRect/>
                    </a:stretch>
                  </pic:blipFill>
                  <pic:spPr>
                    <a:xfrm>
                      <a:off x="0" y="0"/>
                      <a:ext cx="247179" cy="247179"/>
                    </a:xfrm>
                    <a:prstGeom prst="rect">
                      <a:avLst/>
                    </a:prstGeom>
                    <a:ln/>
                  </pic:spPr>
                </pic:pic>
              </a:graphicData>
            </a:graphic>
          </wp:inline>
        </w:drawing>
      </w:r>
      <w:r>
        <w:rPr>
          <w:rFonts w:ascii="Google Sans" w:eastAsia="Google Sans" w:hAnsi="Google Sans" w:cs="Google Sans"/>
          <w:color w:val="1F1F1F"/>
        </w:rPr>
        <w:t>) berücksichtigt das Phänomen, dass durch Wolkenrandeffekte (Linseneffekte, bei denen diffuses und direktes Licht zeitgleich auf das Modul treffen) oder hohe Reflexionsgrade (Albedo durch Schnee) die Einstrahlung kurzfristig weit über die 1.000 W/m² der STC-Bedingungen ansteigen kann</w:t>
      </w:r>
      <w:r>
        <w:rPr>
          <w:rFonts w:ascii="Google Sans" w:eastAsia="Google Sans" w:hAnsi="Google Sans" w:cs="Google Sans"/>
          <w:color w:val="444746"/>
          <w:sz w:val="24"/>
          <w:szCs w:val="24"/>
          <w:vertAlign w:val="superscript"/>
        </w:rPr>
        <w:t>31</w:t>
      </w:r>
      <w:r>
        <w:rPr>
          <w:rFonts w:ascii="Google Sans" w:eastAsia="Google Sans" w:hAnsi="Google Sans" w:cs="Google Sans"/>
          <w:color w:val="1F1F1F"/>
        </w:rPr>
        <w:t>. Dieser Sicherheitsfaktor ist in der Softwarelogik der Stromprüfung als impliziter Bestandteil der thermischen Korrektur zu verstehen, um Überlastungen der Wechselrichter-Eingangsstufen auszuschließen. Ferner schreibt die Norm den zwingenden Einbau eines DC-seitigen Überspannungsschutzes (</w:t>
      </w:r>
      <w:proofErr w:type="gramStart"/>
      <w:r>
        <w:rPr>
          <w:rFonts w:ascii="Google Sans" w:eastAsia="Google Sans" w:hAnsi="Google Sans" w:cs="Google Sans"/>
          <w:color w:val="1F1F1F"/>
        </w:rPr>
        <w:t>SPD Typ</w:t>
      </w:r>
      <w:proofErr w:type="gramEnd"/>
      <w:r>
        <w:rPr>
          <w:rFonts w:ascii="Google Sans" w:eastAsia="Google Sans" w:hAnsi="Google Sans" w:cs="Google Sans"/>
          <w:color w:val="1F1F1F"/>
        </w:rPr>
        <w:t xml:space="preserve"> 2 oder Typ 1+2 </w:t>
      </w:r>
      <w:proofErr w:type="spellStart"/>
      <w:r>
        <w:rPr>
          <w:rFonts w:ascii="Google Sans" w:eastAsia="Google Sans" w:hAnsi="Google Sans" w:cs="Google Sans"/>
          <w:color w:val="1F1F1F"/>
        </w:rPr>
        <w:t>Kombiableiter</w:t>
      </w:r>
      <w:proofErr w:type="spellEnd"/>
      <w:r>
        <w:rPr>
          <w:rFonts w:ascii="Google Sans" w:eastAsia="Google Sans" w:hAnsi="Google Sans" w:cs="Google Sans"/>
          <w:color w:val="1F1F1F"/>
        </w:rPr>
        <w:t>) zum Schutz des Wechselrichters vor transienten Spannungsspitzen (z. B. durch indirekte Blitzeinschläge) vor</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w:t>
      </w:r>
    </w:p>
    <w:p w14:paraId="00F7C5DF" w14:textId="77777777" w:rsidR="003D2E31" w:rsidRDefault="00000000">
      <w:pPr>
        <w:pStyle w:val="berschrift3"/>
        <w:spacing w:before="0" w:after="0" w:line="275" w:lineRule="auto"/>
        <w:rPr>
          <w:rFonts w:ascii="Google Sans" w:eastAsia="Google Sans" w:hAnsi="Google Sans" w:cs="Google Sans"/>
          <w:color w:val="1F1F1F"/>
        </w:rPr>
      </w:pPr>
      <w:r>
        <w:rPr>
          <w:rFonts w:ascii="Google Sans" w:eastAsia="Google Sans" w:hAnsi="Google Sans" w:cs="Google Sans"/>
          <w:color w:val="1F1F1F"/>
        </w:rPr>
        <w:t>4.2 Die VDE-AR-N 4105:2026-03: Netzanschluss und Wirkleistungsbegrenzung</w:t>
      </w:r>
    </w:p>
    <w:p w14:paraId="3C6EA838"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Die am 1. März 2026 in Kraft getretene Neufassung der VDE-AR-N 4105 ("Erzeugungsanlagen am Niederspannungsnetz") hat fundamentale Auswirkungen auf das Verständnis des DC/AC-Verhältnisses (Regel P6) in der Auslegungssoftware</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 Die Norm regelt das Zusammenspiel von PV-Anlage und öffentlichem Netz und definiert klare Systemgrenzen.</w:t>
      </w:r>
    </w:p>
    <w:p w14:paraId="7C384CA0"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Die gravierendste Neuerung betrifft Kleinsterzeugungsanlagen, für die nun ein stark vereinfachtes Anmeldeverfahren etabliert wurde. Die Norm stellt klar, dass sich die Grenze von 800 VA (Voltampere) für solche laienbedienbaren Steckersolargeräte ausschließlich auf die AC-seitige Einspeiseleistung des Wechselrichters bezieht</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 xml:space="preserve">. Gleichzeitig wird die DC-seitige Modulleistung auf maximal 2.000 </w:t>
      </w:r>
      <w:proofErr w:type="spellStart"/>
      <w:r>
        <w:rPr>
          <w:rFonts w:ascii="Google Sans" w:eastAsia="Google Sans" w:hAnsi="Google Sans" w:cs="Google Sans"/>
          <w:color w:val="1F1F1F"/>
        </w:rPr>
        <w:t>Wp</w:t>
      </w:r>
      <w:proofErr w:type="spellEnd"/>
      <w:r>
        <w:rPr>
          <w:rFonts w:ascii="Google Sans" w:eastAsia="Google Sans" w:hAnsi="Google Sans" w:cs="Google Sans"/>
          <w:color w:val="1F1F1F"/>
        </w:rPr>
        <w:t xml:space="preserve"> (Watt Peak) begrenzt</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 xml:space="preserve">. Für den Anschluss über eine klassische Schutzkontaktsteckdose (Schuko) greift zudem in Kombination mit der Produktnorm DIN VDE V 0126-95 ein Limit von 960 </w:t>
      </w:r>
      <w:proofErr w:type="spellStart"/>
      <w:r>
        <w:rPr>
          <w:rFonts w:ascii="Google Sans" w:eastAsia="Google Sans" w:hAnsi="Google Sans" w:cs="Google Sans"/>
          <w:color w:val="1F1F1F"/>
        </w:rPr>
        <w:t>Wp</w:t>
      </w:r>
      <w:proofErr w:type="spellEnd"/>
      <w:r>
        <w:rPr>
          <w:rFonts w:ascii="Google Sans" w:eastAsia="Google Sans" w:hAnsi="Google Sans" w:cs="Google Sans"/>
          <w:color w:val="1F1F1F"/>
        </w:rPr>
        <w:t>; alles darüber erfordert eine spezielle Energiesteckvorrichtung (z. B. Wieland)</w:t>
      </w:r>
      <w:r>
        <w:rPr>
          <w:rFonts w:ascii="Google Sans" w:eastAsia="Google Sans" w:hAnsi="Google Sans" w:cs="Google Sans"/>
          <w:color w:val="444746"/>
          <w:sz w:val="24"/>
          <w:szCs w:val="24"/>
          <w:vertAlign w:val="superscript"/>
        </w:rPr>
        <w:t>22</w:t>
      </w:r>
      <w:r>
        <w:rPr>
          <w:rFonts w:ascii="Google Sans" w:eastAsia="Google Sans" w:hAnsi="Google Sans" w:cs="Google Sans"/>
          <w:color w:val="1F1F1F"/>
        </w:rPr>
        <w:t>.</w:t>
      </w:r>
    </w:p>
    <w:p w14:paraId="16E08B17"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Für die Softwareauslegung bedeutet dies einen Paradigmenwechsel: Eine massive Überdimensionierung der DC-Seite (</w:t>
      </w:r>
      <w:proofErr w:type="spellStart"/>
      <w:r>
        <w:rPr>
          <w:rFonts w:ascii="Google Sans" w:eastAsia="Google Sans" w:hAnsi="Google Sans" w:cs="Google Sans"/>
          <w:color w:val="1F1F1F"/>
        </w:rPr>
        <w:t>Overpaneling</w:t>
      </w:r>
      <w:proofErr w:type="spellEnd"/>
      <w:r>
        <w:rPr>
          <w:rFonts w:ascii="Google Sans" w:eastAsia="Google Sans" w:hAnsi="Google Sans" w:cs="Google Sans"/>
          <w:color w:val="1F1F1F"/>
        </w:rPr>
        <w:t xml:space="preserve">) ist normativ nicht nur geduldet, sondern wird im Bereich kleiner Anlagen zum Standard. Ein Balkonkraftwerk mit 2.000 </w:t>
      </w:r>
      <w:proofErr w:type="spellStart"/>
      <w:r>
        <w:rPr>
          <w:rFonts w:ascii="Google Sans" w:eastAsia="Google Sans" w:hAnsi="Google Sans" w:cs="Google Sans"/>
          <w:color w:val="1F1F1F"/>
        </w:rPr>
        <w:t>Wp</w:t>
      </w:r>
      <w:proofErr w:type="spellEnd"/>
      <w:r>
        <w:rPr>
          <w:rFonts w:ascii="Google Sans" w:eastAsia="Google Sans" w:hAnsi="Google Sans" w:cs="Google Sans"/>
          <w:color w:val="1F1F1F"/>
        </w:rPr>
        <w:t xml:space="preserve"> Modulleistung an einem auf 800 VA gedrosselten Wechselrichter entspricht einem DC/AC-Verhältnis von 2,5. Dies ermöglicht es dem Anlagenbetreiber, die 800 VA-Einspeisegrenze schon in den frühen Morgenstunden und bis spät in den Abend voll auszuschöpfen</w:t>
      </w:r>
      <w:r>
        <w:rPr>
          <w:rFonts w:ascii="Google Sans" w:eastAsia="Google Sans" w:hAnsi="Google Sans" w:cs="Google Sans"/>
          <w:color w:val="444746"/>
          <w:sz w:val="24"/>
          <w:szCs w:val="24"/>
          <w:vertAlign w:val="superscript"/>
        </w:rPr>
        <w:t>36</w:t>
      </w:r>
      <w:r>
        <w:rPr>
          <w:rFonts w:ascii="Google Sans" w:eastAsia="Google Sans" w:hAnsi="Google Sans" w:cs="Google Sans"/>
          <w:color w:val="1F1F1F"/>
        </w:rPr>
        <w:t>. Der Wechselrichter kappt die überschüssige DC-Leistung in der Mittagszeit (Inverter Clipping)</w:t>
      </w:r>
      <w:r>
        <w:rPr>
          <w:rFonts w:ascii="Google Sans" w:eastAsia="Google Sans" w:hAnsi="Google Sans" w:cs="Google Sans"/>
          <w:color w:val="444746"/>
          <w:sz w:val="24"/>
          <w:szCs w:val="24"/>
          <w:vertAlign w:val="superscript"/>
        </w:rPr>
        <w:t>11</w:t>
      </w:r>
      <w:r>
        <w:rPr>
          <w:rFonts w:ascii="Google Sans" w:eastAsia="Google Sans" w:hAnsi="Google Sans" w:cs="Google Sans"/>
          <w:color w:val="1F1F1F"/>
        </w:rPr>
        <w:t xml:space="preserve">. </w:t>
      </w:r>
      <w:r>
        <w:rPr>
          <w:rFonts w:ascii="Google Sans" w:eastAsia="Google Sans" w:hAnsi="Google Sans" w:cs="Google Sans"/>
          <w:color w:val="1F1F1F"/>
        </w:rPr>
        <w:lastRenderedPageBreak/>
        <w:t xml:space="preserve">Auch für größere Hausdachanlagen fördert die Norm das Konzept der Überdimensionierung, wenngleich hier ab 2.000 </w:t>
      </w:r>
      <w:proofErr w:type="spellStart"/>
      <w:r>
        <w:rPr>
          <w:rFonts w:ascii="Google Sans" w:eastAsia="Google Sans" w:hAnsi="Google Sans" w:cs="Google Sans"/>
          <w:color w:val="1F1F1F"/>
        </w:rPr>
        <w:t>Wp</w:t>
      </w:r>
      <w:proofErr w:type="spellEnd"/>
      <w:r>
        <w:rPr>
          <w:rFonts w:ascii="Google Sans" w:eastAsia="Google Sans" w:hAnsi="Google Sans" w:cs="Google Sans"/>
          <w:color w:val="1F1F1F"/>
        </w:rPr>
        <w:t xml:space="preserve"> die Involvierung einer Elektrofachkraft und die Integration eines zertifizierten Netz- und Anlagenschutzes (NA-Schutz) obligatorisch werden</w:t>
      </w:r>
      <w:r>
        <w:rPr>
          <w:rFonts w:ascii="Google Sans" w:eastAsia="Google Sans" w:hAnsi="Google Sans" w:cs="Google Sans"/>
          <w:color w:val="444746"/>
          <w:sz w:val="24"/>
          <w:szCs w:val="24"/>
          <w:vertAlign w:val="superscript"/>
        </w:rPr>
        <w:t>37</w:t>
      </w:r>
      <w:r>
        <w:rPr>
          <w:rFonts w:ascii="Google Sans" w:eastAsia="Google Sans" w:hAnsi="Google Sans" w:cs="Google Sans"/>
          <w:color w:val="1F1F1F"/>
        </w:rPr>
        <w:t>. Die Regel P6 der Software muss diese normative Toleranz gegenüber hohem DC/AC-Ratio durch eine entsprechend weiche Parametrisierung (Gelbe Warnung, kein harter Fehler) abbilden.</w:t>
      </w:r>
    </w:p>
    <w:p w14:paraId="3F44B9A9" w14:textId="77777777" w:rsidR="003D2E31" w:rsidRDefault="00000000">
      <w:pPr>
        <w:pStyle w:val="berschrift2"/>
        <w:spacing w:before="0" w:after="0" w:line="275" w:lineRule="auto"/>
        <w:rPr>
          <w:rFonts w:ascii="Google Sans" w:eastAsia="Google Sans" w:hAnsi="Google Sans" w:cs="Google Sans"/>
          <w:color w:val="1F1F1F"/>
        </w:rPr>
      </w:pPr>
      <w:r>
        <w:rPr>
          <w:rFonts w:ascii="Google Sans" w:eastAsia="Google Sans" w:hAnsi="Google Sans" w:cs="Google Sans"/>
          <w:color w:val="1F1F1F"/>
        </w:rPr>
        <w:t>5 Die acht Kernregeln der algorithmischen Plausibilitätsprüfung</w:t>
      </w:r>
    </w:p>
    <w:p w14:paraId="4A936D19"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Die Sicherstellung der elektrischen Kompatibilität zwischen PV-Generator und Wechselrichter basiert auf einem strikten mathematischen Regelwerk. Ein fehlender Katalogwert führt in der Prüflogik (</w:t>
      </w:r>
      <w:proofErr w:type="spellStart"/>
      <w:r>
        <w:rPr>
          <w:rFonts w:ascii="Google Sans" w:eastAsia="Google Sans" w:hAnsi="Google Sans" w:cs="Google Sans"/>
          <w:color w:val="1F1F1F"/>
        </w:rPr>
        <w:t>StrangPlausibilitaet.cs</w:t>
      </w:r>
      <w:proofErr w:type="spellEnd"/>
      <w:r>
        <w:rPr>
          <w:rFonts w:ascii="Google Sans" w:eastAsia="Google Sans" w:hAnsi="Google Sans" w:cs="Google Sans"/>
          <w:color w:val="1F1F1F"/>
        </w:rPr>
        <w:t>) stets zu einem "Gelben" Indikator. Eine "Fail-Safe"-Philosophie verbietet es, eine nicht prüfbare Konfiguration fälschlicherweise als sicher (Grün) zu deklarieren. Sind alle Parameter vorhanden, durchlaufen die Komponenten die folgenden acht Prüfungen.</w:t>
      </w:r>
    </w:p>
    <w:p w14:paraId="14CD36B8" w14:textId="77777777" w:rsidR="003D2E31" w:rsidRDefault="00000000">
      <w:pPr>
        <w:pStyle w:val="berschrift3"/>
        <w:spacing w:before="0" w:after="0" w:line="275" w:lineRule="auto"/>
        <w:rPr>
          <w:rFonts w:ascii="Google Sans" w:eastAsia="Google Sans" w:hAnsi="Google Sans" w:cs="Google Sans"/>
          <w:color w:val="1F1F1F"/>
        </w:rPr>
      </w:pPr>
      <w:r>
        <w:rPr>
          <w:rFonts w:ascii="Google Sans" w:eastAsia="Google Sans" w:hAnsi="Google Sans" w:cs="Google Sans"/>
          <w:color w:val="1F1F1F"/>
        </w:rPr>
        <w:t>5.1 P1: Leerlaufspannung im kalten Fall (Sicherheitskritisch – ROT)</w:t>
      </w:r>
    </w:p>
    <w:p w14:paraId="1FB8F422"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Mathematische Formulierung:</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8362066" wp14:editId="7F85D3E7">
            <wp:extent cx="3237014" cy="245950"/>
            <wp:effectExtent l="0" t="0" r="0" b="0"/>
            <wp:docPr id="1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7"/>
                    <a:srcRect/>
                    <a:stretch>
                      <a:fillRect/>
                    </a:stretch>
                  </pic:blipFill>
                  <pic:spPr>
                    <a:xfrm>
                      <a:off x="0" y="0"/>
                      <a:ext cx="3237014" cy="245950"/>
                    </a:xfrm>
                    <a:prstGeom prst="rect">
                      <a:avLst/>
                    </a:prstGeom>
                    <a:ln/>
                  </pic:spPr>
                </pic:pic>
              </a:graphicData>
            </a:graphic>
          </wp:inline>
        </w:drawing>
      </w:r>
    </w:p>
    <w:p w14:paraId="157A742D" w14:textId="77777777" w:rsidR="003D2E3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Erläuterung der Variablen:</w:t>
      </w:r>
    </w:p>
    <w:p w14:paraId="15C7A231" w14:textId="77777777" w:rsidR="003D2E31"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noProof/>
          <w:color w:val="1F1F1F"/>
        </w:rPr>
        <w:drawing>
          <wp:inline distT="19050" distB="19050" distL="19050" distR="19050" wp14:anchorId="4C1F3682" wp14:editId="647B0126">
            <wp:extent cx="117575" cy="260344"/>
            <wp:effectExtent l="0" t="0" r="0" b="0"/>
            <wp:docPr id="1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117575" cy="260344"/>
                    </a:xfrm>
                    <a:prstGeom prst="rect">
                      <a:avLst/>
                    </a:prstGeom>
                    <a:ln/>
                  </pic:spPr>
                </pic:pic>
              </a:graphicData>
            </a:graphic>
          </wp:inline>
        </w:drawing>
      </w:r>
      <w:r>
        <w:rPr>
          <w:rFonts w:ascii="Google Sans" w:eastAsia="Google Sans" w:hAnsi="Google Sans" w:cs="Google Sans"/>
          <w:color w:val="1F1F1F"/>
        </w:rPr>
        <w:t>: Anzahl der in Reihe geschalteten Module im Strang.</w:t>
      </w:r>
    </w:p>
    <w:p w14:paraId="26A5DBFD" w14:textId="77777777" w:rsidR="003D2E31"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5DE80C88" wp14:editId="2A35B5AB">
            <wp:extent cx="269378" cy="253052"/>
            <wp:effectExtent l="0" t="0" r="0" b="0"/>
            <wp:docPr id="19" name="image40.png"/>
            <wp:cNvGraphicFramePr/>
            <a:graphic xmlns:a="http://schemas.openxmlformats.org/drawingml/2006/main">
              <a:graphicData uri="http://schemas.openxmlformats.org/drawingml/2006/picture">
                <pic:pic xmlns:pic="http://schemas.openxmlformats.org/drawingml/2006/picture">
                  <pic:nvPicPr>
                    <pic:cNvPr id="0" name="image40.png"/>
                    <pic:cNvPicPr preferRelativeResize="0"/>
                  </pic:nvPicPr>
                  <pic:blipFill>
                    <a:blip r:embed="rId5"/>
                    <a:srcRect/>
                    <a:stretch>
                      <a:fillRect/>
                    </a:stretch>
                  </pic:blipFill>
                  <pic:spPr>
                    <a:xfrm>
                      <a:off x="0" y="0"/>
                      <a:ext cx="269378" cy="253052"/>
                    </a:xfrm>
                    <a:prstGeom prst="rect">
                      <a:avLst/>
                    </a:prstGeom>
                    <a:ln/>
                  </pic:spPr>
                </pic:pic>
              </a:graphicData>
            </a:graphic>
          </wp:inline>
        </w:drawing>
      </w:r>
      <w:r>
        <w:rPr>
          <w:rFonts w:ascii="Google Sans" w:eastAsia="Google Sans" w:hAnsi="Google Sans" w:cs="Google Sans"/>
          <w:color w:val="1F1F1F"/>
        </w:rPr>
        <w:t xml:space="preserve"> (Open Circuit </w:t>
      </w:r>
      <w:proofErr w:type="spellStart"/>
      <w:r>
        <w:rPr>
          <w:rFonts w:ascii="Google Sans" w:eastAsia="Google Sans" w:hAnsi="Google Sans" w:cs="Google Sans"/>
          <w:color w:val="1F1F1F"/>
        </w:rPr>
        <w:t>Voltage</w:t>
      </w:r>
      <w:proofErr w:type="spellEnd"/>
      <w:r>
        <w:rPr>
          <w:rFonts w:ascii="Google Sans" w:eastAsia="Google Sans" w:hAnsi="Google Sans" w:cs="Google Sans"/>
          <w:color w:val="1F1F1F"/>
        </w:rPr>
        <w:t>): Die Leerlaufspannung eines einzelnen Moduls unter STC. Das ist die maximale Spannung, die anliegt, wenn kein Strom fließt (z.B. bevor der Wechselrichter morgens zuschaltet).</w:t>
      </w:r>
    </w:p>
    <w:p w14:paraId="43F53680" w14:textId="77777777" w:rsidR="003D2E31"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6987290D" wp14:editId="013EBFF4">
            <wp:extent cx="333127" cy="245880"/>
            <wp:effectExtent l="0" t="0" r="0" b="0"/>
            <wp:docPr id="20"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8"/>
                    <a:srcRect/>
                    <a:stretch>
                      <a:fillRect/>
                    </a:stretch>
                  </pic:blipFill>
                  <pic:spPr>
                    <a:xfrm>
                      <a:off x="0" y="0"/>
                      <a:ext cx="333127" cy="245880"/>
                    </a:xfrm>
                    <a:prstGeom prst="rect">
                      <a:avLst/>
                    </a:prstGeom>
                    <a:ln/>
                  </pic:spPr>
                </pic:pic>
              </a:graphicData>
            </a:graphic>
          </wp:inline>
        </w:drawing>
      </w:r>
      <w:r>
        <w:rPr>
          <w:rFonts w:ascii="Google Sans" w:eastAsia="Google Sans" w:hAnsi="Google Sans" w:cs="Google Sans"/>
          <w:color w:val="1F1F1F"/>
        </w:rPr>
        <w:t>: Der Temperaturkoeffizient der Spannung. Er gibt an, um wie viel Prozent sich die Spannung pro Grad Temperaturabweichung verändert (ein negativer Wert, da Kälte die Spannung erhöht).</w:t>
      </w:r>
    </w:p>
    <w:p w14:paraId="3138B22E" w14:textId="77777777" w:rsidR="003D2E31"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5F569A27" wp14:editId="1864B1F3">
            <wp:extent cx="687710" cy="24789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687710" cy="247895"/>
                    </a:xfrm>
                    <a:prstGeom prst="rect">
                      <a:avLst/>
                    </a:prstGeom>
                    <a:ln/>
                  </pic:spPr>
                </pic:pic>
              </a:graphicData>
            </a:graphic>
          </wp:inline>
        </w:drawing>
      </w:r>
      <w:r>
        <w:rPr>
          <w:rFonts w:ascii="Google Sans" w:eastAsia="Google Sans" w:hAnsi="Google Sans" w:cs="Google Sans"/>
          <w:color w:val="1F1F1F"/>
        </w:rPr>
        <w:t>: Die absolute maximale Eingangsspannung, die der Wechselrichter verarbeiten kann.</w:t>
      </w:r>
    </w:p>
    <w:p w14:paraId="671854D7"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Ingenieurtechnischer Hintergrund:</w:t>
      </w:r>
      <w:r>
        <w:rPr>
          <w:rFonts w:ascii="Google Sans" w:eastAsia="Google Sans" w:hAnsi="Google Sans" w:cs="Google Sans"/>
          <w:color w:val="1F1F1F"/>
        </w:rPr>
        <w:t xml:space="preserve"> Diese Prüfung stellt die absolute Lebensversicherung für die Hardware dar. Die auf -10 °C temperaturkorrigierte Leerlaufspannung des seriell verschalteten Strangs darf die maximale Eingangsspannung (</w:t>
      </w:r>
      <w:r>
        <w:rPr>
          <w:rFonts w:ascii="Google Sans" w:eastAsia="Google Sans" w:hAnsi="Google Sans" w:cs="Google Sans"/>
          <w:noProof/>
          <w:color w:val="1F1F1F"/>
        </w:rPr>
        <w:drawing>
          <wp:inline distT="19050" distB="19050" distL="19050" distR="19050" wp14:anchorId="6A0B65CE" wp14:editId="524D8852">
            <wp:extent cx="687710" cy="247895"/>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687710" cy="247895"/>
                    </a:xfrm>
                    <a:prstGeom prst="rect">
                      <a:avLst/>
                    </a:prstGeom>
                    <a:ln/>
                  </pic:spPr>
                </pic:pic>
              </a:graphicData>
            </a:graphic>
          </wp:inline>
        </w:drawing>
      </w:r>
      <w:r>
        <w:rPr>
          <w:rFonts w:ascii="Google Sans" w:eastAsia="Google Sans" w:hAnsi="Google Sans" w:cs="Google Sans"/>
          <w:color w:val="1F1F1F"/>
        </w:rPr>
        <w:t>) des Wechselrichters niemals überschreiten. Eine Überschreitung dieser Grenze führt unweigerlich zur Zerstörung der Leistungselektronik (IGBTs)</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Die Nichtbeachtung führt zudem zum sofortigen Erlöschen jeglicher Herstellergarantien</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 Wird diese Regel verletzt, meldet das System einen kritischen Fehler (</w:t>
      </w:r>
      <w:r>
        <w:rPr>
          <w:rFonts w:ascii="Google Sans" w:eastAsia="Google Sans" w:hAnsi="Google Sans" w:cs="Google Sans"/>
          <w:b/>
          <w:bCs/>
          <w:color w:val="1F1F1F"/>
        </w:rPr>
        <w:t>ROT</w:t>
      </w:r>
      <w:r>
        <w:rPr>
          <w:rFonts w:ascii="Google Sans" w:eastAsia="Google Sans" w:hAnsi="Google Sans" w:cs="Google Sans"/>
          <w:color w:val="1F1F1F"/>
        </w:rPr>
        <w:t>: „der Wechselrichter kann bei Frost und Sonne Schaden nehmen“).</w:t>
      </w:r>
    </w:p>
    <w:p w14:paraId="2B7BBCE9" w14:textId="77777777" w:rsidR="003D2E31" w:rsidRDefault="00000000">
      <w:pPr>
        <w:pStyle w:val="berschrift3"/>
        <w:spacing w:before="0" w:after="0" w:line="275" w:lineRule="auto"/>
        <w:rPr>
          <w:rFonts w:ascii="Google Sans" w:eastAsia="Google Sans" w:hAnsi="Google Sans" w:cs="Google Sans"/>
          <w:color w:val="1F1F1F"/>
        </w:rPr>
      </w:pPr>
      <w:r>
        <w:rPr>
          <w:rFonts w:ascii="Google Sans" w:eastAsia="Google Sans" w:hAnsi="Google Sans" w:cs="Google Sans"/>
          <w:color w:val="1F1F1F"/>
        </w:rPr>
        <w:t>5.2 P2: MPP-Fenster im heißen Fall (Ertragskritisch – ROT)</w:t>
      </w:r>
    </w:p>
    <w:p w14:paraId="450AF356"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Mathematische Formulierung:</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3738EA1" wp14:editId="03336BFE">
            <wp:extent cx="3293688" cy="246035"/>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9"/>
                    <a:srcRect/>
                    <a:stretch>
                      <a:fillRect/>
                    </a:stretch>
                  </pic:blipFill>
                  <pic:spPr>
                    <a:xfrm>
                      <a:off x="0" y="0"/>
                      <a:ext cx="3293688" cy="246035"/>
                    </a:xfrm>
                    <a:prstGeom prst="rect">
                      <a:avLst/>
                    </a:prstGeom>
                    <a:ln/>
                  </pic:spPr>
                </pic:pic>
              </a:graphicData>
            </a:graphic>
          </wp:inline>
        </w:drawing>
      </w:r>
    </w:p>
    <w:p w14:paraId="50260907" w14:textId="77777777" w:rsidR="003D2E3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Erläuterung der Variablen:</w:t>
      </w:r>
    </w:p>
    <w:p w14:paraId="5E3522C4" w14:textId="77777777" w:rsidR="003D2E31"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b/>
          <w:bCs/>
          <w:noProof/>
          <w:color w:val="1F1F1F"/>
        </w:rPr>
        <w:lastRenderedPageBreak/>
        <w:drawing>
          <wp:inline distT="19050" distB="19050" distL="19050" distR="19050" wp14:anchorId="66C296E9" wp14:editId="522445DB">
            <wp:extent cx="401836" cy="249138"/>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
                    <a:srcRect/>
                    <a:stretch>
                      <a:fillRect/>
                    </a:stretch>
                  </pic:blipFill>
                  <pic:spPr>
                    <a:xfrm>
                      <a:off x="0" y="0"/>
                      <a:ext cx="401836" cy="249138"/>
                    </a:xfrm>
                    <a:prstGeom prst="rect">
                      <a:avLst/>
                    </a:prstGeom>
                    <a:ln/>
                  </pic:spPr>
                </pic:pic>
              </a:graphicData>
            </a:graphic>
          </wp:inline>
        </w:drawing>
      </w:r>
      <w:r>
        <w:rPr>
          <w:rFonts w:ascii="Google Sans" w:eastAsia="Google Sans" w:hAnsi="Google Sans" w:cs="Google Sans"/>
          <w:color w:val="1F1F1F"/>
        </w:rPr>
        <w:t xml:space="preserve"> (Maximum Power Point </w:t>
      </w:r>
      <w:proofErr w:type="spellStart"/>
      <w:r>
        <w:rPr>
          <w:rFonts w:ascii="Google Sans" w:eastAsia="Google Sans" w:hAnsi="Google Sans" w:cs="Google Sans"/>
          <w:color w:val="1F1F1F"/>
        </w:rPr>
        <w:t>Voltage</w:t>
      </w:r>
      <w:proofErr w:type="spellEnd"/>
      <w:r>
        <w:rPr>
          <w:rFonts w:ascii="Google Sans" w:eastAsia="Google Sans" w:hAnsi="Google Sans" w:cs="Google Sans"/>
          <w:color w:val="1F1F1F"/>
        </w:rPr>
        <w:t>): Die Modulspannung, bei der das Produkt aus Strom und Spannung (also die Leistung) unter Standardtestbedingungen am größten ist. Dies ist die reguläre Arbeitsspannung.</w:t>
      </w:r>
    </w:p>
    <w:p w14:paraId="37838F26" w14:textId="77777777" w:rsidR="003D2E31"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5498D1E7" wp14:editId="05B9619D">
            <wp:extent cx="764356" cy="246823"/>
            <wp:effectExtent l="0" t="0" r="0" b="0"/>
            <wp:docPr id="5"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764356" cy="246823"/>
                    </a:xfrm>
                    <a:prstGeom prst="rect">
                      <a:avLst/>
                    </a:prstGeom>
                    <a:ln/>
                  </pic:spPr>
                </pic:pic>
              </a:graphicData>
            </a:graphic>
          </wp:inline>
        </w:drawing>
      </w:r>
      <w:r>
        <w:rPr>
          <w:rFonts w:ascii="Google Sans" w:eastAsia="Google Sans" w:hAnsi="Google Sans" w:cs="Google Sans"/>
          <w:color w:val="1F1F1F"/>
        </w:rPr>
        <w:t>: Die untere Schwellenspannung des MPP-Trackers des Wechselrichters. Sinkt die Eingangsspannung darunter, kann der Arbeitspunkt nicht mehr nachgeführt werden.</w:t>
      </w:r>
    </w:p>
    <w:p w14:paraId="4D176564"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Ingenieurtechnischer Hintergrund:</w:t>
      </w:r>
      <w:r>
        <w:rPr>
          <w:rFonts w:ascii="Google Sans" w:eastAsia="Google Sans" w:hAnsi="Google Sans" w:cs="Google Sans"/>
          <w:color w:val="1F1F1F"/>
        </w:rPr>
        <w:t xml:space="preserve"> Bei extremen sommerlichen Bedingungen (hohe Umgebungstemperatur </w:t>
      </w:r>
      <w:r>
        <w:rPr>
          <w:rFonts w:ascii="Google Sans" w:eastAsia="Google Sans" w:hAnsi="Google Sans" w:cs="Google Sans"/>
          <w:noProof/>
          <w:color w:val="1F1F1F"/>
        </w:rPr>
        <w:drawing>
          <wp:inline distT="19050" distB="19050" distL="19050" distR="19050" wp14:anchorId="33E27D95" wp14:editId="12F883CA">
            <wp:extent cx="196701" cy="243909"/>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196701" cy="243909"/>
                    </a:xfrm>
                    <a:prstGeom prst="rect">
                      <a:avLst/>
                    </a:prstGeom>
                    <a:ln/>
                  </pic:spPr>
                </pic:pic>
              </a:graphicData>
            </a:graphic>
          </wp:inline>
        </w:drawing>
      </w:r>
      <w:r>
        <w:rPr>
          <w:rFonts w:ascii="Google Sans" w:eastAsia="Google Sans" w:hAnsi="Google Sans" w:cs="Google Sans"/>
          <w:color w:val="1F1F1F"/>
        </w:rPr>
        <w:t xml:space="preserve">, starke Einstrahlung </w:t>
      </w:r>
      <w:r>
        <w:rPr>
          <w:rFonts w:ascii="Google Sans" w:eastAsia="Google Sans" w:hAnsi="Google Sans" w:cs="Google Sans"/>
          <w:noProof/>
          <w:color w:val="1F1F1F"/>
        </w:rPr>
        <w:drawing>
          <wp:inline distT="19050" distB="19050" distL="19050" distR="19050" wp14:anchorId="62E49ADF" wp14:editId="77164994">
            <wp:extent cx="453430" cy="246602"/>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53430" cy="246602"/>
                    </a:xfrm>
                    <a:prstGeom prst="rect">
                      <a:avLst/>
                    </a:prstGeom>
                    <a:ln/>
                  </pic:spPr>
                </pic:pic>
              </a:graphicData>
            </a:graphic>
          </wp:inline>
        </w:drawing>
      </w:r>
      <w:r>
        <w:rPr>
          <w:rFonts w:ascii="Google Sans" w:eastAsia="Google Sans" w:hAnsi="Google Sans" w:cs="Google Sans"/>
          <w:color w:val="1F1F1F"/>
        </w:rPr>
        <w:t xml:space="preserve"> und Windstille </w:t>
      </w:r>
      <w:r>
        <w:rPr>
          <w:rFonts w:ascii="Google Sans" w:eastAsia="Google Sans" w:hAnsi="Google Sans" w:cs="Google Sans"/>
          <w:noProof/>
          <w:color w:val="1F1F1F"/>
        </w:rPr>
        <w:drawing>
          <wp:inline distT="19050" distB="19050" distL="19050" distR="19050" wp14:anchorId="2D11BA8A" wp14:editId="1C2DF8B5">
            <wp:extent cx="645666" cy="247107"/>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0"/>
                    <a:srcRect/>
                    <a:stretch>
                      <a:fillRect/>
                    </a:stretch>
                  </pic:blipFill>
                  <pic:spPr>
                    <a:xfrm>
                      <a:off x="0" y="0"/>
                      <a:ext cx="645666" cy="247107"/>
                    </a:xfrm>
                    <a:prstGeom prst="rect">
                      <a:avLst/>
                    </a:prstGeom>
                    <a:ln/>
                  </pic:spPr>
                </pic:pic>
              </a:graphicData>
            </a:graphic>
          </wp:inline>
        </w:drawing>
      </w:r>
      <w:r>
        <w:rPr>
          <w:rFonts w:ascii="Google Sans" w:eastAsia="Google Sans" w:hAnsi="Google Sans" w:cs="Google Sans"/>
          <w:color w:val="1F1F1F"/>
        </w:rPr>
        <w:t>) können Modultemperaturen im Hochsommer auf 70 °C ansteigen</w:t>
      </w:r>
      <w:r>
        <w:rPr>
          <w:rFonts w:ascii="Google Sans" w:eastAsia="Google Sans" w:hAnsi="Google Sans" w:cs="Google Sans"/>
          <w:color w:val="444746"/>
          <w:sz w:val="24"/>
          <w:szCs w:val="24"/>
          <w:vertAlign w:val="superscript"/>
        </w:rPr>
        <w:t>3</w:t>
      </w:r>
      <w:r>
        <w:rPr>
          <w:rFonts w:ascii="Google Sans" w:eastAsia="Google Sans" w:hAnsi="Google Sans" w:cs="Google Sans"/>
          <w:color w:val="1F1F1F"/>
        </w:rPr>
        <w:t>. Da Wärme den Halbleiterwiderstand verändert, fällt die Betriebsspannung (</w:t>
      </w:r>
      <w:r>
        <w:rPr>
          <w:rFonts w:ascii="Google Sans" w:eastAsia="Google Sans" w:hAnsi="Google Sans" w:cs="Google Sans"/>
          <w:noProof/>
          <w:color w:val="1F1F1F"/>
        </w:rPr>
        <w:drawing>
          <wp:inline distT="19050" distB="19050" distL="19050" distR="19050" wp14:anchorId="2AAAF08D" wp14:editId="7ADB1EEC">
            <wp:extent cx="401836" cy="249138"/>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
                    <a:srcRect/>
                    <a:stretch>
                      <a:fillRect/>
                    </a:stretch>
                  </pic:blipFill>
                  <pic:spPr>
                    <a:xfrm>
                      <a:off x="0" y="0"/>
                      <a:ext cx="401836" cy="249138"/>
                    </a:xfrm>
                    <a:prstGeom prst="rect">
                      <a:avLst/>
                    </a:prstGeom>
                    <a:ln/>
                  </pic:spPr>
                </pic:pic>
              </a:graphicData>
            </a:graphic>
          </wp:inline>
        </w:drawing>
      </w:r>
      <w:r>
        <w:rPr>
          <w:rFonts w:ascii="Google Sans" w:eastAsia="Google Sans" w:hAnsi="Google Sans" w:cs="Google Sans"/>
          <w:color w:val="1F1F1F"/>
        </w:rPr>
        <w:t>) signifikant ab. Unterschreitet die kumulierte Strangspannung die untere Grenze des MPPT-Arbeitsfensters (</w:t>
      </w:r>
      <w:r>
        <w:rPr>
          <w:rFonts w:ascii="Google Sans" w:eastAsia="Google Sans" w:hAnsi="Google Sans" w:cs="Google Sans"/>
          <w:noProof/>
          <w:color w:val="1F1F1F"/>
        </w:rPr>
        <w:drawing>
          <wp:inline distT="19050" distB="19050" distL="19050" distR="19050" wp14:anchorId="433E2B6F" wp14:editId="43152A26">
            <wp:extent cx="764356" cy="246823"/>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764356" cy="246823"/>
                    </a:xfrm>
                    <a:prstGeom prst="rect">
                      <a:avLst/>
                    </a:prstGeom>
                    <a:ln/>
                  </pic:spPr>
                </pic:pic>
              </a:graphicData>
            </a:graphic>
          </wp:inline>
        </w:drawing>
      </w:r>
      <w:r>
        <w:rPr>
          <w:rFonts w:ascii="Google Sans" w:eastAsia="Google Sans" w:hAnsi="Google Sans" w:cs="Google Sans"/>
          <w:color w:val="1F1F1F"/>
        </w:rPr>
        <w:t>), kann der MPP-Tracker den optimalen Leistungspunkt nicht mehr finden. Der Wechselrichter ist gezwungen, den Strom zu drosseln oder die Einspeisung vollständig einzustellen (Drop-out)</w:t>
      </w:r>
      <w:r>
        <w:rPr>
          <w:rFonts w:ascii="Google Sans" w:eastAsia="Google Sans" w:hAnsi="Google Sans" w:cs="Google Sans"/>
          <w:color w:val="444746"/>
          <w:sz w:val="24"/>
          <w:szCs w:val="24"/>
          <w:vertAlign w:val="superscript"/>
        </w:rPr>
        <w:t>23</w:t>
      </w:r>
      <w:r>
        <w:rPr>
          <w:rFonts w:ascii="Google Sans" w:eastAsia="Google Sans" w:hAnsi="Google Sans" w:cs="Google Sans"/>
          <w:color w:val="1F1F1F"/>
        </w:rPr>
        <w:t>. Da dieser Effekt in den ertragsstärksten Sommermonaten auftritt, wird die Verletzung dieser Untergrenze kritisch eingestuft (</w:t>
      </w:r>
      <w:r>
        <w:rPr>
          <w:rFonts w:ascii="Google Sans" w:eastAsia="Google Sans" w:hAnsi="Google Sans" w:cs="Google Sans"/>
          <w:b/>
          <w:bCs/>
          <w:color w:val="1F1F1F"/>
        </w:rPr>
        <w:t>ROT</w:t>
      </w:r>
      <w:r>
        <w:rPr>
          <w:rFonts w:ascii="Google Sans" w:eastAsia="Google Sans" w:hAnsi="Google Sans" w:cs="Google Sans"/>
          <w:color w:val="1F1F1F"/>
        </w:rPr>
        <w:t>: „der Strang regelt im Sommer ab“).</w:t>
      </w:r>
    </w:p>
    <w:p w14:paraId="15999D33" w14:textId="77777777" w:rsidR="003D2E31" w:rsidRDefault="00000000">
      <w:pPr>
        <w:pStyle w:val="berschrift3"/>
        <w:spacing w:before="0" w:after="0" w:line="275" w:lineRule="auto"/>
        <w:rPr>
          <w:rFonts w:ascii="Google Sans" w:eastAsia="Google Sans" w:hAnsi="Google Sans" w:cs="Google Sans"/>
          <w:color w:val="1F1F1F"/>
        </w:rPr>
      </w:pPr>
      <w:r>
        <w:rPr>
          <w:rFonts w:ascii="Google Sans" w:eastAsia="Google Sans" w:hAnsi="Google Sans" w:cs="Google Sans"/>
          <w:color w:val="1F1F1F"/>
        </w:rPr>
        <w:t>5.3 P3: MPP-Fenster im kalten Fall (Effizienzkritisch – GELB)</w:t>
      </w:r>
    </w:p>
    <w:p w14:paraId="41306845"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Mathematische Formulierung:</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1DFED211" wp14:editId="53CD9CFB">
            <wp:extent cx="3467567" cy="246547"/>
            <wp:effectExtent l="0" t="0" r="0" b="0"/>
            <wp:docPr id="33" name="image36.png"/>
            <wp:cNvGraphicFramePr/>
            <a:graphic xmlns:a="http://schemas.openxmlformats.org/drawingml/2006/main">
              <a:graphicData uri="http://schemas.openxmlformats.org/drawingml/2006/picture">
                <pic:pic xmlns:pic="http://schemas.openxmlformats.org/drawingml/2006/picture">
                  <pic:nvPicPr>
                    <pic:cNvPr id="0" name="image36.png"/>
                    <pic:cNvPicPr preferRelativeResize="0"/>
                  </pic:nvPicPr>
                  <pic:blipFill>
                    <a:blip r:embed="rId31"/>
                    <a:srcRect/>
                    <a:stretch>
                      <a:fillRect/>
                    </a:stretch>
                  </pic:blipFill>
                  <pic:spPr>
                    <a:xfrm>
                      <a:off x="0" y="0"/>
                      <a:ext cx="3467567" cy="246547"/>
                    </a:xfrm>
                    <a:prstGeom prst="rect">
                      <a:avLst/>
                    </a:prstGeom>
                    <a:ln/>
                  </pic:spPr>
                </pic:pic>
              </a:graphicData>
            </a:graphic>
          </wp:inline>
        </w:drawing>
      </w:r>
    </w:p>
    <w:p w14:paraId="791D087D" w14:textId="77777777" w:rsidR="003D2E3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Erläuterung der Variablen:</w:t>
      </w:r>
    </w:p>
    <w:p w14:paraId="69DB930D" w14:textId="77777777" w:rsidR="003D2E31" w:rsidRDefault="00000000">
      <w:pPr>
        <w:numPr>
          <w:ilvl w:val="0"/>
          <w:numId w:val="7"/>
        </w:numPr>
        <w:pBdr>
          <w:top w:val="nil"/>
          <w:left w:val="nil"/>
          <w:bottom w:val="nil"/>
          <w:right w:val="nil"/>
          <w:between w:val="nil"/>
        </w:pBdr>
        <w:spacing w:line="275" w:lineRule="auto"/>
      </w:pPr>
      <w:r>
        <w:rPr>
          <w:rFonts w:ascii="Google Sans" w:eastAsia="Google Sans" w:hAnsi="Google Sans" w:cs="Google Sans"/>
          <w:b/>
          <w:bCs/>
          <w:noProof/>
          <w:color w:val="1F1F1F"/>
        </w:rPr>
        <w:drawing>
          <wp:inline distT="19050" distB="19050" distL="19050" distR="19050" wp14:anchorId="120C3BFA" wp14:editId="7A65A3C8">
            <wp:extent cx="785813" cy="246063"/>
            <wp:effectExtent l="0" t="0" r="0" b="0"/>
            <wp:docPr id="34"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
                    <a:srcRect/>
                    <a:stretch>
                      <a:fillRect/>
                    </a:stretch>
                  </pic:blipFill>
                  <pic:spPr>
                    <a:xfrm>
                      <a:off x="0" y="0"/>
                      <a:ext cx="785813" cy="246063"/>
                    </a:xfrm>
                    <a:prstGeom prst="rect">
                      <a:avLst/>
                    </a:prstGeom>
                    <a:ln/>
                  </pic:spPr>
                </pic:pic>
              </a:graphicData>
            </a:graphic>
          </wp:inline>
        </w:drawing>
      </w:r>
      <w:r>
        <w:rPr>
          <w:rFonts w:ascii="Google Sans" w:eastAsia="Google Sans" w:hAnsi="Google Sans" w:cs="Google Sans"/>
          <w:color w:val="1F1F1F"/>
        </w:rPr>
        <w:t>: Die vom Hersteller festgelegte obere Spannungsgrenze des MPP-Trackers, bis zu der eine optimale Regelung des Arbeitspunktes garantiert wird.</w:t>
      </w:r>
    </w:p>
    <w:p w14:paraId="27A54C71"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Ingenieurtechnischer Hintergrund:</w:t>
      </w:r>
      <w:r>
        <w:rPr>
          <w:rFonts w:ascii="Google Sans" w:eastAsia="Google Sans" w:hAnsi="Google Sans" w:cs="Google Sans"/>
          <w:color w:val="1F1F1F"/>
        </w:rPr>
        <w:t xml:space="preserve"> An einem klaren, kalten Wintertag steigt die reguläre Betriebsspannung (</w:t>
      </w:r>
      <w:r>
        <w:rPr>
          <w:rFonts w:ascii="Google Sans" w:eastAsia="Google Sans" w:hAnsi="Google Sans" w:cs="Google Sans"/>
          <w:noProof/>
          <w:color w:val="1F1F1F"/>
        </w:rPr>
        <w:drawing>
          <wp:inline distT="19050" distB="19050" distL="19050" distR="19050" wp14:anchorId="2849382D" wp14:editId="1BFCEE64">
            <wp:extent cx="401836" cy="249138"/>
            <wp:effectExtent l="0" t="0" r="0" b="0"/>
            <wp:docPr id="35"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
                    <a:srcRect/>
                    <a:stretch>
                      <a:fillRect/>
                    </a:stretch>
                  </pic:blipFill>
                  <pic:spPr>
                    <a:xfrm>
                      <a:off x="0" y="0"/>
                      <a:ext cx="401836" cy="249138"/>
                    </a:xfrm>
                    <a:prstGeom prst="rect">
                      <a:avLst/>
                    </a:prstGeom>
                    <a:ln/>
                  </pic:spPr>
                </pic:pic>
              </a:graphicData>
            </a:graphic>
          </wp:inline>
        </w:drawing>
      </w:r>
      <w:r>
        <w:rPr>
          <w:rFonts w:ascii="Google Sans" w:eastAsia="Google Sans" w:hAnsi="Google Sans" w:cs="Google Sans"/>
          <w:color w:val="1F1F1F"/>
        </w:rPr>
        <w:t>) an. Überschreitet diese die obere Grenze des optimalen MPP-Bereichs (</w:t>
      </w:r>
      <w:r>
        <w:rPr>
          <w:rFonts w:ascii="Google Sans" w:eastAsia="Google Sans" w:hAnsi="Google Sans" w:cs="Google Sans"/>
          <w:noProof/>
          <w:color w:val="1F1F1F"/>
        </w:rPr>
        <w:drawing>
          <wp:inline distT="19050" distB="19050" distL="19050" distR="19050" wp14:anchorId="51523636" wp14:editId="59F6A52F">
            <wp:extent cx="785813" cy="246063"/>
            <wp:effectExtent l="0" t="0" r="0" b="0"/>
            <wp:docPr id="36"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4"/>
                    <a:srcRect/>
                    <a:stretch>
                      <a:fillRect/>
                    </a:stretch>
                  </pic:blipFill>
                  <pic:spPr>
                    <a:xfrm>
                      <a:off x="0" y="0"/>
                      <a:ext cx="785813" cy="246063"/>
                    </a:xfrm>
                    <a:prstGeom prst="rect">
                      <a:avLst/>
                    </a:prstGeom>
                    <a:ln/>
                  </pic:spPr>
                </pic:pic>
              </a:graphicData>
            </a:graphic>
          </wp:inline>
        </w:drawing>
      </w:r>
      <w:r>
        <w:rPr>
          <w:rFonts w:ascii="Google Sans" w:eastAsia="Google Sans" w:hAnsi="Google Sans" w:cs="Google Sans"/>
          <w:color w:val="1F1F1F"/>
        </w:rPr>
        <w:t xml:space="preserve">), jedoch ohne die Zerstörungsgrenze </w:t>
      </w:r>
      <w:r>
        <w:rPr>
          <w:rFonts w:ascii="Google Sans" w:eastAsia="Google Sans" w:hAnsi="Google Sans" w:cs="Google Sans"/>
          <w:noProof/>
          <w:color w:val="1F1F1F"/>
        </w:rPr>
        <w:drawing>
          <wp:inline distT="19050" distB="19050" distL="19050" distR="19050" wp14:anchorId="662BE7AB" wp14:editId="3D638508">
            <wp:extent cx="687710" cy="247895"/>
            <wp:effectExtent l="0" t="0" r="0" b="0"/>
            <wp:docPr id="3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687710" cy="247895"/>
                    </a:xfrm>
                    <a:prstGeom prst="rect">
                      <a:avLst/>
                    </a:prstGeom>
                    <a:ln/>
                  </pic:spPr>
                </pic:pic>
              </a:graphicData>
            </a:graphic>
          </wp:inline>
        </w:drawing>
      </w:r>
      <w:r>
        <w:rPr>
          <w:rFonts w:ascii="Google Sans" w:eastAsia="Google Sans" w:hAnsi="Google Sans" w:cs="Google Sans"/>
          <w:color w:val="1F1F1F"/>
        </w:rPr>
        <w:t xml:space="preserve"> aus Regel P1 zu verletzen, arbeitet das System weiterhin elektrotechnisch sicher. Der Wechselrichter regelt den Arbeitspunkt jedoch künstlich ab oder betreibt die </w:t>
      </w:r>
      <w:proofErr w:type="spellStart"/>
      <w:r>
        <w:rPr>
          <w:rFonts w:ascii="Google Sans" w:eastAsia="Google Sans" w:hAnsi="Google Sans" w:cs="Google Sans"/>
          <w:color w:val="1F1F1F"/>
        </w:rPr>
        <w:t>Wandlerbrücken</w:t>
      </w:r>
      <w:proofErr w:type="spellEnd"/>
      <w:r>
        <w:rPr>
          <w:rFonts w:ascii="Google Sans" w:eastAsia="Google Sans" w:hAnsi="Google Sans" w:cs="Google Sans"/>
          <w:color w:val="1F1F1F"/>
        </w:rPr>
        <w:t xml:space="preserve"> in einem ineffizienten Teillastbereich. Dies resultiert lediglich in einer Warnung (</w:t>
      </w:r>
      <w:r>
        <w:rPr>
          <w:rFonts w:ascii="Google Sans" w:eastAsia="Google Sans" w:hAnsi="Google Sans" w:cs="Google Sans"/>
          <w:b/>
          <w:bCs/>
          <w:color w:val="1F1F1F"/>
        </w:rPr>
        <w:t>GELB</w:t>
      </w:r>
      <w:r>
        <w:rPr>
          <w:rFonts w:ascii="Google Sans" w:eastAsia="Google Sans" w:hAnsi="Google Sans" w:cs="Google Sans"/>
          <w:color w:val="1F1F1F"/>
        </w:rPr>
        <w:t>: „das Gerät regelt an der Grenze“).</w:t>
      </w:r>
    </w:p>
    <w:p w14:paraId="0B72420D" w14:textId="77777777" w:rsidR="003D2E31" w:rsidRDefault="00000000">
      <w:pPr>
        <w:pStyle w:val="berschrift3"/>
        <w:spacing w:before="0" w:after="0" w:line="275" w:lineRule="auto"/>
        <w:rPr>
          <w:rFonts w:ascii="Google Sans" w:eastAsia="Google Sans" w:hAnsi="Google Sans" w:cs="Google Sans"/>
          <w:color w:val="1F1F1F"/>
        </w:rPr>
      </w:pPr>
      <w:r>
        <w:rPr>
          <w:rFonts w:ascii="Google Sans" w:eastAsia="Google Sans" w:hAnsi="Google Sans" w:cs="Google Sans"/>
          <w:color w:val="1F1F1F"/>
        </w:rPr>
        <w:t>5.4 P4: Eingangsstrom je MPPT (Brand- und Auslegungskritisch – ROT)</w:t>
      </w:r>
    </w:p>
    <w:p w14:paraId="395CACA3"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Mathematische Formulierung:</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DF34BB0" wp14:editId="69AB7939">
            <wp:extent cx="3201419" cy="246263"/>
            <wp:effectExtent l="0" t="0" r="0" b="0"/>
            <wp:docPr id="38"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32"/>
                    <a:srcRect/>
                    <a:stretch>
                      <a:fillRect/>
                    </a:stretch>
                  </pic:blipFill>
                  <pic:spPr>
                    <a:xfrm>
                      <a:off x="0" y="0"/>
                      <a:ext cx="3201419" cy="246263"/>
                    </a:xfrm>
                    <a:prstGeom prst="rect">
                      <a:avLst/>
                    </a:prstGeom>
                    <a:ln/>
                  </pic:spPr>
                </pic:pic>
              </a:graphicData>
            </a:graphic>
          </wp:inline>
        </w:drawing>
      </w:r>
    </w:p>
    <w:p w14:paraId="3357C0BB" w14:textId="77777777" w:rsidR="003D2E3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Erläuterung der Variablen:</w:t>
      </w:r>
    </w:p>
    <w:p w14:paraId="4889A5C4" w14:textId="77777777" w:rsidR="003D2E31"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b/>
          <w:bCs/>
          <w:noProof/>
          <w:color w:val="1F1F1F"/>
        </w:rPr>
        <w:drawing>
          <wp:inline distT="19050" distB="19050" distL="19050" distR="19050" wp14:anchorId="72567B30" wp14:editId="7AC0C776">
            <wp:extent cx="98599" cy="254714"/>
            <wp:effectExtent l="0" t="0" r="0" b="0"/>
            <wp:docPr id="39"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98599" cy="254714"/>
                    </a:xfrm>
                    <a:prstGeom prst="rect">
                      <a:avLst/>
                    </a:prstGeom>
                    <a:ln/>
                  </pic:spPr>
                </pic:pic>
              </a:graphicData>
            </a:graphic>
          </wp:inline>
        </w:drawing>
      </w:r>
      <w:r>
        <w:rPr>
          <w:rFonts w:ascii="Google Sans" w:eastAsia="Google Sans" w:hAnsi="Google Sans" w:cs="Google Sans"/>
          <w:color w:val="1F1F1F"/>
        </w:rPr>
        <w:t xml:space="preserve">: Anzahl der Stränge, die parallel auf denselben physischen MPP-Tracker geschaltet </w:t>
      </w:r>
      <w:r>
        <w:rPr>
          <w:rFonts w:ascii="Google Sans" w:eastAsia="Google Sans" w:hAnsi="Google Sans" w:cs="Google Sans"/>
          <w:color w:val="1F1F1F"/>
        </w:rPr>
        <w:lastRenderedPageBreak/>
        <w:t>werden.</w:t>
      </w:r>
    </w:p>
    <w:p w14:paraId="63A93641" w14:textId="77777777" w:rsidR="003D2E31"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50B0F0C7" wp14:editId="2F11E653">
            <wp:extent cx="219522" cy="252043"/>
            <wp:effectExtent l="0" t="0" r="0" b="0"/>
            <wp:docPr id="4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7"/>
                    <a:srcRect/>
                    <a:stretch>
                      <a:fillRect/>
                    </a:stretch>
                  </pic:blipFill>
                  <pic:spPr>
                    <a:xfrm>
                      <a:off x="0" y="0"/>
                      <a:ext cx="219522" cy="252043"/>
                    </a:xfrm>
                    <a:prstGeom prst="rect">
                      <a:avLst/>
                    </a:prstGeom>
                    <a:ln/>
                  </pic:spPr>
                </pic:pic>
              </a:graphicData>
            </a:graphic>
          </wp:inline>
        </w:drawing>
      </w:r>
      <w:r>
        <w:rPr>
          <w:rFonts w:ascii="Google Sans" w:eastAsia="Google Sans" w:hAnsi="Google Sans" w:cs="Google Sans"/>
          <w:color w:val="1F1F1F"/>
        </w:rPr>
        <w:t xml:space="preserve"> (Short Circuit Current): Der Kurzschlussstrom eines Einzelmoduls (der maximale Stromfluss im Fehlerfall).</w:t>
      </w:r>
    </w:p>
    <w:p w14:paraId="6D934496" w14:textId="77777777" w:rsidR="003D2E31"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5CBDC46F" wp14:editId="7725BEB2">
            <wp:extent cx="326926" cy="253367"/>
            <wp:effectExtent l="0" t="0" r="0" b="0"/>
            <wp:docPr id="4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326926" cy="253367"/>
                    </a:xfrm>
                    <a:prstGeom prst="rect">
                      <a:avLst/>
                    </a:prstGeom>
                    <a:ln/>
                  </pic:spPr>
                </pic:pic>
              </a:graphicData>
            </a:graphic>
          </wp:inline>
        </w:drawing>
      </w:r>
      <w:r>
        <w:rPr>
          <w:rFonts w:ascii="Google Sans" w:eastAsia="Google Sans" w:hAnsi="Google Sans" w:cs="Google Sans"/>
          <w:color w:val="1F1F1F"/>
        </w:rPr>
        <w:t>: Der Temperaturkoeffizient für den Strom. Anders als bei der Spannung ist dieser Wert leicht positiv, Strom steigt bei Wärme.</w:t>
      </w:r>
    </w:p>
    <w:p w14:paraId="45BB1AB0" w14:textId="77777777" w:rsidR="003D2E31" w:rsidRDefault="00000000">
      <w:pPr>
        <w:numPr>
          <w:ilvl w:val="0"/>
          <w:numId w:val="8"/>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7E11B3D6" wp14:editId="082D1EA5">
            <wp:extent cx="640085" cy="248033"/>
            <wp:effectExtent l="0" t="0" r="0" b="0"/>
            <wp:docPr id="4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640085" cy="248033"/>
                    </a:xfrm>
                    <a:prstGeom prst="rect">
                      <a:avLst/>
                    </a:prstGeom>
                    <a:ln/>
                  </pic:spPr>
                </pic:pic>
              </a:graphicData>
            </a:graphic>
          </wp:inline>
        </w:drawing>
      </w:r>
      <w:r>
        <w:rPr>
          <w:rFonts w:ascii="Google Sans" w:eastAsia="Google Sans" w:hAnsi="Google Sans" w:cs="Google Sans"/>
          <w:color w:val="1F1F1F"/>
        </w:rPr>
        <w:t>: Der maximale zulässige Eingangsstrom des Trackers.</w:t>
      </w:r>
    </w:p>
    <w:p w14:paraId="35FBB6DE"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Ingenieurtechnischer Hintergrund:</w:t>
      </w:r>
      <w:r>
        <w:rPr>
          <w:rFonts w:ascii="Google Sans" w:eastAsia="Google Sans" w:hAnsi="Google Sans" w:cs="Google Sans"/>
          <w:color w:val="1F1F1F"/>
        </w:rPr>
        <w:t xml:space="preserve"> Die Summe der Kurzschlussströme aller an einem MPP-Tracker parallel geschalteten Stränge wird auf die höchste zu erwartende Temperatur (70 °C) extrapoliert</w:t>
      </w:r>
      <w:r>
        <w:rPr>
          <w:rFonts w:ascii="Google Sans" w:eastAsia="Google Sans" w:hAnsi="Google Sans" w:cs="Google Sans"/>
          <w:color w:val="444746"/>
          <w:sz w:val="24"/>
          <w:szCs w:val="24"/>
          <w:vertAlign w:val="superscript"/>
        </w:rPr>
        <w:t>27</w:t>
      </w:r>
      <w:r>
        <w:rPr>
          <w:rFonts w:ascii="Google Sans" w:eastAsia="Google Sans" w:hAnsi="Google Sans" w:cs="Google Sans"/>
          <w:color w:val="1F1F1F"/>
        </w:rPr>
        <w:t>. Dieser extrapolierte Maximalstrom darf die Stromgrenze des Trackers (</w:t>
      </w:r>
      <w:r>
        <w:rPr>
          <w:rFonts w:ascii="Google Sans" w:eastAsia="Google Sans" w:hAnsi="Google Sans" w:cs="Google Sans"/>
          <w:noProof/>
          <w:color w:val="1F1F1F"/>
        </w:rPr>
        <w:drawing>
          <wp:inline distT="19050" distB="19050" distL="19050" distR="19050" wp14:anchorId="45FD43D5" wp14:editId="20201C72">
            <wp:extent cx="640085" cy="248033"/>
            <wp:effectExtent l="0" t="0" r="0" b="0"/>
            <wp:docPr id="3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33"/>
                    <a:srcRect/>
                    <a:stretch>
                      <a:fillRect/>
                    </a:stretch>
                  </pic:blipFill>
                  <pic:spPr>
                    <a:xfrm>
                      <a:off x="0" y="0"/>
                      <a:ext cx="640085" cy="248033"/>
                    </a:xfrm>
                    <a:prstGeom prst="rect">
                      <a:avLst/>
                    </a:prstGeom>
                    <a:ln/>
                  </pic:spPr>
                </pic:pic>
              </a:graphicData>
            </a:graphic>
          </wp:inline>
        </w:drawing>
      </w:r>
      <w:r>
        <w:rPr>
          <w:rFonts w:ascii="Google Sans" w:eastAsia="Google Sans" w:hAnsi="Google Sans" w:cs="Google Sans"/>
          <w:color w:val="1F1F1F"/>
        </w:rPr>
        <w:t>) nicht überschreiten. Werden die physikalischen Stromgrenzen überschritten, kommt es zu thermischer Überlastung der internen Leiterbahnen und damit zu akuter Brandgefahr</w:t>
      </w:r>
      <w:r>
        <w:rPr>
          <w:rFonts w:ascii="Google Sans" w:eastAsia="Google Sans" w:hAnsi="Google Sans" w:cs="Google Sans"/>
          <w:color w:val="444746"/>
          <w:sz w:val="24"/>
          <w:szCs w:val="24"/>
          <w:vertAlign w:val="superscript"/>
        </w:rPr>
        <w:t>44</w:t>
      </w:r>
      <w:r>
        <w:rPr>
          <w:rFonts w:ascii="Google Sans" w:eastAsia="Google Sans" w:hAnsi="Google Sans" w:cs="Google Sans"/>
          <w:color w:val="1F1F1F"/>
        </w:rPr>
        <w:t>. Ein Verstoß wird daher streng geahndet (</w:t>
      </w:r>
      <w:r>
        <w:rPr>
          <w:rFonts w:ascii="Google Sans" w:eastAsia="Google Sans" w:hAnsi="Google Sans" w:cs="Google Sans"/>
          <w:b/>
          <w:bCs/>
          <w:color w:val="1F1F1F"/>
        </w:rPr>
        <w:t>ROT</w:t>
      </w:r>
      <w:r>
        <w:rPr>
          <w:rFonts w:ascii="Google Sans" w:eastAsia="Google Sans" w:hAnsi="Google Sans" w:cs="Google Sans"/>
          <w:color w:val="1F1F1F"/>
        </w:rPr>
        <w:t>: „I ... A &gt; ... A am MPPT n“).</w:t>
      </w:r>
    </w:p>
    <w:p w14:paraId="14A32FD4" w14:textId="77777777" w:rsidR="003D2E31" w:rsidRDefault="00000000">
      <w:pPr>
        <w:pStyle w:val="berschrift3"/>
        <w:spacing w:before="0" w:after="0" w:line="275" w:lineRule="auto"/>
        <w:rPr>
          <w:rFonts w:ascii="Google Sans" w:eastAsia="Google Sans" w:hAnsi="Google Sans" w:cs="Google Sans"/>
          <w:color w:val="1F1F1F"/>
        </w:rPr>
      </w:pPr>
      <w:r>
        <w:rPr>
          <w:rFonts w:ascii="Google Sans" w:eastAsia="Google Sans" w:hAnsi="Google Sans" w:cs="Google Sans"/>
          <w:color w:val="1F1F1F"/>
        </w:rPr>
        <w:t>5.5 P5: Strangzahl je MPPT (</w:t>
      </w:r>
      <w:proofErr w:type="spellStart"/>
      <w:r>
        <w:rPr>
          <w:rFonts w:ascii="Google Sans" w:eastAsia="Google Sans" w:hAnsi="Google Sans" w:cs="Google Sans"/>
          <w:color w:val="1F1F1F"/>
        </w:rPr>
        <w:t>Topologiekritisch</w:t>
      </w:r>
      <w:proofErr w:type="spellEnd"/>
      <w:r>
        <w:rPr>
          <w:rFonts w:ascii="Google Sans" w:eastAsia="Google Sans" w:hAnsi="Google Sans" w:cs="Google Sans"/>
          <w:color w:val="1F1F1F"/>
        </w:rPr>
        <w:t xml:space="preserve"> – GELB)</w:t>
      </w:r>
    </w:p>
    <w:p w14:paraId="536E8EF0"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Mathematische Formulierung:</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AF001A2" wp14:editId="347B4A84">
            <wp:extent cx="2183682" cy="247059"/>
            <wp:effectExtent l="0" t="0" r="0" b="0"/>
            <wp:docPr id="23"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4"/>
                    <a:srcRect/>
                    <a:stretch>
                      <a:fillRect/>
                    </a:stretch>
                  </pic:blipFill>
                  <pic:spPr>
                    <a:xfrm>
                      <a:off x="0" y="0"/>
                      <a:ext cx="2183682" cy="247059"/>
                    </a:xfrm>
                    <a:prstGeom prst="rect">
                      <a:avLst/>
                    </a:prstGeom>
                    <a:ln/>
                  </pic:spPr>
                </pic:pic>
              </a:graphicData>
            </a:graphic>
          </wp:inline>
        </w:drawing>
      </w:r>
    </w:p>
    <w:p w14:paraId="536E6C7F" w14:textId="77777777" w:rsidR="003D2E3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Erläuterung der Variablen:</w:t>
      </w:r>
    </w:p>
    <w:p w14:paraId="4E451FC6" w14:textId="77777777" w:rsidR="003D2E31" w:rsidRDefault="00000000">
      <w:pPr>
        <w:numPr>
          <w:ilvl w:val="0"/>
          <w:numId w:val="9"/>
        </w:numPr>
        <w:pBdr>
          <w:top w:val="nil"/>
          <w:left w:val="nil"/>
          <w:bottom w:val="nil"/>
          <w:right w:val="nil"/>
          <w:between w:val="nil"/>
        </w:pBdr>
        <w:spacing w:line="275" w:lineRule="auto"/>
      </w:pPr>
      <w:r>
        <w:rPr>
          <w:rFonts w:ascii="Google Sans" w:eastAsia="Google Sans" w:hAnsi="Google Sans" w:cs="Google Sans"/>
          <w:b/>
          <w:bCs/>
          <w:noProof/>
          <w:color w:val="1F1F1F"/>
        </w:rPr>
        <w:drawing>
          <wp:inline distT="19050" distB="19050" distL="19050" distR="19050" wp14:anchorId="78E6794D" wp14:editId="3CC86686">
            <wp:extent cx="1584522" cy="238873"/>
            <wp:effectExtent l="0" t="0" r="0" b="0"/>
            <wp:docPr id="2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1584522" cy="238873"/>
                    </a:xfrm>
                    <a:prstGeom prst="rect">
                      <a:avLst/>
                    </a:prstGeom>
                    <a:ln/>
                  </pic:spPr>
                </pic:pic>
              </a:graphicData>
            </a:graphic>
          </wp:inline>
        </w:drawing>
      </w:r>
      <w:r>
        <w:rPr>
          <w:rFonts w:ascii="Google Sans" w:eastAsia="Google Sans" w:hAnsi="Google Sans" w:cs="Google Sans"/>
          <w:color w:val="1F1F1F"/>
        </w:rPr>
        <w:t>: Die Anzahl der am Wechselrichter physisch vorhandenen Anschlussklemmen (z.B. MC4-Steckplätze) pro Tracker.</w:t>
      </w:r>
    </w:p>
    <w:p w14:paraId="4CE0CE63"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Ingenieurtechnischer Hintergrund:</w:t>
      </w:r>
      <w:r>
        <w:rPr>
          <w:rFonts w:ascii="Google Sans" w:eastAsia="Google Sans" w:hAnsi="Google Sans" w:cs="Google Sans"/>
          <w:color w:val="1F1F1F"/>
        </w:rPr>
        <w:t xml:space="preserve"> Diese Prüfung validiert die physische Konfiguration. Eine rechnerische Überschreitung erfordert in der Baupraxis externe </w:t>
      </w:r>
      <w:proofErr w:type="spellStart"/>
      <w:r>
        <w:rPr>
          <w:rFonts w:ascii="Google Sans" w:eastAsia="Google Sans" w:hAnsi="Google Sans" w:cs="Google Sans"/>
          <w:color w:val="1F1F1F"/>
        </w:rPr>
        <w:t>Parallelverschaltungen</w:t>
      </w:r>
      <w:proofErr w:type="spellEnd"/>
      <w:r>
        <w:rPr>
          <w:rFonts w:ascii="Google Sans" w:eastAsia="Google Sans" w:hAnsi="Google Sans" w:cs="Google Sans"/>
          <w:color w:val="1F1F1F"/>
        </w:rPr>
        <w:t xml:space="preserve"> (z.B. Y-Adapterstecker), die ohne zusätzliche Rückstromsicherungen in vielen Fällen normativ unzulässig sind</w:t>
      </w:r>
      <w:r>
        <w:rPr>
          <w:rFonts w:ascii="Google Sans" w:eastAsia="Google Sans" w:hAnsi="Google Sans" w:cs="Google Sans"/>
          <w:color w:val="444746"/>
          <w:sz w:val="24"/>
          <w:szCs w:val="24"/>
          <w:vertAlign w:val="superscript"/>
        </w:rPr>
        <w:t>34</w:t>
      </w:r>
      <w:r>
        <w:rPr>
          <w:rFonts w:ascii="Google Sans" w:eastAsia="Google Sans" w:hAnsi="Google Sans" w:cs="Google Sans"/>
          <w:color w:val="1F1F1F"/>
        </w:rPr>
        <w:t>. Das System gibt daher eine Warnung aus (</w:t>
      </w:r>
      <w:r>
        <w:rPr>
          <w:rFonts w:ascii="Google Sans" w:eastAsia="Google Sans" w:hAnsi="Google Sans" w:cs="Google Sans"/>
          <w:b/>
          <w:bCs/>
          <w:color w:val="1F1F1F"/>
        </w:rPr>
        <w:t>GELB</w:t>
      </w:r>
      <w:r>
        <w:rPr>
          <w:rFonts w:ascii="Google Sans" w:eastAsia="Google Sans" w:hAnsi="Google Sans" w:cs="Google Sans"/>
          <w:color w:val="1F1F1F"/>
        </w:rPr>
        <w:t>: „3 Stränge am MPPT 1, zulässig sind 2“).</w:t>
      </w:r>
    </w:p>
    <w:p w14:paraId="675A9589" w14:textId="77777777" w:rsidR="003D2E31" w:rsidRDefault="00000000">
      <w:pPr>
        <w:pStyle w:val="berschrift3"/>
        <w:spacing w:before="0" w:after="0" w:line="275" w:lineRule="auto"/>
        <w:rPr>
          <w:rFonts w:ascii="Google Sans" w:eastAsia="Google Sans" w:hAnsi="Google Sans" w:cs="Google Sans"/>
          <w:color w:val="1F1F1F"/>
        </w:rPr>
      </w:pPr>
      <w:r>
        <w:rPr>
          <w:rFonts w:ascii="Google Sans" w:eastAsia="Google Sans" w:hAnsi="Google Sans" w:cs="Google Sans"/>
          <w:color w:val="1F1F1F"/>
        </w:rPr>
        <w:t>5.6 P6: DC/AC-Verhältnis (Wirtschaftlichkeitskritisch – GELB)</w:t>
      </w:r>
    </w:p>
    <w:p w14:paraId="1927A65A"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Mathematische Formulierung:</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6F11FDB7" wp14:editId="203F49EC">
            <wp:extent cx="1687963" cy="310522"/>
            <wp:effectExtent l="0" t="0" r="0" b="0"/>
            <wp:docPr id="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36"/>
                    <a:srcRect/>
                    <a:stretch>
                      <a:fillRect/>
                    </a:stretch>
                  </pic:blipFill>
                  <pic:spPr>
                    <a:xfrm>
                      <a:off x="0" y="0"/>
                      <a:ext cx="1687963" cy="310522"/>
                    </a:xfrm>
                    <a:prstGeom prst="rect">
                      <a:avLst/>
                    </a:prstGeom>
                    <a:ln/>
                  </pic:spPr>
                </pic:pic>
              </a:graphicData>
            </a:graphic>
          </wp:inline>
        </w:drawing>
      </w:r>
    </w:p>
    <w:p w14:paraId="21258EA8" w14:textId="77777777" w:rsidR="003D2E3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Erläuterung der Variablen:</w:t>
      </w:r>
    </w:p>
    <w:p w14:paraId="38DE9335" w14:textId="77777777" w:rsidR="003D2E31"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b/>
          <w:bCs/>
          <w:noProof/>
          <w:color w:val="1F1F1F"/>
        </w:rPr>
        <w:drawing>
          <wp:inline distT="19050" distB="19050" distL="19050" distR="19050" wp14:anchorId="3703A0B3" wp14:editId="2138D530">
            <wp:extent cx="407541" cy="247721"/>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407541" cy="247721"/>
                    </a:xfrm>
                    <a:prstGeom prst="rect">
                      <a:avLst/>
                    </a:prstGeom>
                    <a:ln/>
                  </pic:spPr>
                </pic:pic>
              </a:graphicData>
            </a:graphic>
          </wp:inline>
        </w:drawing>
      </w:r>
      <w:r>
        <w:rPr>
          <w:rFonts w:ascii="Google Sans" w:eastAsia="Google Sans" w:hAnsi="Google Sans" w:cs="Google Sans"/>
          <w:color w:val="1F1F1F"/>
        </w:rPr>
        <w:t>: Die Nennleistung der Module in Kilowatt-Peak (kWp) unter Laborbedingungen.</w:t>
      </w:r>
    </w:p>
    <w:p w14:paraId="4DC2195E" w14:textId="77777777" w:rsidR="003D2E31" w:rsidRDefault="00000000">
      <w:pPr>
        <w:numPr>
          <w:ilvl w:val="0"/>
          <w:numId w:val="10"/>
        </w:numPr>
        <w:pBdr>
          <w:top w:val="nil"/>
          <w:left w:val="nil"/>
          <w:bottom w:val="nil"/>
          <w:right w:val="nil"/>
          <w:between w:val="nil"/>
        </w:pBdr>
        <w:spacing w:line="275" w:lineRule="auto"/>
      </w:pPr>
      <w:r>
        <w:rPr>
          <w:rFonts w:ascii="Google Sans" w:eastAsia="Google Sans" w:hAnsi="Google Sans" w:cs="Google Sans"/>
          <w:noProof/>
          <w:color w:val="1F1F1F"/>
        </w:rPr>
        <w:drawing>
          <wp:inline distT="19050" distB="19050" distL="19050" distR="19050" wp14:anchorId="1C5743F8" wp14:editId="5AD7370A">
            <wp:extent cx="772170" cy="246776"/>
            <wp:effectExtent l="0" t="0" r="0" b="0"/>
            <wp:docPr id="2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37"/>
                    <a:srcRect/>
                    <a:stretch>
                      <a:fillRect/>
                    </a:stretch>
                  </pic:blipFill>
                  <pic:spPr>
                    <a:xfrm>
                      <a:off x="0" y="0"/>
                      <a:ext cx="772170" cy="246776"/>
                    </a:xfrm>
                    <a:prstGeom prst="rect">
                      <a:avLst/>
                    </a:prstGeom>
                    <a:ln/>
                  </pic:spPr>
                </pic:pic>
              </a:graphicData>
            </a:graphic>
          </wp:inline>
        </w:drawing>
      </w:r>
      <w:r>
        <w:rPr>
          <w:rFonts w:ascii="Google Sans" w:eastAsia="Google Sans" w:hAnsi="Google Sans" w:cs="Google Sans"/>
          <w:color w:val="1F1F1F"/>
        </w:rPr>
        <w:t>: Die nominelle Wechselstrom-Ausgangsleistung des Wechselrichters, die ins Netz eingespeist wird.</w:t>
      </w:r>
    </w:p>
    <w:p w14:paraId="2A53FF12"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Ingenieurtechnischer Hintergrund:</w:t>
      </w:r>
      <w:r>
        <w:rPr>
          <w:rFonts w:ascii="Google Sans" w:eastAsia="Google Sans" w:hAnsi="Google Sans" w:cs="Google Sans"/>
          <w:color w:val="1F1F1F"/>
        </w:rPr>
        <w:t xml:space="preserve"> Das Inverter Load Ratio (ILR). Ein Verhältnis unter 1,0 bedeutet Überdimensionierung des Wechselrichters (viel AC-Kapazität, wenige Module), was technisch unbedenklich, aber oft unwirtschaftlich ist. Ein Verhältnis über 1,5 führt zu starkem "Inverter Clipping" (der Wechselrichter muss hohe DC-Produktionsspitzen als Verlust in Wärme umwandeln)</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xml:space="preserve">. Ein moderates Übersteuern (1,1 bis 1,3) wird branchenweit als </w:t>
      </w:r>
      <w:proofErr w:type="gramStart"/>
      <w:r>
        <w:rPr>
          <w:rFonts w:ascii="Google Sans" w:eastAsia="Google Sans" w:hAnsi="Google Sans" w:cs="Google Sans"/>
          <w:color w:val="1F1F1F"/>
        </w:rPr>
        <w:t>Ideal</w:t>
      </w:r>
      <w:proofErr w:type="gramEnd"/>
      <w:r>
        <w:rPr>
          <w:rFonts w:ascii="Google Sans" w:eastAsia="Google Sans" w:hAnsi="Google Sans" w:cs="Google Sans"/>
          <w:color w:val="1F1F1F"/>
        </w:rPr>
        <w:t xml:space="preserve"> angesehen</w:t>
      </w:r>
      <w:r>
        <w:rPr>
          <w:rFonts w:ascii="Google Sans" w:eastAsia="Google Sans" w:hAnsi="Google Sans" w:cs="Google Sans"/>
          <w:color w:val="444746"/>
          <w:sz w:val="24"/>
          <w:szCs w:val="24"/>
          <w:vertAlign w:val="superscript"/>
        </w:rPr>
        <w:t>9</w:t>
      </w:r>
      <w:r>
        <w:rPr>
          <w:rFonts w:ascii="Google Sans" w:eastAsia="Google Sans" w:hAnsi="Google Sans" w:cs="Google Sans"/>
          <w:color w:val="1F1F1F"/>
        </w:rPr>
        <w:t>. Abweichungen von diesem optimalen Band erzeugen eine Warnung (</w:t>
      </w:r>
      <w:r>
        <w:rPr>
          <w:rFonts w:ascii="Google Sans" w:eastAsia="Google Sans" w:hAnsi="Google Sans" w:cs="Google Sans"/>
          <w:b/>
          <w:bCs/>
          <w:color w:val="1F1F1F"/>
        </w:rPr>
        <w:t>GELB</w:t>
      </w:r>
      <w:r>
        <w:rPr>
          <w:rFonts w:ascii="Google Sans" w:eastAsia="Google Sans" w:hAnsi="Google Sans" w:cs="Google Sans"/>
          <w:color w:val="1F1F1F"/>
        </w:rPr>
        <w:t xml:space="preserve">: „DC/AC 0,88 liegt </w:t>
      </w:r>
      <w:r>
        <w:rPr>
          <w:rFonts w:ascii="Google Sans" w:eastAsia="Google Sans" w:hAnsi="Google Sans" w:cs="Google Sans"/>
          <w:color w:val="1F1F1F"/>
        </w:rPr>
        <w:lastRenderedPageBreak/>
        <w:t>außerhalb 1,0…1,5“).</w:t>
      </w:r>
    </w:p>
    <w:p w14:paraId="736D19CC" w14:textId="77777777" w:rsidR="003D2E31" w:rsidRDefault="00000000">
      <w:pPr>
        <w:pStyle w:val="berschrift3"/>
        <w:spacing w:before="0" w:after="0" w:line="275" w:lineRule="auto"/>
        <w:rPr>
          <w:rFonts w:ascii="Google Sans" w:eastAsia="Google Sans" w:hAnsi="Google Sans" w:cs="Google Sans"/>
          <w:color w:val="1F1F1F"/>
        </w:rPr>
      </w:pPr>
      <w:r>
        <w:rPr>
          <w:rFonts w:ascii="Google Sans" w:eastAsia="Google Sans" w:hAnsi="Google Sans" w:cs="Google Sans"/>
          <w:color w:val="1F1F1F"/>
        </w:rPr>
        <w:t>5.7 P7: DC-Eingangsleistung (Grenzwertermittlung – GELB)</w:t>
      </w:r>
    </w:p>
    <w:p w14:paraId="3B839328"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Mathematische Formulierung:</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D677272" wp14:editId="549E43E6">
            <wp:extent cx="1587875" cy="246121"/>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38"/>
                    <a:srcRect/>
                    <a:stretch>
                      <a:fillRect/>
                    </a:stretch>
                  </pic:blipFill>
                  <pic:spPr>
                    <a:xfrm>
                      <a:off x="0" y="0"/>
                      <a:ext cx="1587875" cy="246121"/>
                    </a:xfrm>
                    <a:prstGeom prst="rect">
                      <a:avLst/>
                    </a:prstGeom>
                    <a:ln/>
                  </pic:spPr>
                </pic:pic>
              </a:graphicData>
            </a:graphic>
          </wp:inline>
        </w:drawing>
      </w:r>
    </w:p>
    <w:p w14:paraId="41B13CAC" w14:textId="77777777" w:rsidR="003D2E3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Erläuterung der Variablen:</w:t>
      </w:r>
    </w:p>
    <w:p w14:paraId="477175D7" w14:textId="77777777" w:rsidR="003D2E31" w:rsidRDefault="00000000">
      <w:pPr>
        <w:numPr>
          <w:ilvl w:val="0"/>
          <w:numId w:val="11"/>
        </w:numPr>
        <w:pBdr>
          <w:top w:val="nil"/>
          <w:left w:val="nil"/>
          <w:bottom w:val="nil"/>
          <w:right w:val="nil"/>
          <w:between w:val="nil"/>
        </w:pBdr>
        <w:spacing w:line="275" w:lineRule="auto"/>
      </w:pPr>
      <w:r>
        <w:rPr>
          <w:rFonts w:ascii="Google Sans" w:eastAsia="Google Sans" w:hAnsi="Google Sans" w:cs="Google Sans"/>
          <w:b/>
          <w:bCs/>
          <w:noProof/>
          <w:color w:val="1F1F1F"/>
        </w:rPr>
        <w:drawing>
          <wp:inline distT="19050" distB="19050" distL="19050" distR="19050" wp14:anchorId="569FA924" wp14:editId="4628BB12">
            <wp:extent cx="679773" cy="247917"/>
            <wp:effectExtent l="0" t="0" r="0" b="0"/>
            <wp:docPr id="29"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9"/>
                    <a:srcRect/>
                    <a:stretch>
                      <a:fillRect/>
                    </a:stretch>
                  </pic:blipFill>
                  <pic:spPr>
                    <a:xfrm>
                      <a:off x="0" y="0"/>
                      <a:ext cx="679773" cy="247917"/>
                    </a:xfrm>
                    <a:prstGeom prst="rect">
                      <a:avLst/>
                    </a:prstGeom>
                    <a:ln/>
                  </pic:spPr>
                </pic:pic>
              </a:graphicData>
            </a:graphic>
          </wp:inline>
        </w:drawing>
      </w:r>
      <w:r>
        <w:rPr>
          <w:rFonts w:ascii="Google Sans" w:eastAsia="Google Sans" w:hAnsi="Google Sans" w:cs="Google Sans"/>
          <w:color w:val="1F1F1F"/>
        </w:rPr>
        <w:t>: Die vom Wechselrichterhersteller definierte absolute Obergrenze für die gesamte angeschlossene Modul-Gleichstromleistung (DC).</w:t>
      </w:r>
    </w:p>
    <w:p w14:paraId="66C28D66"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Ingenieurtechnischer Hintergrund:</w:t>
      </w:r>
      <w:r>
        <w:rPr>
          <w:rFonts w:ascii="Google Sans" w:eastAsia="Google Sans" w:hAnsi="Google Sans" w:cs="Google Sans"/>
          <w:color w:val="1F1F1F"/>
        </w:rPr>
        <w:t xml:space="preserve"> Hersteller definieren oft eine absolute maximale DC-Anschlussleistung, um die thermische Dauerbelastung des </w:t>
      </w:r>
      <w:proofErr w:type="spellStart"/>
      <w:r>
        <w:rPr>
          <w:rFonts w:ascii="Google Sans" w:eastAsia="Google Sans" w:hAnsi="Google Sans" w:cs="Google Sans"/>
          <w:color w:val="1F1F1F"/>
        </w:rPr>
        <w:t>Invertergehäuses</w:t>
      </w:r>
      <w:proofErr w:type="spellEnd"/>
      <w:r>
        <w:rPr>
          <w:rFonts w:ascii="Google Sans" w:eastAsia="Google Sans" w:hAnsi="Google Sans" w:cs="Google Sans"/>
          <w:color w:val="1F1F1F"/>
        </w:rPr>
        <w:t xml:space="preserve"> durch Clipping-Verluste zu limitieren. Ein Überschreiten führt häufig zum Garantieverlust, wird in der UI aus elektrischer Sicht (da P1 und P4 greifen) aber als Warnung deklariert (</w:t>
      </w:r>
      <w:r>
        <w:rPr>
          <w:rFonts w:ascii="Google Sans" w:eastAsia="Google Sans" w:hAnsi="Google Sans" w:cs="Google Sans"/>
          <w:b/>
          <w:bCs/>
          <w:color w:val="1F1F1F"/>
        </w:rPr>
        <w:t>GELB</w:t>
      </w:r>
      <w:r>
        <w:rPr>
          <w:rFonts w:ascii="Google Sans" w:eastAsia="Google Sans" w:hAnsi="Google Sans" w:cs="Google Sans"/>
          <w:color w:val="1F1F1F"/>
        </w:rPr>
        <w:t>: „[X] kWp über der DC-Eingangsgrenze [Y] kW“).</w:t>
      </w:r>
    </w:p>
    <w:p w14:paraId="50B76928" w14:textId="77777777" w:rsidR="003D2E31" w:rsidRDefault="00000000">
      <w:pPr>
        <w:pStyle w:val="berschrift3"/>
        <w:spacing w:before="0" w:after="0" w:line="275" w:lineRule="auto"/>
        <w:rPr>
          <w:rFonts w:ascii="Google Sans" w:eastAsia="Google Sans" w:hAnsi="Google Sans" w:cs="Google Sans"/>
          <w:color w:val="1F1F1F"/>
        </w:rPr>
      </w:pPr>
      <w:r>
        <w:rPr>
          <w:rFonts w:ascii="Google Sans" w:eastAsia="Google Sans" w:hAnsi="Google Sans" w:cs="Google Sans"/>
          <w:color w:val="1F1F1F"/>
        </w:rPr>
        <w:t>5.8 P8: Modulsumme (Konsistenzprüfung – GELB)</w:t>
      </w:r>
    </w:p>
    <w:p w14:paraId="2749FAF9"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Mathematische Formulierung:</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39D7815" wp14:editId="6B148F99">
            <wp:extent cx="3232175" cy="246792"/>
            <wp:effectExtent l="0" t="0" r="0" b="0"/>
            <wp:docPr id="30" name="image39.png"/>
            <wp:cNvGraphicFramePr/>
            <a:graphic xmlns:a="http://schemas.openxmlformats.org/drawingml/2006/main">
              <a:graphicData uri="http://schemas.openxmlformats.org/drawingml/2006/picture">
                <pic:pic xmlns:pic="http://schemas.openxmlformats.org/drawingml/2006/picture">
                  <pic:nvPicPr>
                    <pic:cNvPr id="0" name="image39.png"/>
                    <pic:cNvPicPr preferRelativeResize="0"/>
                  </pic:nvPicPr>
                  <pic:blipFill>
                    <a:blip r:embed="rId40"/>
                    <a:srcRect/>
                    <a:stretch>
                      <a:fillRect/>
                    </a:stretch>
                  </pic:blipFill>
                  <pic:spPr>
                    <a:xfrm>
                      <a:off x="0" y="0"/>
                      <a:ext cx="3232175" cy="246792"/>
                    </a:xfrm>
                    <a:prstGeom prst="rect">
                      <a:avLst/>
                    </a:prstGeom>
                    <a:ln/>
                  </pic:spPr>
                </pic:pic>
              </a:graphicData>
            </a:graphic>
          </wp:inline>
        </w:drawing>
      </w:r>
    </w:p>
    <w:p w14:paraId="5C2DFB52"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Ingenieurtechnischer Hintergrund:</w:t>
      </w:r>
      <w:r>
        <w:rPr>
          <w:rFonts w:ascii="Google Sans" w:eastAsia="Google Sans" w:hAnsi="Google Sans" w:cs="Google Sans"/>
          <w:color w:val="1F1F1F"/>
        </w:rPr>
        <w:t xml:space="preserve"> Stellt sicher, dass die in der Strangtabelle projektierten Modulreihen (</w:t>
      </w:r>
      <w:r>
        <w:rPr>
          <w:rFonts w:ascii="Google Sans" w:eastAsia="Google Sans" w:hAnsi="Google Sans" w:cs="Google Sans"/>
          <w:noProof/>
          <w:color w:val="1F1F1F"/>
        </w:rPr>
        <w:drawing>
          <wp:inline distT="19050" distB="19050" distL="19050" distR="19050" wp14:anchorId="0ED5D5D9" wp14:editId="3C79A3A6">
            <wp:extent cx="117575" cy="260344"/>
            <wp:effectExtent l="0" t="0" r="0" b="0"/>
            <wp:docPr id="31"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1"/>
                    <a:srcRect/>
                    <a:stretch>
                      <a:fillRect/>
                    </a:stretch>
                  </pic:blipFill>
                  <pic:spPr>
                    <a:xfrm>
                      <a:off x="0" y="0"/>
                      <a:ext cx="117575" cy="260344"/>
                    </a:xfrm>
                    <a:prstGeom prst="rect">
                      <a:avLst/>
                    </a:prstGeom>
                    <a:ln/>
                  </pic:spPr>
                </pic:pic>
              </a:graphicData>
            </a:graphic>
          </wp:inline>
        </w:drawing>
      </w:r>
      <w:r>
        <w:rPr>
          <w:rFonts w:ascii="Google Sans" w:eastAsia="Google Sans" w:hAnsi="Google Sans" w:cs="Google Sans"/>
          <w:color w:val="1F1F1F"/>
        </w:rPr>
        <w:t>) multipliziert mit den Strängen (</w:t>
      </w:r>
      <w:r>
        <w:rPr>
          <w:rFonts w:ascii="Google Sans" w:eastAsia="Google Sans" w:hAnsi="Google Sans" w:cs="Google Sans"/>
          <w:noProof/>
          <w:color w:val="1F1F1F"/>
        </w:rPr>
        <w:drawing>
          <wp:inline distT="19050" distB="19050" distL="19050" distR="19050" wp14:anchorId="2187EB87" wp14:editId="766353CF">
            <wp:extent cx="98599" cy="254714"/>
            <wp:effectExtent l="0" t="0" r="0" b="0"/>
            <wp:docPr id="2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2"/>
                    <a:srcRect/>
                    <a:stretch>
                      <a:fillRect/>
                    </a:stretch>
                  </pic:blipFill>
                  <pic:spPr>
                    <a:xfrm>
                      <a:off x="0" y="0"/>
                      <a:ext cx="98599" cy="254714"/>
                    </a:xfrm>
                    <a:prstGeom prst="rect">
                      <a:avLst/>
                    </a:prstGeom>
                    <a:ln/>
                  </pic:spPr>
                </pic:pic>
              </a:graphicData>
            </a:graphic>
          </wp:inline>
        </w:drawing>
      </w:r>
      <w:r>
        <w:rPr>
          <w:rFonts w:ascii="Google Sans" w:eastAsia="Google Sans" w:hAnsi="Google Sans" w:cs="Google Sans"/>
          <w:color w:val="1F1F1F"/>
        </w:rPr>
        <w:t>) in Summe exakt der Modulmenge entsprechen, die global für das Gesamtprojekt deklariert wurde (</w:t>
      </w:r>
      <w:r>
        <w:rPr>
          <w:rFonts w:ascii="Google Sans" w:eastAsia="Google Sans" w:hAnsi="Google Sans" w:cs="Google Sans"/>
          <w:b/>
          <w:bCs/>
          <w:color w:val="1F1F1F"/>
        </w:rPr>
        <w:t>GELB</w:t>
      </w:r>
      <w:r>
        <w:rPr>
          <w:rFonts w:ascii="Google Sans" w:eastAsia="Google Sans" w:hAnsi="Google Sans" w:cs="Google Sans"/>
          <w:color w:val="1F1F1F"/>
        </w:rPr>
        <w:t>).</w:t>
      </w:r>
    </w:p>
    <w:p w14:paraId="6B0F62F6" w14:textId="77777777" w:rsidR="003D2E31" w:rsidRDefault="00000000">
      <w:pPr>
        <w:pStyle w:val="berschrift2"/>
        <w:spacing w:before="0" w:after="0" w:line="275" w:lineRule="auto"/>
        <w:rPr>
          <w:rFonts w:ascii="Google Sans" w:eastAsia="Google Sans" w:hAnsi="Google Sans" w:cs="Google Sans"/>
          <w:color w:val="1F1F1F"/>
        </w:rPr>
      </w:pPr>
      <w:r>
        <w:rPr>
          <w:rFonts w:ascii="Google Sans" w:eastAsia="Google Sans" w:hAnsi="Google Sans" w:cs="Google Sans"/>
          <w:color w:val="1F1F1F"/>
        </w:rPr>
        <w:t>6 Architektur der Validierung: Software-technische Umsetzung</w:t>
      </w:r>
    </w:p>
    <w:p w14:paraId="48545FF8"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Die informationstechnische Abbildung dieser vielschichtigen Auslegungsregeln in der C#-Umgebung (</w:t>
      </w:r>
      <w:proofErr w:type="spellStart"/>
      <w:r>
        <w:rPr>
          <w:rFonts w:ascii="Google Sans" w:eastAsia="Google Sans" w:hAnsi="Google Sans" w:cs="Google Sans"/>
          <w:color w:val="1F1F1F"/>
        </w:rPr>
        <w:t>EPOS.Kern</w:t>
      </w:r>
      <w:proofErr w:type="spellEnd"/>
      <w:r>
        <w:rPr>
          <w:rFonts w:ascii="Google Sans" w:eastAsia="Google Sans" w:hAnsi="Google Sans" w:cs="Google Sans"/>
          <w:color w:val="1F1F1F"/>
        </w:rPr>
        <w:t>/Allgemein/Import/</w:t>
      </w:r>
      <w:proofErr w:type="spellStart"/>
      <w:r>
        <w:rPr>
          <w:rFonts w:ascii="Google Sans" w:eastAsia="Google Sans" w:hAnsi="Google Sans" w:cs="Google Sans"/>
          <w:color w:val="1F1F1F"/>
        </w:rPr>
        <w:t>StrangPlausibilitaet.cs</w:t>
      </w:r>
      <w:proofErr w:type="spellEnd"/>
      <w:r>
        <w:rPr>
          <w:rFonts w:ascii="Google Sans" w:eastAsia="Google Sans" w:hAnsi="Google Sans" w:cs="Google Sans"/>
          <w:color w:val="1F1F1F"/>
        </w:rPr>
        <w:t xml:space="preserve">) stellt besondere Anforderungen an die Softwarearchitektur. Eine monolithische Implementierung, bestehend aus endlosen </w:t>
      </w:r>
      <w:proofErr w:type="spellStart"/>
      <w:r>
        <w:rPr>
          <w:rFonts w:ascii="Google Sans" w:eastAsia="Google Sans" w:hAnsi="Google Sans" w:cs="Google Sans"/>
          <w:color w:val="1F1F1F"/>
        </w:rPr>
        <w:t>if</w:t>
      </w:r>
      <w:proofErr w:type="spellEnd"/>
      <w:r>
        <w:rPr>
          <w:rFonts w:ascii="Google Sans" w:eastAsia="Google Sans" w:hAnsi="Google Sans" w:cs="Google Sans"/>
          <w:color w:val="1F1F1F"/>
        </w:rPr>
        <w:t>-</w:t>
      </w:r>
      <w:proofErr w:type="spellStart"/>
      <w:r>
        <w:rPr>
          <w:rFonts w:ascii="Google Sans" w:eastAsia="Google Sans" w:hAnsi="Google Sans" w:cs="Google Sans"/>
          <w:color w:val="1F1F1F"/>
        </w:rPr>
        <w:t>else</w:t>
      </w:r>
      <w:proofErr w:type="spellEnd"/>
      <w:r>
        <w:rPr>
          <w:rFonts w:ascii="Google Sans" w:eastAsia="Google Sans" w:hAnsi="Google Sans" w:cs="Google Sans"/>
          <w:color w:val="1F1F1F"/>
        </w:rPr>
        <w:t>-Kaskaden, wäre hochgradig fehleranfällig und schwer wartbar</w:t>
      </w:r>
      <w:r>
        <w:rPr>
          <w:rFonts w:ascii="Google Sans" w:eastAsia="Google Sans" w:hAnsi="Google Sans" w:cs="Google Sans"/>
          <w:color w:val="444746"/>
          <w:sz w:val="24"/>
          <w:szCs w:val="24"/>
          <w:vertAlign w:val="superscript"/>
        </w:rPr>
        <w:t>46</w:t>
      </w:r>
      <w:r>
        <w:rPr>
          <w:rFonts w:ascii="Google Sans" w:eastAsia="Google Sans" w:hAnsi="Google Sans" w:cs="Google Sans"/>
          <w:color w:val="1F1F1F"/>
        </w:rPr>
        <w:t>.</w:t>
      </w:r>
    </w:p>
    <w:p w14:paraId="67F27672"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In modernen Unternehmensanwendungen, die dem Paradigma des Domain-Driven Design (DDD) folgen, wird für derart komplexe Validierungslogiken das </w:t>
      </w:r>
      <w:r>
        <w:rPr>
          <w:rFonts w:ascii="Google Sans" w:eastAsia="Google Sans" w:hAnsi="Google Sans" w:cs="Google Sans"/>
          <w:i/>
          <w:iCs/>
          <w:color w:val="1F1F1F"/>
        </w:rPr>
        <w:t>Rules Engine Pattern</w:t>
      </w:r>
      <w:r>
        <w:rPr>
          <w:rFonts w:ascii="Google Sans" w:eastAsia="Google Sans" w:hAnsi="Google Sans" w:cs="Google Sans"/>
          <w:color w:val="1F1F1F"/>
        </w:rPr>
        <w:t xml:space="preserve"> oder das </w:t>
      </w:r>
      <w:proofErr w:type="spellStart"/>
      <w:r>
        <w:rPr>
          <w:rFonts w:ascii="Google Sans" w:eastAsia="Google Sans" w:hAnsi="Google Sans" w:cs="Google Sans"/>
          <w:i/>
          <w:iCs/>
          <w:color w:val="1F1F1F"/>
        </w:rPr>
        <w:t>Specification</w:t>
      </w:r>
      <w:proofErr w:type="spellEnd"/>
      <w:r>
        <w:rPr>
          <w:rFonts w:ascii="Google Sans" w:eastAsia="Google Sans" w:hAnsi="Google Sans" w:cs="Google Sans"/>
          <w:i/>
          <w:iCs/>
          <w:color w:val="1F1F1F"/>
        </w:rPr>
        <w:t xml:space="preserve"> Pattern</w:t>
      </w:r>
      <w:r>
        <w:rPr>
          <w:rFonts w:ascii="Google Sans" w:eastAsia="Google Sans" w:hAnsi="Google Sans" w:cs="Google Sans"/>
          <w:color w:val="1F1F1F"/>
        </w:rPr>
        <w:t xml:space="preserve"> angewandt</w:t>
      </w:r>
      <w:r>
        <w:rPr>
          <w:rFonts w:ascii="Google Sans" w:eastAsia="Google Sans" w:hAnsi="Google Sans" w:cs="Google Sans"/>
          <w:color w:val="444746"/>
          <w:sz w:val="24"/>
          <w:szCs w:val="24"/>
          <w:vertAlign w:val="superscript"/>
        </w:rPr>
        <w:t>47</w:t>
      </w:r>
      <w:r>
        <w:rPr>
          <w:rFonts w:ascii="Google Sans" w:eastAsia="Google Sans" w:hAnsi="Google Sans" w:cs="Google Sans"/>
          <w:color w:val="1F1F1F"/>
        </w:rPr>
        <w:t>. Ein reines DDD-Modell würde jeden inkonsistenten Zustand sofort blockieren</w:t>
      </w:r>
      <w:r>
        <w:rPr>
          <w:rFonts w:ascii="Google Sans" w:eastAsia="Google Sans" w:hAnsi="Google Sans" w:cs="Google Sans"/>
          <w:color w:val="444746"/>
          <w:sz w:val="24"/>
          <w:szCs w:val="24"/>
          <w:vertAlign w:val="superscript"/>
        </w:rPr>
        <w:t>47</w:t>
      </w:r>
      <w:r>
        <w:rPr>
          <w:rFonts w:ascii="Google Sans" w:eastAsia="Google Sans" w:hAnsi="Google Sans" w:cs="Google Sans"/>
          <w:color w:val="1F1F1F"/>
        </w:rPr>
        <w:t>. Für ein interaktives CAD- und Planungswerkzeug ist dies jedoch dysfunktional. Der Planer muss während des Designprozesses in der Lage sein, Stränge provisorisch zuzuweisen, wodurch das System temporär in einen inkonsistenten Zustand gerät</w:t>
      </w:r>
      <w:r>
        <w:rPr>
          <w:rFonts w:ascii="Google Sans" w:eastAsia="Google Sans" w:hAnsi="Google Sans" w:cs="Google Sans"/>
          <w:color w:val="444746"/>
          <w:sz w:val="24"/>
          <w:szCs w:val="24"/>
          <w:vertAlign w:val="superscript"/>
        </w:rPr>
        <w:t>50</w:t>
      </w:r>
      <w:r>
        <w:rPr>
          <w:rFonts w:ascii="Google Sans" w:eastAsia="Google Sans" w:hAnsi="Google Sans" w:cs="Google Sans"/>
          <w:color w:val="1F1F1F"/>
        </w:rPr>
        <w:t>.</w:t>
      </w:r>
    </w:p>
    <w:p w14:paraId="5BB6ECF2"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Die Architektur greift daher auf "</w:t>
      </w:r>
      <w:proofErr w:type="spellStart"/>
      <w:r>
        <w:rPr>
          <w:rFonts w:ascii="Google Sans" w:eastAsia="Google Sans" w:hAnsi="Google Sans" w:cs="Google Sans"/>
          <w:color w:val="1F1F1F"/>
        </w:rPr>
        <w:t>Deferred</w:t>
      </w:r>
      <w:proofErr w:type="spellEnd"/>
      <w:r>
        <w:rPr>
          <w:rFonts w:ascii="Google Sans" w:eastAsia="Google Sans" w:hAnsi="Google Sans" w:cs="Google Sans"/>
          <w:color w:val="1F1F1F"/>
        </w:rPr>
        <w:t xml:space="preserve"> Validation" (Verzögerte Validierung) zurück</w:t>
      </w:r>
      <w:r>
        <w:rPr>
          <w:rFonts w:ascii="Google Sans" w:eastAsia="Google Sans" w:hAnsi="Google Sans" w:cs="Google Sans"/>
          <w:color w:val="444746"/>
          <w:sz w:val="24"/>
          <w:szCs w:val="24"/>
          <w:vertAlign w:val="superscript"/>
        </w:rPr>
        <w:t>47</w:t>
      </w:r>
      <w:r>
        <w:rPr>
          <w:rFonts w:ascii="Google Sans" w:eastAsia="Google Sans" w:hAnsi="Google Sans" w:cs="Google Sans"/>
          <w:color w:val="1F1F1F"/>
        </w:rPr>
        <w:t xml:space="preserve">. Jede der acht Regeln wird als separate, testbare Klasse implementiert, die ein generisches Interface IRule&lt;T&gt; besitzt. Die Methode </w:t>
      </w:r>
      <w:proofErr w:type="spellStart"/>
      <w:proofErr w:type="gramStart"/>
      <w:r>
        <w:rPr>
          <w:rFonts w:ascii="Google Sans" w:eastAsia="Google Sans" w:hAnsi="Google Sans" w:cs="Google Sans"/>
          <w:color w:val="1F1F1F"/>
        </w:rPr>
        <w:t>Evaluate</w:t>
      </w:r>
      <w:proofErr w:type="spellEnd"/>
      <w:r>
        <w:rPr>
          <w:rFonts w:ascii="Google Sans" w:eastAsia="Google Sans" w:hAnsi="Google Sans" w:cs="Google Sans"/>
          <w:color w:val="1F1F1F"/>
        </w:rPr>
        <w:t>(</w:t>
      </w:r>
      <w:proofErr w:type="spellStart"/>
      <w:proofErr w:type="gramEnd"/>
      <w:r>
        <w:rPr>
          <w:rFonts w:ascii="Google Sans" w:eastAsia="Google Sans" w:hAnsi="Google Sans" w:cs="Google Sans"/>
          <w:color w:val="1F1F1F"/>
        </w:rPr>
        <w:t>Context</w:t>
      </w:r>
      <w:proofErr w:type="spellEnd"/>
      <w:r>
        <w:rPr>
          <w:rFonts w:ascii="Google Sans" w:eastAsia="Google Sans" w:hAnsi="Google Sans" w:cs="Google Sans"/>
          <w:color w:val="1F1F1F"/>
        </w:rPr>
        <w:t xml:space="preserve">) gibt ein </w:t>
      </w:r>
      <w:proofErr w:type="spellStart"/>
      <w:r>
        <w:rPr>
          <w:rFonts w:ascii="Google Sans" w:eastAsia="Google Sans" w:hAnsi="Google Sans" w:cs="Google Sans"/>
          <w:color w:val="1F1F1F"/>
        </w:rPr>
        <w:t>ValidationResult</w:t>
      </w:r>
      <w:proofErr w:type="spellEnd"/>
      <w:r>
        <w:rPr>
          <w:rFonts w:ascii="Google Sans" w:eastAsia="Google Sans" w:hAnsi="Google Sans" w:cs="Google Sans"/>
          <w:color w:val="1F1F1F"/>
        </w:rPr>
        <w:t xml:space="preserve"> zurück</w:t>
      </w:r>
      <w:r>
        <w:rPr>
          <w:rFonts w:ascii="Google Sans" w:eastAsia="Google Sans" w:hAnsi="Google Sans" w:cs="Google Sans"/>
          <w:color w:val="444746"/>
          <w:sz w:val="24"/>
          <w:szCs w:val="24"/>
          <w:vertAlign w:val="superscript"/>
        </w:rPr>
        <w:t>48</w:t>
      </w:r>
      <w:r>
        <w:rPr>
          <w:rFonts w:ascii="Google Sans" w:eastAsia="Google Sans" w:hAnsi="Google Sans" w:cs="Google Sans"/>
          <w:color w:val="1F1F1F"/>
        </w:rPr>
        <w:t>. Diese entkoppelte Architektur ermöglicht ein flüssiges User Experience und erlaubt das einfache Hinzufügen künftiger Regeln (Open/</w:t>
      </w:r>
      <w:proofErr w:type="spellStart"/>
      <w:r>
        <w:rPr>
          <w:rFonts w:ascii="Google Sans" w:eastAsia="Google Sans" w:hAnsi="Google Sans" w:cs="Google Sans"/>
          <w:color w:val="1F1F1F"/>
        </w:rPr>
        <w:t>Closed</w:t>
      </w:r>
      <w:proofErr w:type="spellEnd"/>
      <w:r>
        <w:rPr>
          <w:rFonts w:ascii="Google Sans" w:eastAsia="Google Sans" w:hAnsi="Google Sans" w:cs="Google Sans"/>
          <w:color w:val="1F1F1F"/>
        </w:rPr>
        <w:t xml:space="preserve"> </w:t>
      </w:r>
      <w:proofErr w:type="spellStart"/>
      <w:r>
        <w:rPr>
          <w:rFonts w:ascii="Google Sans" w:eastAsia="Google Sans" w:hAnsi="Google Sans" w:cs="Google Sans"/>
          <w:color w:val="1F1F1F"/>
        </w:rPr>
        <w:t>Principle</w:t>
      </w:r>
      <w:proofErr w:type="spellEnd"/>
      <w:r>
        <w:rPr>
          <w:rFonts w:ascii="Google Sans" w:eastAsia="Google Sans" w:hAnsi="Google Sans" w:cs="Google Sans"/>
          <w:color w:val="1F1F1F"/>
        </w:rPr>
        <w:t>)</w:t>
      </w:r>
      <w:r>
        <w:rPr>
          <w:rFonts w:ascii="Google Sans" w:eastAsia="Google Sans" w:hAnsi="Google Sans" w:cs="Google Sans"/>
          <w:color w:val="444746"/>
          <w:sz w:val="24"/>
          <w:szCs w:val="24"/>
          <w:vertAlign w:val="superscript"/>
        </w:rPr>
        <w:t>46</w:t>
      </w:r>
      <w:r>
        <w:rPr>
          <w:rFonts w:ascii="Google Sans" w:eastAsia="Google Sans" w:hAnsi="Google Sans" w:cs="Google Sans"/>
          <w:color w:val="1F1F1F"/>
        </w:rPr>
        <w:t>.</w:t>
      </w:r>
    </w:p>
    <w:p w14:paraId="13ACF195" w14:textId="77777777" w:rsidR="003D2E31" w:rsidRDefault="00000000">
      <w:pPr>
        <w:pStyle w:val="berschrift2"/>
        <w:spacing w:before="0" w:after="0" w:line="275" w:lineRule="auto"/>
        <w:rPr>
          <w:rFonts w:ascii="Google Sans" w:eastAsia="Google Sans" w:hAnsi="Google Sans" w:cs="Google Sans"/>
          <w:color w:val="1F1F1F"/>
        </w:rPr>
      </w:pPr>
      <w:r>
        <w:rPr>
          <w:rFonts w:ascii="Google Sans" w:eastAsia="Google Sans" w:hAnsi="Google Sans" w:cs="Google Sans"/>
          <w:color w:val="1F1F1F"/>
        </w:rPr>
        <w:t>7 Das Meldungswesen und die Diagnostik</w:t>
      </w:r>
    </w:p>
    <w:p w14:paraId="6CBCA9A8"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lastRenderedPageBreak/>
        <w:t>Die Transparenz der Systemprüfung gegenüber dem Anwender wird durch ein kontextbezogenes Meldungswesen realisiert.</w:t>
      </w:r>
    </w:p>
    <w:p w14:paraId="1CC58BA4" w14:textId="77777777" w:rsidR="003D2E31" w:rsidRDefault="00000000">
      <w:pPr>
        <w:pStyle w:val="berschrift3"/>
        <w:spacing w:before="0" w:after="0" w:line="275" w:lineRule="auto"/>
        <w:rPr>
          <w:rFonts w:ascii="Google Sans" w:eastAsia="Google Sans" w:hAnsi="Google Sans" w:cs="Google Sans"/>
          <w:color w:val="1F1F1F"/>
        </w:rPr>
      </w:pPr>
      <w:r>
        <w:rPr>
          <w:rFonts w:ascii="Google Sans" w:eastAsia="Google Sans" w:hAnsi="Google Sans" w:cs="Google Sans"/>
          <w:color w:val="1F1F1F"/>
        </w:rPr>
        <w:t>7.1 Strang-spezifische Diagnostik</w:t>
      </w:r>
    </w:p>
    <w:p w14:paraId="618AE4EC"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Auf der Ebene der einzelnen Stränge gibt die Software granulare Rückmeldung über die Spannungsverhältnisse:</w:t>
      </w:r>
    </w:p>
    <w:p w14:paraId="287D237A" w14:textId="77777777" w:rsidR="003D2E31"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Der Idealzustand:</w:t>
      </w:r>
      <w:r>
        <w:rPr>
          <w:rFonts w:ascii="Google Sans" w:eastAsia="Google Sans" w:hAnsi="Google Sans" w:cs="Google Sans"/>
          <w:color w:val="1F1F1F"/>
        </w:rPr>
        <w:t xml:space="preserve"> z.B. </w:t>
      </w:r>
      <w:proofErr w:type="spellStart"/>
      <w:r>
        <w:rPr>
          <w:rFonts w:ascii="Google Sans" w:eastAsia="Google Sans" w:hAnsi="Google Sans" w:cs="Google Sans"/>
          <w:color w:val="1F1F1F"/>
        </w:rPr>
        <w:t>U_</w:t>
      </w:r>
      <w:proofErr w:type="gramStart"/>
      <w:r>
        <w:rPr>
          <w:rFonts w:ascii="Google Sans" w:eastAsia="Google Sans" w:hAnsi="Google Sans" w:cs="Google Sans"/>
          <w:color w:val="1F1F1F"/>
        </w:rPr>
        <w:t>oc</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-10 °C) 537 V &lt;= 600 V (P1).</w:t>
      </w:r>
    </w:p>
    <w:p w14:paraId="63C6CED1" w14:textId="77777777" w:rsidR="003D2E31"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Kritische Fehler (Rot):</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U_</w:t>
      </w:r>
      <w:proofErr w:type="gramStart"/>
      <w:r>
        <w:rPr>
          <w:rFonts w:ascii="Google Sans" w:eastAsia="Google Sans" w:hAnsi="Google Sans" w:cs="Google Sans"/>
          <w:color w:val="1F1F1F"/>
        </w:rPr>
        <w:t>oc</w:t>
      </w:r>
      <w:proofErr w:type="spellEnd"/>
      <w:r>
        <w:rPr>
          <w:rFonts w:ascii="Google Sans" w:eastAsia="Google Sans" w:hAnsi="Google Sans" w:cs="Google Sans"/>
          <w:color w:val="1F1F1F"/>
        </w:rPr>
        <w:t>(</w:t>
      </w:r>
      <w:proofErr w:type="gramEnd"/>
      <w:r>
        <w:rPr>
          <w:rFonts w:ascii="Google Sans" w:eastAsia="Google Sans" w:hAnsi="Google Sans" w:cs="Google Sans"/>
          <w:color w:val="1F1F1F"/>
        </w:rPr>
        <w:t>-10 °C) 750 V &gt; 600 V — der Wechselrichter kann bei Frost und Sonne Schaden nehmen.</w:t>
      </w:r>
    </w:p>
    <w:p w14:paraId="5CF91D69" w14:textId="77777777" w:rsidR="003D2E31"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Ertragswarnungen (Rot/Gelb):</w:t>
      </w:r>
      <w:r>
        <w:rPr>
          <w:rFonts w:ascii="Google Sans" w:eastAsia="Google Sans" w:hAnsi="Google Sans" w:cs="Google Sans"/>
          <w:color w:val="1F1F1F"/>
        </w:rPr>
        <w:t xml:space="preserve"> MPP im Sommer 190 V &lt; 210 V — der Strang regelt ab.</w:t>
      </w:r>
    </w:p>
    <w:p w14:paraId="5BEA3E27" w14:textId="77777777" w:rsidR="003D2E31" w:rsidRDefault="00000000">
      <w:pPr>
        <w:numPr>
          <w:ilvl w:val="0"/>
          <w:numId w:val="12"/>
        </w:numPr>
        <w:pBdr>
          <w:top w:val="nil"/>
          <w:left w:val="nil"/>
          <w:bottom w:val="nil"/>
          <w:right w:val="nil"/>
          <w:between w:val="nil"/>
        </w:pBdr>
        <w:spacing w:line="275" w:lineRule="auto"/>
      </w:pPr>
      <w:r>
        <w:rPr>
          <w:rFonts w:ascii="Google Sans" w:eastAsia="Google Sans" w:hAnsi="Google Sans" w:cs="Google Sans"/>
          <w:b/>
          <w:bCs/>
          <w:color w:val="1F1F1F"/>
        </w:rPr>
        <w:t>Datenlücken:</w:t>
      </w:r>
      <w:r>
        <w:rPr>
          <w:rFonts w:ascii="Google Sans" w:eastAsia="Google Sans" w:hAnsi="Google Sans" w:cs="Google Sans"/>
          <w:color w:val="1F1F1F"/>
        </w:rPr>
        <w:t xml:space="preserve"> Werte fehlen: Leerlaufspannung oder </w:t>
      </w:r>
      <w:proofErr w:type="spellStart"/>
      <w:r>
        <w:rPr>
          <w:rFonts w:ascii="Google Sans" w:eastAsia="Google Sans" w:hAnsi="Google Sans" w:cs="Google Sans"/>
          <w:color w:val="1F1F1F"/>
        </w:rPr>
        <w:t>beta_OC</w:t>
      </w:r>
      <w:proofErr w:type="spellEnd"/>
      <w:r>
        <w:rPr>
          <w:rFonts w:ascii="Google Sans" w:eastAsia="Google Sans" w:hAnsi="Google Sans" w:cs="Google Sans"/>
          <w:color w:val="1F1F1F"/>
        </w:rPr>
        <w:t xml:space="preserve"> des Moduls.</w:t>
      </w:r>
    </w:p>
    <w:p w14:paraId="445F456B"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Tritt ein Fehler auf, fügt die Auslegungshilfe einen Lösungsraum an: passend wären 4…14 Module in Reihe.</w:t>
      </w:r>
    </w:p>
    <w:p w14:paraId="15F6FF41" w14:textId="77777777" w:rsidR="003D2E31" w:rsidRDefault="00000000">
      <w:pPr>
        <w:pStyle w:val="berschrift3"/>
        <w:spacing w:before="0" w:after="0" w:line="275" w:lineRule="auto"/>
        <w:rPr>
          <w:rFonts w:ascii="Google Sans" w:eastAsia="Google Sans" w:hAnsi="Google Sans" w:cs="Google Sans"/>
          <w:color w:val="1F1F1F"/>
        </w:rPr>
      </w:pPr>
      <w:r>
        <w:rPr>
          <w:rFonts w:ascii="Google Sans" w:eastAsia="Google Sans" w:hAnsi="Google Sans" w:cs="Google Sans"/>
          <w:color w:val="1F1F1F"/>
        </w:rPr>
        <w:t>7.2 Geräte-spezifische Diagnostik</w:t>
      </w:r>
    </w:p>
    <w:p w14:paraId="3FAB0AE0"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Fokussiert auf Ströme und Leistungsverhältnisse:</w:t>
      </w:r>
    </w:p>
    <w:p w14:paraId="1FCCF7F0" w14:textId="77777777" w:rsidR="003D2E31" w:rsidRPr="0088718B" w:rsidRDefault="00000000">
      <w:pPr>
        <w:numPr>
          <w:ilvl w:val="0"/>
          <w:numId w:val="13"/>
        </w:numPr>
        <w:pBdr>
          <w:top w:val="nil"/>
          <w:left w:val="nil"/>
          <w:bottom w:val="nil"/>
          <w:right w:val="nil"/>
          <w:between w:val="nil"/>
        </w:pBdr>
        <w:spacing w:line="275" w:lineRule="auto"/>
        <w:rPr>
          <w:lang w:val="en-US"/>
        </w:rPr>
      </w:pPr>
      <w:proofErr w:type="spellStart"/>
      <w:r w:rsidRPr="0088718B">
        <w:rPr>
          <w:rFonts w:ascii="Google Sans" w:eastAsia="Google Sans" w:hAnsi="Google Sans" w:cs="Google Sans"/>
          <w:b/>
          <w:bCs/>
          <w:color w:val="1F1F1F"/>
          <w:lang w:val="en-US"/>
        </w:rPr>
        <w:t>Stromprüfung</w:t>
      </w:r>
      <w:proofErr w:type="spellEnd"/>
      <w:r w:rsidRPr="0088718B">
        <w:rPr>
          <w:rFonts w:ascii="Google Sans" w:eastAsia="Google Sans" w:hAnsi="Google Sans" w:cs="Google Sans"/>
          <w:b/>
          <w:bCs/>
          <w:color w:val="1F1F1F"/>
          <w:lang w:val="en-US"/>
        </w:rPr>
        <w:t>:</w:t>
      </w:r>
      <w:r w:rsidRPr="0088718B">
        <w:rPr>
          <w:rFonts w:ascii="Google Sans" w:eastAsia="Google Sans" w:hAnsi="Google Sans" w:cs="Google Sans"/>
          <w:color w:val="1F1F1F"/>
          <w:lang w:val="en-US"/>
        </w:rPr>
        <w:t xml:space="preserve"> I 32,5 A &gt; 30,0 A am MPPT 1.</w:t>
      </w:r>
    </w:p>
    <w:p w14:paraId="15506D62" w14:textId="77777777" w:rsidR="003D2E31"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b/>
          <w:bCs/>
          <w:color w:val="1F1F1F"/>
        </w:rPr>
        <w:t>Wirtschaftlichkeitsprüfung:</w:t>
      </w:r>
      <w:r>
        <w:rPr>
          <w:rFonts w:ascii="Google Sans" w:eastAsia="Google Sans" w:hAnsi="Google Sans" w:cs="Google Sans"/>
          <w:color w:val="1F1F1F"/>
        </w:rPr>
        <w:t xml:space="preserve"> DC/AC 1,77 liegt außerhalb 1,0…1,5.</w:t>
      </w:r>
    </w:p>
    <w:p w14:paraId="49810F1C" w14:textId="77777777" w:rsidR="003D2E31" w:rsidRDefault="00000000">
      <w:pPr>
        <w:numPr>
          <w:ilvl w:val="0"/>
          <w:numId w:val="13"/>
        </w:numPr>
        <w:pBdr>
          <w:top w:val="nil"/>
          <w:left w:val="nil"/>
          <w:bottom w:val="nil"/>
          <w:right w:val="nil"/>
          <w:between w:val="nil"/>
        </w:pBdr>
        <w:spacing w:line="275" w:lineRule="auto"/>
      </w:pPr>
      <w:r>
        <w:rPr>
          <w:rFonts w:ascii="Google Sans" w:eastAsia="Google Sans" w:hAnsi="Google Sans" w:cs="Google Sans"/>
          <w:color w:val="1F1F1F"/>
        </w:rPr>
        <w:t>Das System rät adaptiv: passend wären 10…13 Module je Gerät.</w:t>
      </w:r>
    </w:p>
    <w:p w14:paraId="772D7C16" w14:textId="77777777" w:rsidR="003D2E31" w:rsidRDefault="00000000">
      <w:pPr>
        <w:pStyle w:val="berschrift2"/>
        <w:spacing w:before="0" w:after="0" w:line="275" w:lineRule="auto"/>
        <w:rPr>
          <w:rFonts w:ascii="Google Sans" w:eastAsia="Google Sans" w:hAnsi="Google Sans" w:cs="Google Sans"/>
          <w:color w:val="1F1F1F"/>
        </w:rPr>
      </w:pPr>
      <w:r>
        <w:rPr>
          <w:rFonts w:ascii="Google Sans" w:eastAsia="Google Sans" w:hAnsi="Google Sans" w:cs="Google Sans"/>
          <w:color w:val="1F1F1F"/>
        </w:rPr>
        <w:t>8 Methodik der Auslegungshilfe (</w:t>
      </w:r>
      <w:proofErr w:type="spellStart"/>
      <w:r>
        <w:rPr>
          <w:rFonts w:ascii="Google Sans" w:eastAsia="Google Sans" w:hAnsi="Google Sans" w:cs="Google Sans"/>
          <w:color w:val="1F1F1F"/>
        </w:rPr>
        <w:t>StrangAuslegung</w:t>
      </w:r>
      <w:proofErr w:type="spellEnd"/>
      <w:r>
        <w:rPr>
          <w:rFonts w:ascii="Google Sans" w:eastAsia="Google Sans" w:hAnsi="Google Sans" w:cs="Google Sans"/>
          <w:color w:val="1F1F1F"/>
        </w:rPr>
        <w:t>)</w:t>
      </w:r>
    </w:p>
    <w:p w14:paraId="26FE4CCF"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Der proaktive Baustein der Software, implementiert in </w:t>
      </w:r>
      <w:proofErr w:type="spellStart"/>
      <w:r>
        <w:rPr>
          <w:rFonts w:ascii="Google Sans" w:eastAsia="Google Sans" w:hAnsi="Google Sans" w:cs="Google Sans"/>
          <w:color w:val="1F1F1F"/>
        </w:rPr>
        <w:t>EPOS.Kern</w:t>
      </w:r>
      <w:proofErr w:type="spellEnd"/>
      <w:r>
        <w:rPr>
          <w:rFonts w:ascii="Google Sans" w:eastAsia="Google Sans" w:hAnsi="Google Sans" w:cs="Google Sans"/>
          <w:color w:val="1F1F1F"/>
        </w:rPr>
        <w:t>/Allgemein/Import/</w:t>
      </w:r>
      <w:proofErr w:type="spellStart"/>
      <w:r>
        <w:rPr>
          <w:rFonts w:ascii="Google Sans" w:eastAsia="Google Sans" w:hAnsi="Google Sans" w:cs="Google Sans"/>
          <w:color w:val="1F1F1F"/>
        </w:rPr>
        <w:t>StrangAuslegung.cs</w:t>
      </w:r>
      <w:proofErr w:type="spellEnd"/>
      <w:r>
        <w:rPr>
          <w:rFonts w:ascii="Google Sans" w:eastAsia="Google Sans" w:hAnsi="Google Sans" w:cs="Google Sans"/>
          <w:color w:val="1F1F1F"/>
        </w:rPr>
        <w:t>, invertiert die Mathematik der Prüfregeln.</w:t>
      </w:r>
    </w:p>
    <w:p w14:paraId="04D55B93" w14:textId="77777777" w:rsidR="003D2E31" w:rsidRDefault="00000000">
      <w:pPr>
        <w:pStyle w:val="berschrift3"/>
        <w:spacing w:before="0" w:after="0" w:line="275" w:lineRule="auto"/>
        <w:rPr>
          <w:rFonts w:ascii="Google Sans" w:eastAsia="Google Sans" w:hAnsi="Google Sans" w:cs="Google Sans"/>
          <w:color w:val="1F1F1F"/>
        </w:rPr>
      </w:pPr>
      <w:r>
        <w:rPr>
          <w:rFonts w:ascii="Google Sans" w:eastAsia="Google Sans" w:hAnsi="Google Sans" w:cs="Google Sans"/>
          <w:color w:val="1F1F1F"/>
        </w:rPr>
        <w:t>8.1 Mathematische Ermittlung der Lösungskorridore</w:t>
      </w:r>
    </w:p>
    <w:p w14:paraId="0826B6A0" w14:textId="77777777" w:rsidR="003D2E31"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 xml:space="preserve">Methode </w:t>
      </w:r>
      <w:proofErr w:type="gramStart"/>
      <w:r>
        <w:rPr>
          <w:rFonts w:ascii="Google Sans" w:eastAsia="Google Sans" w:hAnsi="Google Sans" w:cs="Google Sans"/>
          <w:b/>
          <w:bCs/>
          <w:color w:val="1F1F1F"/>
        </w:rPr>
        <w:t>Reihe(</w:t>
      </w:r>
      <w:proofErr w:type="spellStart"/>
      <w:proofErr w:type="gramEnd"/>
      <w:r>
        <w:rPr>
          <w:rFonts w:ascii="Google Sans" w:eastAsia="Google Sans" w:hAnsi="Google Sans" w:cs="Google Sans"/>
          <w:b/>
          <w:bCs/>
          <w:color w:val="1F1F1F"/>
        </w:rPr>
        <w:t>modul</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geraet</w:t>
      </w:r>
      <w:proofErr w:type="spellEnd"/>
      <w:r>
        <w:rPr>
          <w:rFonts w:ascii="Google Sans" w:eastAsia="Google Sans" w:hAnsi="Google Sans" w:cs="Google Sans"/>
          <w:b/>
          <w:bCs/>
          <w:color w:val="1F1F1F"/>
        </w:rPr>
        <w:t>):</w:t>
      </w:r>
    </w:p>
    <w:p w14:paraId="5038CFA5" w14:textId="77777777" w:rsidR="003D2E31" w:rsidRDefault="00000000">
      <w:pPr>
        <w:numPr>
          <w:ilvl w:val="1"/>
          <w:numId w:val="15"/>
        </w:numPr>
        <w:pBdr>
          <w:top w:val="nil"/>
          <w:left w:val="nil"/>
          <w:bottom w:val="nil"/>
          <w:right w:val="nil"/>
          <w:between w:val="nil"/>
        </w:pBdr>
        <w:spacing w:line="275" w:lineRule="auto"/>
      </w:pPr>
      <w:r>
        <w:rPr>
          <w:rFonts w:ascii="Google Sans" w:eastAsia="Google Sans" w:hAnsi="Google Sans" w:cs="Google Sans"/>
          <w:color w:val="1F1F1F"/>
        </w:rPr>
        <w:t xml:space="preserve">Minimum (Sommer-Ertragsfall P2): </w:t>
      </w:r>
      <w:r>
        <w:rPr>
          <w:rFonts w:ascii="Google Sans" w:eastAsia="Google Sans" w:hAnsi="Google Sans" w:cs="Google Sans"/>
          <w:noProof/>
          <w:color w:val="1F1F1F"/>
        </w:rPr>
        <w:drawing>
          <wp:inline distT="19050" distB="19050" distL="19050" distR="19050" wp14:anchorId="5B932E20" wp14:editId="385D5A44">
            <wp:extent cx="3139154" cy="245742"/>
            <wp:effectExtent l="0" t="0" r="0" b="0"/>
            <wp:docPr id="22"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1"/>
                    <a:srcRect/>
                    <a:stretch>
                      <a:fillRect/>
                    </a:stretch>
                  </pic:blipFill>
                  <pic:spPr>
                    <a:xfrm>
                      <a:off x="0" y="0"/>
                      <a:ext cx="3139154" cy="245742"/>
                    </a:xfrm>
                    <a:prstGeom prst="rect">
                      <a:avLst/>
                    </a:prstGeom>
                    <a:ln/>
                  </pic:spPr>
                </pic:pic>
              </a:graphicData>
            </a:graphic>
          </wp:inline>
        </w:drawing>
      </w:r>
      <w:r>
        <w:rPr>
          <w:rFonts w:ascii="Google Sans" w:eastAsia="Google Sans" w:hAnsi="Google Sans" w:cs="Google Sans"/>
          <w:color w:val="1F1F1F"/>
        </w:rPr>
        <w:t>.</w:t>
      </w:r>
    </w:p>
    <w:p w14:paraId="2E82DDA3" w14:textId="77777777" w:rsidR="003D2E31" w:rsidRDefault="00000000">
      <w:pPr>
        <w:numPr>
          <w:ilvl w:val="1"/>
          <w:numId w:val="15"/>
        </w:numPr>
        <w:pBdr>
          <w:top w:val="nil"/>
          <w:left w:val="nil"/>
          <w:bottom w:val="nil"/>
          <w:right w:val="nil"/>
          <w:between w:val="nil"/>
        </w:pBdr>
        <w:spacing w:line="275" w:lineRule="auto"/>
      </w:pPr>
      <w:r>
        <w:rPr>
          <w:rFonts w:ascii="Google Sans" w:eastAsia="Google Sans" w:hAnsi="Google Sans" w:cs="Google Sans"/>
          <w:color w:val="1F1F1F"/>
        </w:rPr>
        <w:t xml:space="preserve">Maximum (Kalt-Zerstörung P1/P3): </w:t>
      </w:r>
      <w:r>
        <w:rPr>
          <w:rFonts w:ascii="Google Sans" w:eastAsia="Google Sans" w:hAnsi="Google Sans" w:cs="Google Sans"/>
          <w:noProof/>
          <w:color w:val="1F1F1F"/>
        </w:rPr>
        <w:drawing>
          <wp:inline distT="19050" distB="19050" distL="19050" distR="19050" wp14:anchorId="705CB7F8" wp14:editId="300A9A0F">
            <wp:extent cx="5905500" cy="235612"/>
            <wp:effectExtent l="0" t="0" r="0" b="0"/>
            <wp:docPr id="4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42"/>
                    <a:srcRect/>
                    <a:stretch>
                      <a:fillRect/>
                    </a:stretch>
                  </pic:blipFill>
                  <pic:spPr>
                    <a:xfrm>
                      <a:off x="0" y="0"/>
                      <a:ext cx="5905500" cy="235612"/>
                    </a:xfrm>
                    <a:prstGeom prst="rect">
                      <a:avLst/>
                    </a:prstGeom>
                    <a:ln/>
                  </pic:spPr>
                </pic:pic>
              </a:graphicData>
            </a:graphic>
          </wp:inline>
        </w:drawing>
      </w:r>
      <w:r>
        <w:rPr>
          <w:rFonts w:ascii="Google Sans" w:eastAsia="Google Sans" w:hAnsi="Google Sans" w:cs="Google Sans"/>
          <w:color w:val="1F1F1F"/>
        </w:rPr>
        <w:t>.</w:t>
      </w:r>
    </w:p>
    <w:p w14:paraId="6D7D70E2" w14:textId="77777777" w:rsidR="003D2E31"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 xml:space="preserve">Methode </w:t>
      </w:r>
      <w:proofErr w:type="spellStart"/>
      <w:proofErr w:type="gramStart"/>
      <w:r>
        <w:rPr>
          <w:rFonts w:ascii="Google Sans" w:eastAsia="Google Sans" w:hAnsi="Google Sans" w:cs="Google Sans"/>
          <w:b/>
          <w:bCs/>
          <w:color w:val="1F1F1F"/>
        </w:rPr>
        <w:t>ParallelJeMppt</w:t>
      </w:r>
      <w:proofErr w:type="spellEnd"/>
      <w:r>
        <w:rPr>
          <w:rFonts w:ascii="Google Sans" w:eastAsia="Google Sans" w:hAnsi="Google Sans" w:cs="Google Sans"/>
          <w:b/>
          <w:bCs/>
          <w:color w:val="1F1F1F"/>
        </w:rPr>
        <w:t>(</w:t>
      </w:r>
      <w:proofErr w:type="spellStart"/>
      <w:proofErr w:type="gramEnd"/>
      <w:r>
        <w:rPr>
          <w:rFonts w:ascii="Google Sans" w:eastAsia="Google Sans" w:hAnsi="Google Sans" w:cs="Google Sans"/>
          <w:b/>
          <w:bCs/>
          <w:color w:val="1F1F1F"/>
        </w:rPr>
        <w:t>modul</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geraet</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21C4F9C2" wp14:editId="1CAE45D2">
            <wp:extent cx="2828973" cy="246343"/>
            <wp:effectExtent l="0" t="0" r="0" b="0"/>
            <wp:docPr id="44"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43"/>
                    <a:srcRect/>
                    <a:stretch>
                      <a:fillRect/>
                    </a:stretch>
                  </pic:blipFill>
                  <pic:spPr>
                    <a:xfrm>
                      <a:off x="0" y="0"/>
                      <a:ext cx="2828973" cy="246343"/>
                    </a:xfrm>
                    <a:prstGeom prst="rect">
                      <a:avLst/>
                    </a:prstGeom>
                    <a:ln/>
                  </pic:spPr>
                </pic:pic>
              </a:graphicData>
            </a:graphic>
          </wp:inline>
        </w:drawing>
      </w:r>
      <w:r>
        <w:rPr>
          <w:rFonts w:ascii="Google Sans" w:eastAsia="Google Sans" w:hAnsi="Google Sans" w:cs="Google Sans"/>
          <w:color w:val="1F1F1F"/>
        </w:rPr>
        <w:t>.</w:t>
      </w:r>
    </w:p>
    <w:p w14:paraId="00607090" w14:textId="77777777" w:rsidR="003D2E31"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 xml:space="preserve">Methode </w:t>
      </w:r>
      <w:proofErr w:type="spellStart"/>
      <w:proofErr w:type="gramStart"/>
      <w:r>
        <w:rPr>
          <w:rFonts w:ascii="Google Sans" w:eastAsia="Google Sans" w:hAnsi="Google Sans" w:cs="Google Sans"/>
          <w:b/>
          <w:bCs/>
          <w:color w:val="1F1F1F"/>
        </w:rPr>
        <w:t>ModuleJeGeraet</w:t>
      </w:r>
      <w:proofErr w:type="spellEnd"/>
      <w:r>
        <w:rPr>
          <w:rFonts w:ascii="Google Sans" w:eastAsia="Google Sans" w:hAnsi="Google Sans" w:cs="Google Sans"/>
          <w:b/>
          <w:bCs/>
          <w:color w:val="1F1F1F"/>
        </w:rPr>
        <w:t>(</w:t>
      </w:r>
      <w:proofErr w:type="spellStart"/>
      <w:proofErr w:type="gramEnd"/>
      <w:r>
        <w:rPr>
          <w:rFonts w:ascii="Google Sans" w:eastAsia="Google Sans" w:hAnsi="Google Sans" w:cs="Google Sans"/>
          <w:b/>
          <w:bCs/>
          <w:color w:val="1F1F1F"/>
        </w:rPr>
        <w:t>modul</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geraet</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Überführt DC/AC-Verhältnisse (P6) und DC-Grenzen (P7) in konkrete Modulspannen.</w:t>
      </w:r>
    </w:p>
    <w:p w14:paraId="0ECAEB81" w14:textId="77777777" w:rsidR="003D2E31" w:rsidRDefault="00000000">
      <w:pPr>
        <w:pStyle w:val="berschrift3"/>
        <w:spacing w:before="0" w:after="0" w:line="275" w:lineRule="auto"/>
        <w:rPr>
          <w:rFonts w:ascii="Google Sans" w:eastAsia="Google Sans" w:hAnsi="Google Sans" w:cs="Google Sans"/>
          <w:color w:val="1F1F1F"/>
        </w:rPr>
      </w:pPr>
      <w:r>
        <w:rPr>
          <w:rFonts w:ascii="Google Sans" w:eastAsia="Google Sans" w:hAnsi="Google Sans" w:cs="Google Sans"/>
          <w:color w:val="1F1F1F"/>
        </w:rPr>
        <w:t>8.2 Heuristische Algorithmen zur Systemautomation</w:t>
      </w:r>
    </w:p>
    <w:p w14:paraId="19B96745" w14:textId="77777777" w:rsidR="003D2E31" w:rsidRDefault="00000000">
      <w:pPr>
        <w:numPr>
          <w:ilvl w:val="0"/>
          <w:numId w:val="16"/>
        </w:numPr>
        <w:pBdr>
          <w:top w:val="nil"/>
          <w:left w:val="nil"/>
          <w:bottom w:val="nil"/>
          <w:right w:val="nil"/>
          <w:between w:val="nil"/>
        </w:pBdr>
        <w:spacing w:line="275" w:lineRule="auto"/>
      </w:pPr>
      <w:proofErr w:type="spellStart"/>
      <w:proofErr w:type="gramStart"/>
      <w:r>
        <w:rPr>
          <w:rFonts w:ascii="Google Sans" w:eastAsia="Google Sans" w:hAnsi="Google Sans" w:cs="Google Sans"/>
          <w:b/>
          <w:bCs/>
          <w:color w:val="1F1F1F"/>
        </w:rPr>
        <w:t>GeraeteBewerten</w:t>
      </w:r>
      <w:proofErr w:type="spellEnd"/>
      <w:r>
        <w:rPr>
          <w:rFonts w:ascii="Google Sans" w:eastAsia="Google Sans" w:hAnsi="Google Sans" w:cs="Google Sans"/>
          <w:b/>
          <w:bCs/>
          <w:color w:val="1F1F1F"/>
        </w:rPr>
        <w:t>(</w:t>
      </w:r>
      <w:proofErr w:type="spellStart"/>
      <w:proofErr w:type="gramEnd"/>
      <w:r>
        <w:rPr>
          <w:rFonts w:ascii="Google Sans" w:eastAsia="Google Sans" w:hAnsi="Google Sans" w:cs="Google Sans"/>
          <w:b/>
          <w:bCs/>
          <w:color w:val="1F1F1F"/>
        </w:rPr>
        <w:t>modul</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anzahlModule</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katalog</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Filtert den Wechselrichterkatalog nach Kompatibilität und sortiert passgenaue DC/AC-Verhältnisse (nahe 1,25) nach oben</w:t>
      </w:r>
      <w:r>
        <w:rPr>
          <w:rFonts w:ascii="Google Sans" w:eastAsia="Google Sans" w:hAnsi="Google Sans" w:cs="Google Sans"/>
          <w:color w:val="444746"/>
          <w:sz w:val="24"/>
          <w:szCs w:val="24"/>
          <w:vertAlign w:val="superscript"/>
        </w:rPr>
        <w:t>10</w:t>
      </w:r>
      <w:r>
        <w:rPr>
          <w:rFonts w:ascii="Google Sans" w:eastAsia="Google Sans" w:hAnsi="Google Sans" w:cs="Google Sans"/>
          <w:color w:val="1F1F1F"/>
        </w:rPr>
        <w:t>.</w:t>
      </w:r>
    </w:p>
    <w:p w14:paraId="78BB74C5" w14:textId="77777777" w:rsidR="003D2E31" w:rsidRDefault="00000000">
      <w:pPr>
        <w:numPr>
          <w:ilvl w:val="0"/>
          <w:numId w:val="16"/>
        </w:numPr>
        <w:pBdr>
          <w:top w:val="nil"/>
          <w:left w:val="nil"/>
          <w:bottom w:val="nil"/>
          <w:right w:val="nil"/>
          <w:between w:val="nil"/>
        </w:pBdr>
        <w:spacing w:line="275" w:lineRule="auto"/>
      </w:pPr>
      <w:proofErr w:type="gramStart"/>
      <w:r>
        <w:rPr>
          <w:rFonts w:ascii="Google Sans" w:eastAsia="Google Sans" w:hAnsi="Google Sans" w:cs="Google Sans"/>
          <w:b/>
          <w:bCs/>
          <w:color w:val="1F1F1F"/>
        </w:rPr>
        <w:t>Vorschlagen(</w:t>
      </w:r>
      <w:proofErr w:type="spellStart"/>
      <w:proofErr w:type="gramEnd"/>
      <w:r>
        <w:rPr>
          <w:rFonts w:ascii="Google Sans" w:eastAsia="Google Sans" w:hAnsi="Google Sans" w:cs="Google Sans"/>
          <w:b/>
          <w:bCs/>
          <w:color w:val="1F1F1F"/>
        </w:rPr>
        <w:t>modul</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geraet</w:t>
      </w:r>
      <w:proofErr w:type="spellEnd"/>
      <w:r>
        <w:rPr>
          <w:rFonts w:ascii="Google Sans" w:eastAsia="Google Sans" w:hAnsi="Google Sans" w:cs="Google Sans"/>
          <w:b/>
          <w:bCs/>
          <w:color w:val="1F1F1F"/>
        </w:rPr>
        <w:t xml:space="preserve">, </w:t>
      </w:r>
      <w:proofErr w:type="spellStart"/>
      <w:r>
        <w:rPr>
          <w:rFonts w:ascii="Google Sans" w:eastAsia="Google Sans" w:hAnsi="Google Sans" w:cs="Google Sans"/>
          <w:b/>
          <w:bCs/>
          <w:color w:val="1F1F1F"/>
        </w:rPr>
        <w:t>anzahlModule</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Generiert iterativ eine valide Verschaltungstopologie (lange Strings für effiziente DC-Spannungen, symmetrische Parallelstränge).</w:t>
      </w:r>
    </w:p>
    <w:p w14:paraId="4A7BB07E" w14:textId="77777777" w:rsidR="003D2E31" w:rsidRDefault="00000000">
      <w:pPr>
        <w:pStyle w:val="berschrift2"/>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9 Praxisbeispiel und Edge-Cases</w:t>
      </w:r>
    </w:p>
    <w:p w14:paraId="062EB8A7"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Ausgangslage:</w:t>
      </w:r>
      <w:r>
        <w:rPr>
          <w:rFonts w:ascii="Google Sans" w:eastAsia="Google Sans" w:hAnsi="Google Sans" w:cs="Google Sans"/>
          <w:color w:val="1F1F1F"/>
        </w:rPr>
        <w:t xml:space="preserve"> Eine PV-Anlage mit 20 Modulen (Philadelphia Solar 530 W, ca. 10,6 kWp).</w:t>
      </w:r>
    </w:p>
    <w:p w14:paraId="496EA134" w14:textId="77777777" w:rsidR="003D2E3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Szenario 1: Überbelegung eines SMA Sunny Boy 6.0</w:t>
      </w:r>
    </w:p>
    <w:p w14:paraId="342B2D1F"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w:t>
      </w:r>
      <w:proofErr w:type="spellStart"/>
      <w:r>
        <w:rPr>
          <w:rFonts w:ascii="Google Sans" w:eastAsia="Google Sans" w:hAnsi="Google Sans" w:cs="Google Sans"/>
          <w:color w:val="1F1F1F"/>
        </w:rPr>
        <w:t>cite</w:t>
      </w:r>
      <w:proofErr w:type="spellEnd"/>
      <w:r>
        <w:rPr>
          <w:rFonts w:ascii="Google Sans" w:eastAsia="Google Sans" w:hAnsi="Google Sans" w:cs="Google Sans"/>
          <w:color w:val="1F1F1F"/>
        </w:rPr>
        <w:t>: 54]</w:t>
      </w:r>
    </w:p>
    <w:p w14:paraId="776EC0F2"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20 Module an einem SMA Sunny Boy 6.0 (AC-Nennleistung: 6,0 kW). P6 (DC/AC-Verhältnis): 10,6 kWp / 6,0 kW = 1,77. P7 (Leistungsgrenze): 10,616 kWp überschreiten die 9,0 kW</w:t>
      </w:r>
      <w:r>
        <w:rPr>
          <w:rFonts w:ascii="Google Sans" w:eastAsia="Google Sans" w:hAnsi="Google Sans" w:cs="Google Sans"/>
          <w:color w:val="444746"/>
          <w:sz w:val="24"/>
          <w:szCs w:val="24"/>
          <w:vertAlign w:val="superscript"/>
        </w:rPr>
        <w:t>54</w:t>
      </w:r>
      <w:r>
        <w:rPr>
          <w:rFonts w:ascii="Google Sans" w:eastAsia="Google Sans" w:hAnsi="Google Sans" w:cs="Google Sans"/>
          <w:color w:val="1F1F1F"/>
        </w:rPr>
        <w:t xml:space="preserve">. System meldet </w:t>
      </w:r>
      <w:r>
        <w:rPr>
          <w:rFonts w:ascii="Google Sans" w:eastAsia="Google Sans" w:hAnsi="Google Sans" w:cs="Google Sans"/>
          <w:b/>
          <w:bCs/>
          <w:color w:val="1F1F1F"/>
        </w:rPr>
        <w:t>GELB</w:t>
      </w:r>
      <w:r>
        <w:rPr>
          <w:rFonts w:ascii="Google Sans" w:eastAsia="Google Sans" w:hAnsi="Google Sans" w:cs="Google Sans"/>
          <w:color w:val="1F1F1F"/>
        </w:rPr>
        <w:t>. Lösung der Auslegungshilfe: Zwei Geräte desselben Typs mit je 10 Modulen (Spalte „Gerät“ = 1 und 2). Das DC/AC-Verhältnis fällt auf sichere 0,88.</w:t>
      </w:r>
    </w:p>
    <w:p w14:paraId="6EECF714"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Szenario 2: Spannungsprüfung der 10er-Stränge am Sunny Boy 6.0</w:t>
      </w:r>
      <w:r>
        <w:rPr>
          <w:rFonts w:ascii="Google Sans" w:eastAsia="Google Sans" w:hAnsi="Google Sans" w:cs="Google Sans"/>
          <w:color w:val="1F1F1F"/>
        </w:rPr>
        <w:t xml:space="preserve"> Für 10 Module in Reihe (</w:t>
      </w:r>
      <w:r>
        <w:rPr>
          <w:rFonts w:ascii="Google Sans" w:eastAsia="Google Sans" w:hAnsi="Google Sans" w:cs="Google Sans"/>
          <w:noProof/>
          <w:color w:val="1F1F1F"/>
        </w:rPr>
        <w:drawing>
          <wp:inline distT="19050" distB="19050" distL="19050" distR="19050" wp14:anchorId="64B9418F" wp14:editId="3214F499">
            <wp:extent cx="687710" cy="247895"/>
            <wp:effectExtent l="0" t="0" r="0" b="0"/>
            <wp:docPr id="45"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8"/>
                    <a:srcRect/>
                    <a:stretch>
                      <a:fillRect/>
                    </a:stretch>
                  </pic:blipFill>
                  <pic:spPr>
                    <a:xfrm>
                      <a:off x="0" y="0"/>
                      <a:ext cx="687710" cy="247895"/>
                    </a:xfrm>
                    <a:prstGeom prst="rect">
                      <a:avLst/>
                    </a:prstGeom>
                    <a:ln/>
                  </pic:spPr>
                </pic:pic>
              </a:graphicData>
            </a:graphic>
          </wp:inline>
        </w:drawing>
      </w:r>
      <w:r>
        <w:rPr>
          <w:rFonts w:ascii="Google Sans" w:eastAsia="Google Sans" w:hAnsi="Google Sans" w:cs="Google Sans"/>
          <w:color w:val="1F1F1F"/>
        </w:rPr>
        <w:t xml:space="preserve"> = 600 V, </w:t>
      </w:r>
      <w:r>
        <w:rPr>
          <w:rFonts w:ascii="Google Sans" w:eastAsia="Google Sans" w:hAnsi="Google Sans" w:cs="Google Sans"/>
          <w:noProof/>
          <w:color w:val="1F1F1F"/>
        </w:rPr>
        <w:drawing>
          <wp:inline distT="19050" distB="19050" distL="19050" distR="19050" wp14:anchorId="68F86FC4" wp14:editId="1DE49868">
            <wp:extent cx="983752" cy="247937"/>
            <wp:effectExtent l="0" t="0" r="0" b="0"/>
            <wp:docPr id="46" name="image34.png"/>
            <wp:cNvGraphicFramePr/>
            <a:graphic xmlns:a="http://schemas.openxmlformats.org/drawingml/2006/main">
              <a:graphicData uri="http://schemas.openxmlformats.org/drawingml/2006/picture">
                <pic:pic xmlns:pic="http://schemas.openxmlformats.org/drawingml/2006/picture">
                  <pic:nvPicPr>
                    <pic:cNvPr id="0" name="image34.png"/>
                    <pic:cNvPicPr preferRelativeResize="0"/>
                  </pic:nvPicPr>
                  <pic:blipFill>
                    <a:blip r:embed="rId44"/>
                    <a:srcRect/>
                    <a:stretch>
                      <a:fillRect/>
                    </a:stretch>
                  </pic:blipFill>
                  <pic:spPr>
                    <a:xfrm>
                      <a:off x="0" y="0"/>
                      <a:ext cx="983752" cy="247937"/>
                    </a:xfrm>
                    <a:prstGeom prst="rect">
                      <a:avLst/>
                    </a:prstGeom>
                    <a:ln/>
                  </pic:spPr>
                </pic:pic>
              </a:graphicData>
            </a:graphic>
          </wp:inline>
        </w:drawing>
      </w:r>
      <w:r>
        <w:rPr>
          <w:rFonts w:ascii="Google Sans" w:eastAsia="Google Sans" w:hAnsi="Google Sans" w:cs="Google Sans"/>
          <w:color w:val="1F1F1F"/>
        </w:rPr>
        <w:t xml:space="preserve"> = 210…500 V):</w:t>
      </w:r>
    </w:p>
    <w:p w14:paraId="13CF9B27" w14:textId="77777777" w:rsidR="003D2E31"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color w:val="1F1F1F"/>
        </w:rPr>
        <w:t xml:space="preserve">Kälte extrapolierte Leerlaufspannung: 537 V (unter 600 V, P1 = </w:t>
      </w:r>
      <w:r>
        <w:rPr>
          <w:rFonts w:ascii="Google Sans" w:eastAsia="Google Sans" w:hAnsi="Google Sans" w:cs="Google Sans"/>
          <w:b/>
          <w:bCs/>
          <w:color w:val="1F1F1F"/>
        </w:rPr>
        <w:t>GRÜN</w:t>
      </w:r>
      <w:r>
        <w:rPr>
          <w:rFonts w:ascii="Google Sans" w:eastAsia="Google Sans" w:hAnsi="Google Sans" w:cs="Google Sans"/>
          <w:color w:val="1F1F1F"/>
        </w:rPr>
        <w:t>).</w:t>
      </w:r>
    </w:p>
    <w:p w14:paraId="1E7FD567" w14:textId="77777777" w:rsidR="003D2E31" w:rsidRDefault="00000000">
      <w:pPr>
        <w:numPr>
          <w:ilvl w:val="0"/>
          <w:numId w:val="17"/>
        </w:numPr>
        <w:pBdr>
          <w:top w:val="nil"/>
          <w:left w:val="nil"/>
          <w:bottom w:val="nil"/>
          <w:right w:val="nil"/>
          <w:between w:val="nil"/>
        </w:pBdr>
        <w:spacing w:line="275" w:lineRule="auto"/>
      </w:pPr>
      <w:r>
        <w:rPr>
          <w:rFonts w:ascii="Google Sans" w:eastAsia="Google Sans" w:hAnsi="Google Sans" w:cs="Google Sans"/>
          <w:color w:val="1F1F1F"/>
        </w:rPr>
        <w:t xml:space="preserve">Sommerliches MPP-Band: 357…460 V (im Regelbereich, P2/P3 = </w:t>
      </w:r>
      <w:r>
        <w:rPr>
          <w:rFonts w:ascii="Google Sans" w:eastAsia="Google Sans" w:hAnsi="Google Sans" w:cs="Google Sans"/>
          <w:b/>
          <w:bCs/>
          <w:color w:val="1F1F1F"/>
        </w:rPr>
        <w:t>GRÜN</w:t>
      </w:r>
      <w:r>
        <w:rPr>
          <w:rFonts w:ascii="Google Sans" w:eastAsia="Google Sans" w:hAnsi="Google Sans" w:cs="Google Sans"/>
          <w:color w:val="1F1F1F"/>
        </w:rPr>
        <w:t>).</w:t>
      </w:r>
    </w:p>
    <w:p w14:paraId="292A86AB" w14:textId="77777777" w:rsidR="003D2E31"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Szenario 3: Fehlerhafte Wahl eines Zentralwechselrichters (SMA PEAK3 SHP100)</w:t>
      </w:r>
    </w:p>
    <w:p w14:paraId="5F7D1514" w14:textId="77777777" w:rsidR="003D2E31" w:rsidRPr="0088718B" w:rsidRDefault="00000000">
      <w:pPr>
        <w:pBdr>
          <w:top w:val="nil"/>
          <w:left w:val="nil"/>
          <w:bottom w:val="nil"/>
          <w:right w:val="nil"/>
          <w:between w:val="nil"/>
        </w:pBdr>
        <w:spacing w:line="275" w:lineRule="auto"/>
        <w:rPr>
          <w:rFonts w:ascii="Google Sans" w:eastAsia="Google Sans" w:hAnsi="Google Sans" w:cs="Google Sans"/>
          <w:color w:val="1F1F1F"/>
          <w:lang w:val="en-US"/>
        </w:rPr>
      </w:pPr>
      <w:r w:rsidRPr="0088718B">
        <w:rPr>
          <w:rFonts w:ascii="Google Sans" w:eastAsia="Google Sans" w:hAnsi="Google Sans" w:cs="Google Sans"/>
          <w:color w:val="1F1F1F"/>
          <w:lang w:val="en-US"/>
        </w:rPr>
        <w:t>[cite: 56, 57]</w:t>
      </w:r>
    </w:p>
    <w:p w14:paraId="5C9E7AA1"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sidRPr="0088718B">
        <w:rPr>
          <w:rFonts w:ascii="Google Sans" w:eastAsia="Google Sans" w:hAnsi="Google Sans" w:cs="Google Sans"/>
          <w:color w:val="1F1F1F"/>
          <w:lang w:val="en-US"/>
        </w:rPr>
        <w:t xml:space="preserve">Ein SMA Sunny </w:t>
      </w:r>
      <w:proofErr w:type="spellStart"/>
      <w:r w:rsidRPr="0088718B">
        <w:rPr>
          <w:rFonts w:ascii="Google Sans" w:eastAsia="Google Sans" w:hAnsi="Google Sans" w:cs="Google Sans"/>
          <w:color w:val="1F1F1F"/>
          <w:lang w:val="en-US"/>
        </w:rPr>
        <w:t>Highpower</w:t>
      </w:r>
      <w:proofErr w:type="spellEnd"/>
      <w:r w:rsidRPr="0088718B">
        <w:rPr>
          <w:rFonts w:ascii="Google Sans" w:eastAsia="Google Sans" w:hAnsi="Google Sans" w:cs="Google Sans"/>
          <w:color w:val="1F1F1F"/>
          <w:lang w:val="en-US"/>
        </w:rPr>
        <w:t xml:space="preserve"> PEAK3 SHP100 (100 kW AC)</w:t>
      </w:r>
      <w:r w:rsidRPr="0088718B">
        <w:rPr>
          <w:rFonts w:ascii="Google Sans" w:eastAsia="Google Sans" w:hAnsi="Google Sans" w:cs="Google Sans"/>
          <w:color w:val="444746"/>
          <w:sz w:val="24"/>
          <w:szCs w:val="24"/>
          <w:vertAlign w:val="superscript"/>
          <w:lang w:val="en-US"/>
        </w:rPr>
        <w:t>56</w:t>
      </w:r>
      <w:r w:rsidRPr="0088718B">
        <w:rPr>
          <w:rFonts w:ascii="Google Sans" w:eastAsia="Google Sans" w:hAnsi="Google Sans" w:cs="Google Sans"/>
          <w:color w:val="1F1F1F"/>
          <w:lang w:val="en-US"/>
        </w:rPr>
        <w:t xml:space="preserve">. </w:t>
      </w:r>
      <w:r>
        <w:rPr>
          <w:rFonts w:ascii="Google Sans" w:eastAsia="Google Sans" w:hAnsi="Google Sans" w:cs="Google Sans"/>
          <w:color w:val="1F1F1F"/>
        </w:rPr>
        <w:t>Das Arbeitsfenster beginnt physikalisch erst bei 590 V</w:t>
      </w:r>
      <w:r>
        <w:rPr>
          <w:rFonts w:ascii="Google Sans" w:eastAsia="Google Sans" w:hAnsi="Google Sans" w:cs="Google Sans"/>
          <w:color w:val="444746"/>
          <w:sz w:val="24"/>
          <w:szCs w:val="24"/>
          <w:vertAlign w:val="superscript"/>
        </w:rPr>
        <w:t>56</w:t>
      </w:r>
      <w:r>
        <w:rPr>
          <w:rFonts w:ascii="Google Sans" w:eastAsia="Google Sans" w:hAnsi="Google Sans" w:cs="Google Sans"/>
          <w:color w:val="1F1F1F"/>
        </w:rPr>
        <w:t xml:space="preserve">. 10 Module liefern bei 70 °C jedoch nur 357 V. System meldet </w:t>
      </w:r>
      <w:r>
        <w:rPr>
          <w:rFonts w:ascii="Google Sans" w:eastAsia="Google Sans" w:hAnsi="Google Sans" w:cs="Google Sans"/>
          <w:b/>
          <w:bCs/>
          <w:color w:val="1F1F1F"/>
        </w:rPr>
        <w:t>ROT</w:t>
      </w:r>
      <w:r>
        <w:rPr>
          <w:rFonts w:ascii="Google Sans" w:eastAsia="Google Sans" w:hAnsi="Google Sans" w:cs="Google Sans"/>
          <w:color w:val="1F1F1F"/>
        </w:rPr>
        <w:t xml:space="preserve"> (MPP im Sommer 357 V &lt; 590 V — der Strang regelt ab). Die Hilfe rät ab.</w:t>
      </w:r>
    </w:p>
    <w:p w14:paraId="46D34E93" w14:textId="77777777" w:rsidR="003D2E31" w:rsidRDefault="00000000">
      <w:pPr>
        <w:pStyle w:val="berschrift2"/>
        <w:spacing w:before="0" w:after="0" w:line="275" w:lineRule="auto"/>
        <w:rPr>
          <w:rFonts w:ascii="Google Sans" w:eastAsia="Google Sans" w:hAnsi="Google Sans" w:cs="Google Sans"/>
          <w:color w:val="1F1F1F"/>
        </w:rPr>
      </w:pPr>
      <w:r>
        <w:rPr>
          <w:rFonts w:ascii="Google Sans" w:eastAsia="Google Sans" w:hAnsi="Google Sans" w:cs="Google Sans"/>
          <w:color w:val="1F1F1F"/>
        </w:rPr>
        <w:t>10 Systemgrenzen des statischen Auslegungsmodells</w:t>
      </w:r>
    </w:p>
    <w:p w14:paraId="337A404F"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Die statische Hüllkurven-Prüfung schützt vor elektrotechnischem Versagen, ist jedoch kein Ersatz für eine dynamische Ertragssimulation. Die Einflüsse dynamischer Faktoren (</w:t>
      </w:r>
      <w:r>
        <w:rPr>
          <w:rFonts w:ascii="Google Sans" w:eastAsia="Google Sans" w:hAnsi="Google Sans" w:cs="Google Sans"/>
          <w:noProof/>
          <w:color w:val="1F1F1F"/>
        </w:rPr>
        <w:drawing>
          <wp:inline distT="19050" distB="19050" distL="19050" distR="19050" wp14:anchorId="65B79E54" wp14:editId="5041E078">
            <wp:extent cx="286618" cy="246810"/>
            <wp:effectExtent l="0" t="0" r="0" b="0"/>
            <wp:docPr id="47"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21"/>
                    <a:srcRect/>
                    <a:stretch>
                      <a:fillRect/>
                    </a:stretch>
                  </pic:blipFill>
                  <pic:spPr>
                    <a:xfrm>
                      <a:off x="0" y="0"/>
                      <a:ext cx="286618" cy="246810"/>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A4D4146" wp14:editId="50CDE090">
            <wp:extent cx="196701" cy="243909"/>
            <wp:effectExtent l="0" t="0" r="0" b="0"/>
            <wp:docPr id="4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a:stretch>
                      <a:fillRect/>
                    </a:stretch>
                  </pic:blipFill>
                  <pic:spPr>
                    <a:xfrm>
                      <a:off x="0" y="0"/>
                      <a:ext cx="196701" cy="243909"/>
                    </a:xfrm>
                    <a:prstGeom prst="rect">
                      <a:avLst/>
                    </a:prstGeom>
                    <a:ln/>
                  </pic:spPr>
                </pic:pic>
              </a:graphicData>
            </a:graphic>
          </wp:inline>
        </w:drawing>
      </w:r>
      <w:r>
        <w:rPr>
          <w:rFonts w:ascii="Google Sans" w:eastAsia="Google Sans" w:hAnsi="Google Sans" w:cs="Google Sans"/>
          <w:color w:val="1F1F1F"/>
        </w:rPr>
        <w:t xml:space="preserve">, </w:t>
      </w:r>
      <w:r>
        <w:rPr>
          <w:rFonts w:ascii="Google Sans" w:eastAsia="Google Sans" w:hAnsi="Google Sans" w:cs="Google Sans"/>
          <w:noProof/>
          <w:color w:val="1F1F1F"/>
        </w:rPr>
        <w:drawing>
          <wp:inline distT="19050" distB="19050" distL="19050" distR="19050" wp14:anchorId="052CCEC1" wp14:editId="23047ECF">
            <wp:extent cx="453430" cy="246602"/>
            <wp:effectExtent l="0" t="0" r="0" b="0"/>
            <wp:docPr id="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53430" cy="246602"/>
                    </a:xfrm>
                    <a:prstGeom prst="rect">
                      <a:avLst/>
                    </a:prstGeom>
                    <a:ln/>
                  </pic:spPr>
                </pic:pic>
              </a:graphicData>
            </a:graphic>
          </wp:inline>
        </w:drawing>
      </w:r>
      <w:r>
        <w:rPr>
          <w:rFonts w:ascii="Google Sans" w:eastAsia="Google Sans" w:hAnsi="Google Sans" w:cs="Google Sans"/>
          <w:color w:val="1F1F1F"/>
        </w:rPr>
        <w:t xml:space="preserve"> aus den Modellen nach Faiman oder Sandia) werden bewusst durch absolute </w:t>
      </w:r>
      <w:proofErr w:type="spellStart"/>
      <w:r>
        <w:rPr>
          <w:rFonts w:ascii="Google Sans" w:eastAsia="Google Sans" w:hAnsi="Google Sans" w:cs="Google Sans"/>
          <w:color w:val="1F1F1F"/>
        </w:rPr>
        <w:t>worst-case</w:t>
      </w:r>
      <w:proofErr w:type="spellEnd"/>
      <w:r>
        <w:rPr>
          <w:rFonts w:ascii="Google Sans" w:eastAsia="Google Sans" w:hAnsi="Google Sans" w:cs="Google Sans"/>
          <w:color w:val="1F1F1F"/>
        </w:rPr>
        <w:t xml:space="preserve"> Festwerte ausgeblendet.</w:t>
      </w:r>
    </w:p>
    <w:p w14:paraId="7401E78B" w14:textId="77777777" w:rsidR="003D2E31"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 xml:space="preserve">Abstraktion von </w:t>
      </w:r>
      <w:proofErr w:type="spellStart"/>
      <w:r>
        <w:rPr>
          <w:rFonts w:ascii="Google Sans" w:eastAsia="Google Sans" w:hAnsi="Google Sans" w:cs="Google Sans"/>
          <w:b/>
          <w:bCs/>
          <w:color w:val="1F1F1F"/>
        </w:rPr>
        <w:t>Teilverschattungen</w:t>
      </w:r>
      <w:proofErr w:type="spellEnd"/>
      <w:r>
        <w:rPr>
          <w:rFonts w:ascii="Google Sans" w:eastAsia="Google Sans" w:hAnsi="Google Sans" w:cs="Google Sans"/>
          <w:b/>
          <w:bCs/>
          <w:color w:val="1F1F1F"/>
        </w:rPr>
        <w:t>:</w:t>
      </w:r>
      <w:r>
        <w:rPr>
          <w:rFonts w:ascii="Google Sans" w:eastAsia="Google Sans" w:hAnsi="Google Sans" w:cs="Google Sans"/>
          <w:color w:val="1F1F1F"/>
        </w:rPr>
        <w:t xml:space="preserve"> Die Prüfung geht von ideal bestrahlten PV-Generatoren aus. Fällt Schatten auf Module, aktivieren sich deren interne Bypass-Dioden, und die Strangspannung sinkt abrupt ab</w:t>
      </w:r>
      <w:r>
        <w:rPr>
          <w:rFonts w:ascii="Google Sans" w:eastAsia="Google Sans" w:hAnsi="Google Sans" w:cs="Google Sans"/>
          <w:color w:val="444746"/>
          <w:sz w:val="24"/>
          <w:szCs w:val="24"/>
          <w:vertAlign w:val="superscript"/>
        </w:rPr>
        <w:t>59</w:t>
      </w:r>
      <w:r>
        <w:rPr>
          <w:rFonts w:ascii="Google Sans" w:eastAsia="Google Sans" w:hAnsi="Google Sans" w:cs="Google Sans"/>
          <w:color w:val="1F1F1F"/>
        </w:rPr>
        <w:t>. Das statische Modell (P2) kann solche räumlich-zeitlichen Schwankungen der Einstrahlung (</w:t>
      </w:r>
      <w:r>
        <w:rPr>
          <w:rFonts w:ascii="Google Sans" w:eastAsia="Google Sans" w:hAnsi="Google Sans" w:cs="Google Sans"/>
          <w:noProof/>
          <w:color w:val="1F1F1F"/>
        </w:rPr>
        <w:drawing>
          <wp:inline distT="19050" distB="19050" distL="19050" distR="19050" wp14:anchorId="7E81839E" wp14:editId="49A33BFC">
            <wp:extent cx="453430" cy="246602"/>
            <wp:effectExtent l="0" t="0" r="0" b="0"/>
            <wp:docPr id="5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8"/>
                    <a:srcRect/>
                    <a:stretch>
                      <a:fillRect/>
                    </a:stretch>
                  </pic:blipFill>
                  <pic:spPr>
                    <a:xfrm>
                      <a:off x="0" y="0"/>
                      <a:ext cx="453430" cy="246602"/>
                    </a:xfrm>
                    <a:prstGeom prst="rect">
                      <a:avLst/>
                    </a:prstGeom>
                    <a:ln/>
                  </pic:spPr>
                </pic:pic>
              </a:graphicData>
            </a:graphic>
          </wp:inline>
        </w:drawing>
      </w:r>
      <w:r>
        <w:rPr>
          <w:rFonts w:ascii="Google Sans" w:eastAsia="Google Sans" w:hAnsi="Google Sans" w:cs="Google Sans"/>
          <w:color w:val="1F1F1F"/>
        </w:rPr>
        <w:t>) nicht abbilden.</w:t>
      </w:r>
    </w:p>
    <w:p w14:paraId="081CBF54" w14:textId="77777777" w:rsidR="003D2E31"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Kabel- und Übergangsverluste:</w:t>
      </w:r>
      <w:r>
        <w:rPr>
          <w:rFonts w:ascii="Google Sans" w:eastAsia="Google Sans" w:hAnsi="Google Sans" w:cs="Google Sans"/>
          <w:color w:val="1F1F1F"/>
        </w:rPr>
        <w:t xml:space="preserve"> Der ohmsche Widerstand langer DC-Kabel führt zu einem Spannungsabfall</w:t>
      </w:r>
      <w:r>
        <w:rPr>
          <w:rFonts w:ascii="Google Sans" w:eastAsia="Google Sans" w:hAnsi="Google Sans" w:cs="Google Sans"/>
          <w:color w:val="444746"/>
          <w:sz w:val="24"/>
          <w:szCs w:val="24"/>
          <w:vertAlign w:val="superscript"/>
        </w:rPr>
        <w:t>33</w:t>
      </w:r>
      <w:r>
        <w:rPr>
          <w:rFonts w:ascii="Google Sans" w:eastAsia="Google Sans" w:hAnsi="Google Sans" w:cs="Google Sans"/>
          <w:color w:val="1F1F1F"/>
        </w:rPr>
        <w:t>, weshalb Anlagen an der unteren Grenze von P2 in der Realität schneller abregeln könnten.</w:t>
      </w:r>
    </w:p>
    <w:p w14:paraId="51E4A87F" w14:textId="77777777" w:rsidR="003D2E31"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Mischtopologien an einem Tracker (Polystring):</w:t>
      </w:r>
      <w:r>
        <w:rPr>
          <w:rFonts w:ascii="Google Sans" w:eastAsia="Google Sans" w:hAnsi="Google Sans" w:cs="Google Sans"/>
          <w:color w:val="1F1F1F"/>
        </w:rPr>
        <w:t xml:space="preserve"> Ost/West-Stränge summieren sich nicht exakt, da die direkte Einstrahlung niemals zeitgleich auf beide Dachhälften trifft</w:t>
      </w:r>
      <w:r>
        <w:rPr>
          <w:rFonts w:ascii="Google Sans" w:eastAsia="Google Sans" w:hAnsi="Google Sans" w:cs="Google Sans"/>
          <w:color w:val="444746"/>
          <w:sz w:val="24"/>
          <w:szCs w:val="24"/>
          <w:vertAlign w:val="superscript"/>
        </w:rPr>
        <w:t>60</w:t>
      </w:r>
      <w:r>
        <w:rPr>
          <w:rFonts w:ascii="Google Sans" w:eastAsia="Google Sans" w:hAnsi="Google Sans" w:cs="Google Sans"/>
          <w:color w:val="1F1F1F"/>
        </w:rPr>
        <w:t>. Die konservative Berechnung von P4 schützt die Anlage zuverlässig, wertet in der Praxis aber oft thermisch harmlose Verschaltungen ab.</w:t>
      </w:r>
    </w:p>
    <w:p w14:paraId="4C20E5B4" w14:textId="77777777" w:rsidR="003D2E31"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Modul-Mixing in einer Reihenschaltung:</w:t>
      </w:r>
      <w:r>
        <w:rPr>
          <w:rFonts w:ascii="Google Sans" w:eastAsia="Google Sans" w:hAnsi="Google Sans" w:cs="Google Sans"/>
          <w:color w:val="1F1F1F"/>
        </w:rPr>
        <w:t xml:space="preserve"> </w:t>
      </w:r>
      <w:proofErr w:type="spellStart"/>
      <w:r>
        <w:rPr>
          <w:rFonts w:ascii="Google Sans" w:eastAsia="Google Sans" w:hAnsi="Google Sans" w:cs="Google Sans"/>
          <w:color w:val="1F1F1F"/>
        </w:rPr>
        <w:t>Mismatch</w:t>
      </w:r>
      <w:proofErr w:type="spellEnd"/>
      <w:r>
        <w:rPr>
          <w:rFonts w:ascii="Google Sans" w:eastAsia="Google Sans" w:hAnsi="Google Sans" w:cs="Google Sans"/>
          <w:color w:val="1F1F1F"/>
        </w:rPr>
        <w:t>-Verluste bei abweichenden Modulnennströmen</w:t>
      </w:r>
      <w:r>
        <w:rPr>
          <w:rFonts w:ascii="Google Sans" w:eastAsia="Google Sans" w:hAnsi="Google Sans" w:cs="Google Sans"/>
          <w:color w:val="444746"/>
          <w:sz w:val="24"/>
          <w:szCs w:val="24"/>
          <w:vertAlign w:val="superscript"/>
        </w:rPr>
        <w:t>5</w:t>
      </w:r>
      <w:r>
        <w:rPr>
          <w:rFonts w:ascii="Google Sans" w:eastAsia="Google Sans" w:hAnsi="Google Sans" w:cs="Google Sans"/>
          <w:color w:val="1F1F1F"/>
        </w:rPr>
        <w:t xml:space="preserve"> werden nicht explizit isoliert.</w:t>
      </w:r>
    </w:p>
    <w:p w14:paraId="251914DE" w14:textId="77777777" w:rsidR="003D2E31"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Für die präzise Analyse von Verschattungen oder komplexen Polystring-Erzeugungsprofilen verweist die Software daher auf das nachgeschaltete dynamische Rechenmodell der Anlage.</w:t>
      </w:r>
    </w:p>
    <w:p w14:paraId="4E424065" w14:textId="77777777" w:rsidR="003D2E31" w:rsidRDefault="00000000">
      <w:pPr>
        <w:pStyle w:val="berschrift2"/>
        <w:spacing w:before="0" w:after="0" w:line="275" w:lineRule="auto"/>
        <w:rPr>
          <w:rFonts w:ascii="Google Sans" w:eastAsia="Google Sans" w:hAnsi="Google Sans" w:cs="Google Sans"/>
          <w:color w:val="1F1F1F"/>
        </w:rPr>
      </w:pPr>
      <w:r>
        <w:rPr>
          <w:rFonts w:ascii="Google Sans" w:eastAsia="Google Sans" w:hAnsi="Google Sans" w:cs="Google Sans"/>
          <w:color w:val="1F1F1F"/>
        </w:rPr>
        <w:lastRenderedPageBreak/>
        <w:t>11 Fazit</w:t>
      </w:r>
    </w:p>
    <w:p w14:paraId="5EAD41EC" w14:textId="77777777" w:rsidR="003D2E31" w:rsidRDefault="00000000">
      <w:pPr>
        <w:pBdr>
          <w:top w:val="nil"/>
          <w:left w:val="nil"/>
          <w:bottom w:val="nil"/>
          <w:right w:val="nil"/>
          <w:between w:val="nil"/>
        </w:pBdr>
        <w:spacing w:after="255" w:line="275" w:lineRule="auto"/>
        <w:rPr>
          <w:rFonts w:ascii="Google Sans" w:eastAsia="Google Sans" w:hAnsi="Google Sans" w:cs="Google Sans"/>
          <w:color w:val="1F1F1F"/>
        </w:rPr>
      </w:pPr>
      <w:r>
        <w:rPr>
          <w:rFonts w:ascii="Google Sans" w:eastAsia="Google Sans" w:hAnsi="Google Sans" w:cs="Google Sans"/>
          <w:color w:val="1F1F1F"/>
        </w:rPr>
        <w:t>Die im Rahmen von EPOS-Plan etablierte Systematik zur Strangplausibilität und Auslegungshilfe bildet ein unverzichtbares Instrument zur Überbrückung der Kluft zwischen der physikalischen Theorie der Halbleitertechnik und der normativen Realität der Gebäudeinstallation. Durch die strikte Implementierung der acht Kernregeln (P1 bis P8) wird sichergestellt, dass temperaturinduzierte Spannungsspitzen den Wechselrichter nicht zerstören und hitzebedingte Spannungsabfälle keine Ertragseinbrüche verursachen. Die Integration moderner Softwarearchitekturen sichert zudem die normative Konformität nach VDE-AR-N 4105:2026-03 und den Schutzrichtlinien der DIN VDE 0100-712.</w:t>
      </w:r>
    </w:p>
    <w:p w14:paraId="37C6F5C4" w14:textId="77777777" w:rsidR="003D2E31" w:rsidRDefault="00000000">
      <w:pPr>
        <w:pStyle w:val="berschrift4"/>
        <w:spacing w:before="0"/>
        <w:rPr>
          <w:rFonts w:ascii="Google Sans" w:eastAsia="Google Sans" w:hAnsi="Google Sans" w:cs="Google Sans"/>
        </w:rPr>
      </w:pPr>
      <w:r>
        <w:rPr>
          <w:rFonts w:ascii="Google Sans" w:eastAsia="Google Sans" w:hAnsi="Google Sans" w:cs="Google Sans"/>
        </w:rPr>
        <w:t>Referenzen</w:t>
      </w:r>
    </w:p>
    <w:p w14:paraId="66CF43C8"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Kann ich Solarmodule an einen Wechselrichter anschließen, die, </w:t>
      </w:r>
      <w:hyperlink r:id="rId45">
        <w:r>
          <w:rPr>
            <w:rFonts w:ascii="Google Sans" w:eastAsia="Google Sans" w:hAnsi="Google Sans" w:cs="Google Sans"/>
            <w:color w:val="0000EE"/>
            <w:sz w:val="24"/>
            <w:szCs w:val="24"/>
            <w:u w:val="single"/>
          </w:rPr>
          <w:t>https://powmr.com/de/blogs/news/oversizing-solar-panels</w:t>
        </w:r>
      </w:hyperlink>
    </w:p>
    <w:p w14:paraId="386838DB"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NOCT - Standardtemperatur unter Normalbedingungen - Photovoltaik, </w:t>
      </w:r>
      <w:hyperlink r:id="rId46">
        <w:r>
          <w:rPr>
            <w:rFonts w:ascii="Google Sans" w:eastAsia="Google Sans" w:hAnsi="Google Sans" w:cs="Google Sans"/>
            <w:color w:val="0000EE"/>
            <w:sz w:val="24"/>
            <w:szCs w:val="24"/>
            <w:u w:val="single"/>
          </w:rPr>
          <w:t>https://photovoltaiksolarstrom.com/photovoltaiklexikon/noct/</w:t>
        </w:r>
      </w:hyperlink>
    </w:p>
    <w:p w14:paraId="115A044D"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Temperaturkoeffizient für PV &amp; Solarmodule (2026) - </w:t>
      </w:r>
      <w:proofErr w:type="spellStart"/>
      <w:r>
        <w:rPr>
          <w:rFonts w:ascii="Google Sans" w:eastAsia="Google Sans" w:hAnsi="Google Sans" w:cs="Google Sans"/>
          <w:sz w:val="24"/>
          <w:szCs w:val="24"/>
        </w:rPr>
        <w:t>Solar.red</w:t>
      </w:r>
      <w:proofErr w:type="spellEnd"/>
      <w:r>
        <w:rPr>
          <w:rFonts w:ascii="Google Sans" w:eastAsia="Google Sans" w:hAnsi="Google Sans" w:cs="Google Sans"/>
          <w:sz w:val="24"/>
          <w:szCs w:val="24"/>
        </w:rPr>
        <w:t xml:space="preserve">, </w:t>
      </w:r>
      <w:hyperlink r:id="rId47">
        <w:r>
          <w:rPr>
            <w:rFonts w:ascii="Google Sans" w:eastAsia="Google Sans" w:hAnsi="Google Sans" w:cs="Google Sans"/>
            <w:color w:val="0000EE"/>
            <w:sz w:val="24"/>
            <w:szCs w:val="24"/>
            <w:u w:val="single"/>
          </w:rPr>
          <w:t>https://solar.red/temperaturkoeffizient/</w:t>
        </w:r>
      </w:hyperlink>
    </w:p>
    <w:p w14:paraId="4563B02D"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Solarmodule </w:t>
      </w:r>
      <w:proofErr w:type="gramStart"/>
      <w:r>
        <w:rPr>
          <w:rFonts w:ascii="Google Sans" w:eastAsia="Google Sans" w:hAnsi="Google Sans" w:cs="Google Sans"/>
          <w:sz w:val="24"/>
          <w:szCs w:val="24"/>
        </w:rPr>
        <w:t>parallel schalten</w:t>
      </w:r>
      <w:proofErr w:type="gramEnd"/>
      <w:r>
        <w:rPr>
          <w:rFonts w:ascii="Google Sans" w:eastAsia="Google Sans" w:hAnsi="Google Sans" w:cs="Google Sans"/>
          <w:sz w:val="24"/>
          <w:szCs w:val="24"/>
        </w:rPr>
        <w:t xml:space="preserve">: Anleitung und Grenzwerte, </w:t>
      </w:r>
      <w:hyperlink r:id="rId48">
        <w:r>
          <w:rPr>
            <w:rFonts w:ascii="Google Sans" w:eastAsia="Google Sans" w:hAnsi="Google Sans" w:cs="Google Sans"/>
            <w:color w:val="0000EE"/>
            <w:sz w:val="24"/>
            <w:szCs w:val="24"/>
            <w:u w:val="single"/>
          </w:rPr>
          <w:t>https://gruenes.haus/solarmodule-parallel-schalten/</w:t>
        </w:r>
      </w:hyperlink>
    </w:p>
    <w:p w14:paraId="1C6A7CA6"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Solarmodule in Reihe schalten: Spannung und Anzahl, </w:t>
      </w:r>
      <w:hyperlink r:id="rId49">
        <w:r>
          <w:rPr>
            <w:rFonts w:ascii="Google Sans" w:eastAsia="Google Sans" w:hAnsi="Google Sans" w:cs="Google Sans"/>
            <w:color w:val="0000EE"/>
            <w:sz w:val="24"/>
            <w:szCs w:val="24"/>
            <w:u w:val="single"/>
          </w:rPr>
          <w:t>https://www.energiefluss24.de/photovoltaik/solarmodule-in-reihe-schalten</w:t>
        </w:r>
      </w:hyperlink>
    </w:p>
    <w:p w14:paraId="3C3CBF07"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MPP-Tracker – Maximum Power Point erklärt - Reimer Elektrotechnik, </w:t>
      </w:r>
      <w:hyperlink r:id="rId50">
        <w:r>
          <w:rPr>
            <w:rFonts w:ascii="Google Sans" w:eastAsia="Google Sans" w:hAnsi="Google Sans" w:cs="Google Sans"/>
            <w:color w:val="0000EE"/>
            <w:sz w:val="24"/>
            <w:szCs w:val="24"/>
            <w:u w:val="single"/>
          </w:rPr>
          <w:t>https://www.elektro-reimer.com/mpp-tracker-ulm/</w:t>
        </w:r>
      </w:hyperlink>
    </w:p>
    <w:p w14:paraId="01793767"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MPP-Tracker: maximale Leistung für PV-Anlagen - Zolar, </w:t>
      </w:r>
      <w:hyperlink r:id="rId51">
        <w:r>
          <w:rPr>
            <w:rFonts w:ascii="Google Sans" w:eastAsia="Google Sans" w:hAnsi="Google Sans" w:cs="Google Sans"/>
            <w:color w:val="0000EE"/>
            <w:sz w:val="24"/>
            <w:szCs w:val="24"/>
            <w:u w:val="single"/>
          </w:rPr>
          <w:t>https://zolar.de/blog/maximum-power-point-tracker</w:t>
        </w:r>
      </w:hyperlink>
    </w:p>
    <w:p w14:paraId="224F2550"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MPP-Tracker: Alles, was Sie wissen müssen - </w:t>
      </w:r>
      <w:proofErr w:type="spellStart"/>
      <w:r>
        <w:rPr>
          <w:rFonts w:ascii="Google Sans" w:eastAsia="Google Sans" w:hAnsi="Google Sans" w:cs="Google Sans"/>
          <w:sz w:val="24"/>
          <w:szCs w:val="24"/>
        </w:rPr>
        <w:t>Reonic</w:t>
      </w:r>
      <w:proofErr w:type="spellEnd"/>
      <w:r>
        <w:rPr>
          <w:rFonts w:ascii="Google Sans" w:eastAsia="Google Sans" w:hAnsi="Google Sans" w:cs="Google Sans"/>
          <w:sz w:val="24"/>
          <w:szCs w:val="24"/>
        </w:rPr>
        <w:t xml:space="preserve">, </w:t>
      </w:r>
      <w:hyperlink r:id="rId52">
        <w:r>
          <w:rPr>
            <w:rFonts w:ascii="Google Sans" w:eastAsia="Google Sans" w:hAnsi="Google Sans" w:cs="Google Sans"/>
            <w:color w:val="0000EE"/>
            <w:sz w:val="24"/>
            <w:szCs w:val="24"/>
            <w:u w:val="single"/>
          </w:rPr>
          <w:t>https://reonic.com/de-de/blog/mpp-tracker/</w:t>
        </w:r>
      </w:hyperlink>
    </w:p>
    <w:p w14:paraId="51573F0F"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Überdimensionierung von Solaranlagen und Wechselrichtern, </w:t>
      </w:r>
      <w:hyperlink r:id="rId53">
        <w:r>
          <w:rPr>
            <w:rFonts w:ascii="Google Sans" w:eastAsia="Google Sans" w:hAnsi="Google Sans" w:cs="Google Sans"/>
            <w:color w:val="0000EE"/>
            <w:sz w:val="24"/>
            <w:szCs w:val="24"/>
            <w:u w:val="single"/>
          </w:rPr>
          <w:t>https://voltmax.lu/de/uberdimensionierung-von-paneelen-und-wechselrichtern/</w:t>
        </w:r>
      </w:hyperlink>
    </w:p>
    <w:p w14:paraId="1B1B155B"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r/solar on Reddit: Kann mir jemand Clipping erklären? Und kann mir, </w:t>
      </w:r>
      <w:hyperlink r:id="rId54">
        <w:r>
          <w:rPr>
            <w:rFonts w:ascii="Google Sans" w:eastAsia="Google Sans" w:hAnsi="Google Sans" w:cs="Google Sans"/>
            <w:color w:val="0000EE"/>
            <w:sz w:val="24"/>
            <w:szCs w:val="24"/>
            <w:u w:val="single"/>
          </w:rPr>
          <w:t>https://www.reddit.com/r/solar/comments/12fdpe6/can_someone_explain_clipping_and_eli5_inverter/?tl=de</w:t>
        </w:r>
      </w:hyperlink>
    </w:p>
    <w:p w14:paraId="790EF941"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Wechselrichter-Clipping erklärt: Maximieren Sie Ihren Solarertrag, </w:t>
      </w:r>
      <w:hyperlink r:id="rId55">
        <w:r>
          <w:rPr>
            <w:rFonts w:ascii="Google Sans" w:eastAsia="Google Sans" w:hAnsi="Google Sans" w:cs="Google Sans"/>
            <w:color w:val="0000EE"/>
            <w:sz w:val="24"/>
            <w:szCs w:val="24"/>
            <w:u w:val="single"/>
          </w:rPr>
          <w:t>https://www.aforenergy.com/de/inverter-clipping-explained-maximize-your-solar-output/</w:t>
        </w:r>
      </w:hyperlink>
    </w:p>
    <w:p w14:paraId="4E7D3177"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NOCT Cell Temperature, </w:t>
      </w:r>
      <w:hyperlink r:id="rId56">
        <w:r w:rsidRPr="0088718B">
          <w:rPr>
            <w:rFonts w:ascii="Google Sans" w:eastAsia="Google Sans" w:hAnsi="Google Sans" w:cs="Google Sans"/>
            <w:color w:val="0000EE"/>
            <w:sz w:val="24"/>
            <w:szCs w:val="24"/>
            <w:u w:val="single"/>
            <w:lang w:val="en-US"/>
          </w:rPr>
          <w:t>https://pvpmc.sandia.gov/modeling-guide/2-dc-module-iv/cell-temperature/noct-cell-temperature/</w:t>
        </w:r>
      </w:hyperlink>
    </w:p>
    <w:p w14:paraId="33DF9000"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NOCT – Solar-Glossar | </w:t>
      </w:r>
      <w:proofErr w:type="spellStart"/>
      <w:r>
        <w:rPr>
          <w:rFonts w:ascii="Google Sans" w:eastAsia="Google Sans" w:hAnsi="Google Sans" w:cs="Google Sans"/>
          <w:sz w:val="24"/>
          <w:szCs w:val="24"/>
        </w:rPr>
        <w:t>Solantiq</w:t>
      </w:r>
      <w:proofErr w:type="spellEnd"/>
      <w:r>
        <w:rPr>
          <w:rFonts w:ascii="Google Sans" w:eastAsia="Google Sans" w:hAnsi="Google Sans" w:cs="Google Sans"/>
          <w:sz w:val="24"/>
          <w:szCs w:val="24"/>
        </w:rPr>
        <w:t xml:space="preserve"> PV-Rechner, </w:t>
      </w:r>
      <w:hyperlink r:id="rId57">
        <w:r>
          <w:rPr>
            <w:rFonts w:ascii="Google Sans" w:eastAsia="Google Sans" w:hAnsi="Google Sans" w:cs="Google Sans"/>
            <w:color w:val="0000EE"/>
            <w:sz w:val="24"/>
            <w:szCs w:val="24"/>
            <w:u w:val="single"/>
          </w:rPr>
          <w:t>https://solantiq.com/glossar/noct/</w:t>
        </w:r>
      </w:hyperlink>
    </w:p>
    <w:p w14:paraId="22A42DD0"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Faiman Module Temperature Model, </w:t>
      </w:r>
      <w:hyperlink r:id="rId58">
        <w:r w:rsidRPr="0088718B">
          <w:rPr>
            <w:rFonts w:ascii="Google Sans" w:eastAsia="Google Sans" w:hAnsi="Google Sans" w:cs="Google Sans"/>
            <w:color w:val="0000EE"/>
            <w:sz w:val="24"/>
            <w:szCs w:val="24"/>
            <w:u w:val="single"/>
            <w:lang w:val="en-US"/>
          </w:rPr>
          <w:t>https://pvpmc.sandia.gov/modeling-guide/2-dc-module-iv/module-temperature/faiman-module-temperature-model/</w:t>
        </w:r>
      </w:hyperlink>
    </w:p>
    <w:p w14:paraId="0F7E47ED"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lastRenderedPageBreak/>
        <w:t xml:space="preserve">Temperature modeling for floating PV - </w:t>
      </w:r>
      <w:proofErr w:type="spellStart"/>
      <w:r w:rsidRPr="0088718B">
        <w:rPr>
          <w:rFonts w:ascii="Google Sans" w:eastAsia="Google Sans" w:hAnsi="Google Sans" w:cs="Google Sans"/>
          <w:sz w:val="24"/>
          <w:szCs w:val="24"/>
          <w:lang w:val="en-US"/>
        </w:rPr>
        <w:t>pvlib</w:t>
      </w:r>
      <w:proofErr w:type="spellEnd"/>
      <w:r w:rsidRPr="0088718B">
        <w:rPr>
          <w:rFonts w:ascii="Google Sans" w:eastAsia="Google Sans" w:hAnsi="Google Sans" w:cs="Google Sans"/>
          <w:sz w:val="24"/>
          <w:szCs w:val="24"/>
          <w:lang w:val="en-US"/>
        </w:rPr>
        <w:t xml:space="preserve"> python - Read the Docs, </w:t>
      </w:r>
      <w:hyperlink r:id="rId59">
        <w:r w:rsidRPr="0088718B">
          <w:rPr>
            <w:rFonts w:ascii="Google Sans" w:eastAsia="Google Sans" w:hAnsi="Google Sans" w:cs="Google Sans"/>
            <w:color w:val="0000EE"/>
            <w:sz w:val="24"/>
            <w:szCs w:val="24"/>
            <w:u w:val="single"/>
            <w:lang w:val="en-US"/>
          </w:rPr>
          <w:t>https://pvlib-python.readthedocs.io/en/latest/gallery/floating-pv/plot_floating_pv_cell_temperature.html</w:t>
        </w:r>
      </w:hyperlink>
    </w:p>
    <w:p w14:paraId="7A9A0DE2"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Sandia Cell Temperature Model, </w:t>
      </w:r>
      <w:hyperlink r:id="rId60">
        <w:r w:rsidRPr="0088718B">
          <w:rPr>
            <w:rFonts w:ascii="Google Sans" w:eastAsia="Google Sans" w:hAnsi="Google Sans" w:cs="Google Sans"/>
            <w:color w:val="0000EE"/>
            <w:sz w:val="24"/>
            <w:szCs w:val="24"/>
            <w:u w:val="single"/>
            <w:lang w:val="en-US"/>
          </w:rPr>
          <w:t>https://pvpmc.sandia.gov/modeling-guide/2-dc-module-iv/cell-temperature/sandia-cell-temperature-model/</w:t>
        </w:r>
      </w:hyperlink>
    </w:p>
    <w:p w14:paraId="03139F8D"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(PDF) Improving Common PV Module Temperature Models by, </w:t>
      </w:r>
      <w:hyperlink r:id="rId61">
        <w:r w:rsidRPr="0088718B">
          <w:rPr>
            <w:rFonts w:ascii="Google Sans" w:eastAsia="Google Sans" w:hAnsi="Google Sans" w:cs="Google Sans"/>
            <w:color w:val="0000EE"/>
            <w:sz w:val="24"/>
            <w:szCs w:val="24"/>
            <w:u w:val="single"/>
            <w:lang w:val="en-US"/>
          </w:rPr>
          <w:t>https://www.researchgate.net/publication/363405815_Improving_Common_PV_Module_Temperature_Models_by_Incorporating_Radiative_Losses_to_the_Sky</w:t>
        </w:r>
      </w:hyperlink>
    </w:p>
    <w:p w14:paraId="22DC8EDC"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Investigating methods to improve photovoltaic thermal models at, </w:t>
      </w:r>
      <w:hyperlink r:id="rId62">
        <w:r w:rsidRPr="0088718B">
          <w:rPr>
            <w:rFonts w:ascii="Google Sans" w:eastAsia="Google Sans" w:hAnsi="Google Sans" w:cs="Google Sans"/>
            <w:color w:val="0000EE"/>
            <w:sz w:val="24"/>
            <w:szCs w:val="24"/>
            <w:u w:val="single"/>
            <w:lang w:val="en-US"/>
          </w:rPr>
          <w:t>https://arxiv.org/pdf/2211.11593</w:t>
        </w:r>
      </w:hyperlink>
    </w:p>
    <w:p w14:paraId="02614EF7"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IEC 62548 - Google Groups, </w:t>
      </w:r>
      <w:hyperlink r:id="rId63">
        <w:r w:rsidRPr="0088718B">
          <w:rPr>
            <w:rFonts w:ascii="Google Sans" w:eastAsia="Google Sans" w:hAnsi="Google Sans" w:cs="Google Sans"/>
            <w:color w:val="0000EE"/>
            <w:sz w:val="24"/>
            <w:szCs w:val="24"/>
            <w:u w:val="single"/>
            <w:lang w:val="en-US"/>
          </w:rPr>
          <w:t>https://16557801101891546621.googlegroups.com/attach/26b831f2f3c9/IEC%2062548_2016%20-%20Photovoltaic%20(PV)%20arrays%20-%20Design%20requirement.pdf?part=0.3&amp;vt=ANaJVrF857odSZAZ5xgwoJmNm1e7g0PfjbRix_iPg7ExzEcXsj_MIsn5s8bU4FZ-ZUpzYzOE07yVygdrBovlSeaALODoYrL-uO3IpnSWlHcZ_vIhUxbictE</w:t>
        </w:r>
      </w:hyperlink>
    </w:p>
    <w:p w14:paraId="6A1F1752"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Temperature coefficients and real-world PV yield - Solar Ledger, </w:t>
      </w:r>
      <w:hyperlink r:id="rId64">
        <w:r w:rsidRPr="0088718B">
          <w:rPr>
            <w:rFonts w:ascii="Google Sans" w:eastAsia="Google Sans" w:hAnsi="Google Sans" w:cs="Google Sans"/>
            <w:color w:val="0000EE"/>
            <w:sz w:val="24"/>
            <w:szCs w:val="24"/>
            <w:u w:val="single"/>
            <w:lang w:val="en-US"/>
          </w:rPr>
          <w:t>https://askas5.lovable.app/blog/temperature-coefficients-and-real-world-yield</w:t>
        </w:r>
      </w:hyperlink>
    </w:p>
    <w:p w14:paraId="45CE8A78"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IEC 62548 Explained: Complete PV Array Design Guide, </w:t>
      </w:r>
      <w:hyperlink r:id="rId65">
        <w:r w:rsidRPr="0088718B">
          <w:rPr>
            <w:rFonts w:ascii="Google Sans" w:eastAsia="Google Sans" w:hAnsi="Google Sans" w:cs="Google Sans"/>
            <w:color w:val="0000EE"/>
            <w:sz w:val="24"/>
            <w:szCs w:val="24"/>
            <w:u w:val="single"/>
            <w:lang w:val="en-US"/>
          </w:rPr>
          <w:t>https://cnkuangya.com/blog/iec-62548-explained/</w:t>
        </w:r>
      </w:hyperlink>
    </w:p>
    <w:p w14:paraId="1FA2FABB"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2023 Update: How to Calculate PV String Size - Mayfield Renewables, </w:t>
      </w:r>
      <w:hyperlink r:id="rId66">
        <w:r w:rsidRPr="0088718B">
          <w:rPr>
            <w:rFonts w:ascii="Google Sans" w:eastAsia="Google Sans" w:hAnsi="Google Sans" w:cs="Google Sans"/>
            <w:color w:val="0000EE"/>
            <w:sz w:val="24"/>
            <w:szCs w:val="24"/>
            <w:u w:val="single"/>
            <w:lang w:val="en-US"/>
          </w:rPr>
          <w:t>https://www.mayfield.energy/technical-articles/2023-update-how-to-calculate-pv-string-size/</w:t>
        </w:r>
      </w:hyperlink>
    </w:p>
    <w:p w14:paraId="4A79A94E"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Solar String Sizing Explained: Voc Correction, MPPT Limits &amp; Safe, </w:t>
      </w:r>
      <w:hyperlink r:id="rId67">
        <w:r w:rsidRPr="0088718B">
          <w:rPr>
            <w:rFonts w:ascii="Google Sans" w:eastAsia="Google Sans" w:hAnsi="Google Sans" w:cs="Google Sans"/>
            <w:color w:val="0000EE"/>
            <w:sz w:val="24"/>
            <w:szCs w:val="24"/>
            <w:u w:val="single"/>
            <w:lang w:val="en-US"/>
          </w:rPr>
          <w:t>https://medium.com/@amrit.mandal0191/how-to-calculate-solar-pv-string-sizing-temperature-corrected-voc-mppt-range-and-the-four-ab76a2fb021b</w:t>
        </w:r>
      </w:hyperlink>
    </w:p>
    <w:p w14:paraId="3860F937"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Solarmodulen: Temperaturkoeffizient einfach erklärt - </w:t>
      </w:r>
      <w:proofErr w:type="spellStart"/>
      <w:r>
        <w:rPr>
          <w:rFonts w:ascii="Google Sans" w:eastAsia="Google Sans" w:hAnsi="Google Sans" w:cs="Google Sans"/>
          <w:sz w:val="24"/>
          <w:szCs w:val="24"/>
        </w:rPr>
        <w:t>priwatt</w:t>
      </w:r>
      <w:proofErr w:type="spellEnd"/>
      <w:r>
        <w:rPr>
          <w:rFonts w:ascii="Google Sans" w:eastAsia="Google Sans" w:hAnsi="Google Sans" w:cs="Google Sans"/>
          <w:sz w:val="24"/>
          <w:szCs w:val="24"/>
        </w:rPr>
        <w:t xml:space="preserve">, </w:t>
      </w:r>
      <w:hyperlink r:id="rId68">
        <w:r>
          <w:rPr>
            <w:rFonts w:ascii="Google Sans" w:eastAsia="Google Sans" w:hAnsi="Google Sans" w:cs="Google Sans"/>
            <w:color w:val="0000EE"/>
            <w:sz w:val="24"/>
            <w:szCs w:val="24"/>
            <w:u w:val="single"/>
          </w:rPr>
          <w:t>https://priwatt.de/blog/temperaturkoeffizient-einfach-erklaert/</w:t>
        </w:r>
      </w:hyperlink>
    </w:p>
    <w:p w14:paraId="7B4591B0"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kWp: Was bedeutet Kilowatt Peak? - Heizung.de, </w:t>
      </w:r>
      <w:hyperlink r:id="rId69">
        <w:r>
          <w:rPr>
            <w:rFonts w:ascii="Google Sans" w:eastAsia="Google Sans" w:hAnsi="Google Sans" w:cs="Google Sans"/>
            <w:color w:val="0000EE"/>
            <w:sz w:val="24"/>
            <w:szCs w:val="24"/>
            <w:u w:val="single"/>
          </w:rPr>
          <w:t>https://www.heizung.de/photovoltaik/wissen/kwp-wofuer-steht-kilowatt-peak.html</w:t>
        </w:r>
      </w:hyperlink>
    </w:p>
    <w:p w14:paraId="36F2FD8E"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PV Array String Configuration Calculator - solvebility.com, </w:t>
      </w:r>
      <w:hyperlink r:id="rId70">
        <w:r w:rsidRPr="0088718B">
          <w:rPr>
            <w:rFonts w:ascii="Google Sans" w:eastAsia="Google Sans" w:hAnsi="Google Sans" w:cs="Google Sans"/>
            <w:color w:val="0000EE"/>
            <w:sz w:val="24"/>
            <w:szCs w:val="24"/>
            <w:u w:val="single"/>
            <w:lang w:val="en-US"/>
          </w:rPr>
          <w:t>https://solvebility.com/pv-array-string-configuration-calculator/</w:t>
        </w:r>
      </w:hyperlink>
    </w:p>
    <w:p w14:paraId="22F60ABA"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DIN VDE 0100-712 - Vorgaben für PV-Anlagen - DEHN, </w:t>
      </w:r>
      <w:hyperlink r:id="rId71">
        <w:r>
          <w:rPr>
            <w:rFonts w:ascii="Google Sans" w:eastAsia="Google Sans" w:hAnsi="Google Sans" w:cs="Google Sans"/>
            <w:color w:val="0000EE"/>
            <w:sz w:val="24"/>
            <w:szCs w:val="24"/>
            <w:u w:val="single"/>
          </w:rPr>
          <w:t>https://www.dehn.de/de/wissen/normen/din-vde-0100-712</w:t>
        </w:r>
      </w:hyperlink>
    </w:p>
    <w:p w14:paraId="540648C0"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DIN VDE 0100-712 (VDE 0100-712):2016-10 - DKE, </w:t>
      </w:r>
      <w:hyperlink r:id="rId72">
        <w:r>
          <w:rPr>
            <w:rFonts w:ascii="Google Sans" w:eastAsia="Google Sans" w:hAnsi="Google Sans" w:cs="Google Sans"/>
            <w:color w:val="0000EE"/>
            <w:sz w:val="24"/>
            <w:szCs w:val="24"/>
            <w:u w:val="single"/>
          </w:rPr>
          <w:t>https://www.dke.de/de/normen-standards/dokument?id=7080146&amp;type=dke%7Cdokument</w:t>
        </w:r>
      </w:hyperlink>
    </w:p>
    <w:p w14:paraId="1021DD06"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Seite 2 – Sachverständiger | Fachautor | Dozent - Marc Fengel, </w:t>
      </w:r>
      <w:hyperlink r:id="rId73">
        <w:r>
          <w:rPr>
            <w:rFonts w:ascii="Google Sans" w:eastAsia="Google Sans" w:hAnsi="Google Sans" w:cs="Google Sans"/>
            <w:color w:val="0000EE"/>
            <w:sz w:val="24"/>
            <w:szCs w:val="24"/>
            <w:u w:val="single"/>
          </w:rPr>
          <w:t>https://marcfengel.de/page/2</w:t>
        </w:r>
      </w:hyperlink>
    </w:p>
    <w:p w14:paraId="7E28D889"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Photovoltaikanlagen normkonform errichten - elektrofachkraft.de, </w:t>
      </w:r>
      <w:hyperlink r:id="rId74">
        <w:r>
          <w:rPr>
            <w:rFonts w:ascii="Google Sans" w:eastAsia="Google Sans" w:hAnsi="Google Sans" w:cs="Google Sans"/>
            <w:color w:val="0000EE"/>
            <w:sz w:val="24"/>
            <w:szCs w:val="24"/>
            <w:u w:val="single"/>
          </w:rPr>
          <w:t>https://www.elektrofachkraft.de/sicheres-arbeiten/e-books/e-book-photovoltaikanlagen-normkonform-</w:t>
        </w:r>
        <w:r>
          <w:rPr>
            <w:rFonts w:ascii="Google Sans" w:eastAsia="Google Sans" w:hAnsi="Google Sans" w:cs="Google Sans"/>
            <w:color w:val="0000EE"/>
            <w:sz w:val="24"/>
            <w:szCs w:val="24"/>
            <w:u w:val="single"/>
          </w:rPr>
          <w:lastRenderedPageBreak/>
          <w:t>errichten?file=files/userdata_EFK/Downloads/e-books/leseprobe-photovoltaikanlagen-normkonform-errichten.pdf&amp;cid=33952</w:t>
        </w:r>
      </w:hyperlink>
    </w:p>
    <w:p w14:paraId="00080A2B"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vorschriftsmäßige Elektroinstallation Photovoltaik Leerlaufspannung, </w:t>
      </w:r>
      <w:hyperlink r:id="rId75">
        <w:r>
          <w:rPr>
            <w:rFonts w:ascii="Google Sans" w:eastAsia="Google Sans" w:hAnsi="Google Sans" w:cs="Google Sans"/>
            <w:color w:val="0000EE"/>
            <w:sz w:val="24"/>
            <w:szCs w:val="24"/>
            <w:u w:val="single"/>
          </w:rPr>
          <w:t>https://marcfengel.de/tag/vorschriftsmaessige-elektroinstallation-photovoltaik-leerlaufspannung</w:t>
        </w:r>
      </w:hyperlink>
    </w:p>
    <w:p w14:paraId="4F7AB39D"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DIN VDE 0100-712 – Anforderungen an Photovoltaik ... - Forum Verlag, </w:t>
      </w:r>
      <w:hyperlink r:id="rId76">
        <w:r>
          <w:rPr>
            <w:rFonts w:ascii="Google Sans" w:eastAsia="Google Sans" w:hAnsi="Google Sans" w:cs="Google Sans"/>
            <w:color w:val="0000EE"/>
            <w:sz w:val="24"/>
            <w:szCs w:val="24"/>
            <w:u w:val="single"/>
          </w:rPr>
          <w:t>https://www.forum-verlag.com/fachwissen/elektrosicherheit-und-elektrotechnik/din-vde-0100-712/</w:t>
        </w:r>
      </w:hyperlink>
    </w:p>
    <w:p w14:paraId="31497D62"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Leitungsquerschnitt berechnen: PV-Kabel richtig auslegen - </w:t>
      </w:r>
      <w:proofErr w:type="spellStart"/>
      <w:r>
        <w:rPr>
          <w:rFonts w:ascii="Google Sans" w:eastAsia="Google Sans" w:hAnsi="Google Sans" w:cs="Google Sans"/>
          <w:sz w:val="24"/>
          <w:szCs w:val="24"/>
        </w:rPr>
        <w:t>Reonic</w:t>
      </w:r>
      <w:proofErr w:type="spellEnd"/>
      <w:r>
        <w:rPr>
          <w:rFonts w:ascii="Google Sans" w:eastAsia="Google Sans" w:hAnsi="Google Sans" w:cs="Google Sans"/>
          <w:sz w:val="24"/>
          <w:szCs w:val="24"/>
        </w:rPr>
        <w:t xml:space="preserve">, </w:t>
      </w:r>
      <w:hyperlink r:id="rId77">
        <w:r>
          <w:rPr>
            <w:rFonts w:ascii="Google Sans" w:eastAsia="Google Sans" w:hAnsi="Google Sans" w:cs="Google Sans"/>
            <w:color w:val="0000EE"/>
            <w:sz w:val="24"/>
            <w:szCs w:val="24"/>
            <w:u w:val="single"/>
          </w:rPr>
          <w:t>https://reonic.com/de-de/blog/leitungsquerschnitt-berechnen-pv-anlagen/</w:t>
        </w:r>
      </w:hyperlink>
    </w:p>
    <w:p w14:paraId="6B5BD691"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ÜBERSPANNUNGSSCHUTZ - Photovoltaik4all, </w:t>
      </w:r>
      <w:hyperlink r:id="rId78">
        <w:r>
          <w:rPr>
            <w:rFonts w:ascii="Google Sans" w:eastAsia="Google Sans" w:hAnsi="Google Sans" w:cs="Google Sans"/>
            <w:color w:val="0000EE"/>
            <w:sz w:val="24"/>
            <w:szCs w:val="24"/>
            <w:u w:val="single"/>
          </w:rPr>
          <w:t>https://www.photovoltaik4all.de/media/84/bc/4d/1707489728/Citel_Photovoltaikanlagen_V5.1.1_GER_XL.pdf?ts=1707489728</w:t>
        </w:r>
      </w:hyperlink>
    </w:p>
    <w:p w14:paraId="3D435AD5"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Wie ein DC-Überspannungsschutz PV-Anlage Solarsysteme, </w:t>
      </w:r>
      <w:hyperlink r:id="rId79">
        <w:r>
          <w:rPr>
            <w:rFonts w:ascii="Google Sans" w:eastAsia="Google Sans" w:hAnsi="Google Sans" w:cs="Google Sans"/>
            <w:color w:val="0000EE"/>
            <w:sz w:val="24"/>
            <w:szCs w:val="24"/>
            <w:u w:val="single"/>
          </w:rPr>
          <w:t>https://energy.ecoflow.com/de/blog/uberspannungsschutz-pv-anlage</w:t>
        </w:r>
      </w:hyperlink>
    </w:p>
    <w:p w14:paraId="5C00756B"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Mehr als 2.000 Watt? Was die neue VDE-Norm 2026 wirklich erlaubt, </w:t>
      </w:r>
      <w:hyperlink r:id="rId80">
        <w:r>
          <w:rPr>
            <w:rFonts w:ascii="Google Sans" w:eastAsia="Google Sans" w:hAnsi="Google Sans" w:cs="Google Sans"/>
            <w:color w:val="0000EE"/>
            <w:sz w:val="24"/>
            <w:szCs w:val="24"/>
            <w:u w:val="single"/>
          </w:rPr>
          <w:t>https://myvoltaics.de/blogs/news-blog/mehr-als-2-000-watt-was-die-neue-vde-norm-2026-fur-balkonkraftwerke-wirklich-erlaubt</w:t>
        </w:r>
      </w:hyperlink>
    </w:p>
    <w:p w14:paraId="18A5741F"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Der ultimative Leitfaden zur VDE-AR-N 4105 (2026) - </w:t>
      </w:r>
      <w:proofErr w:type="spellStart"/>
      <w:r>
        <w:rPr>
          <w:rFonts w:ascii="Google Sans" w:eastAsia="Google Sans" w:hAnsi="Google Sans" w:cs="Google Sans"/>
          <w:sz w:val="24"/>
          <w:szCs w:val="24"/>
        </w:rPr>
        <w:t>SolarMars</w:t>
      </w:r>
      <w:proofErr w:type="spellEnd"/>
      <w:r>
        <w:rPr>
          <w:rFonts w:ascii="Google Sans" w:eastAsia="Google Sans" w:hAnsi="Google Sans" w:cs="Google Sans"/>
          <w:sz w:val="24"/>
          <w:szCs w:val="24"/>
        </w:rPr>
        <w:t xml:space="preserve">, </w:t>
      </w:r>
      <w:hyperlink r:id="rId81">
        <w:r>
          <w:rPr>
            <w:rFonts w:ascii="Google Sans" w:eastAsia="Google Sans" w:hAnsi="Google Sans" w:cs="Google Sans"/>
            <w:color w:val="0000EE"/>
            <w:sz w:val="24"/>
            <w:szCs w:val="24"/>
            <w:u w:val="single"/>
          </w:rPr>
          <w:t>https://solarmars.de/blogs/installation-rechtliches/balkonkraftwerk-vde-ar-n-4105-2026</w:t>
        </w:r>
      </w:hyperlink>
    </w:p>
    <w:p w14:paraId="1E649278"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VDE-AR-N 4105: Anforderungen für Erzeugungsanlagen - </w:t>
      </w:r>
      <w:proofErr w:type="spellStart"/>
      <w:r>
        <w:rPr>
          <w:rFonts w:ascii="Google Sans" w:eastAsia="Google Sans" w:hAnsi="Google Sans" w:cs="Google Sans"/>
          <w:sz w:val="24"/>
          <w:szCs w:val="24"/>
        </w:rPr>
        <w:t>priwatt</w:t>
      </w:r>
      <w:proofErr w:type="spellEnd"/>
      <w:r>
        <w:rPr>
          <w:rFonts w:ascii="Google Sans" w:eastAsia="Google Sans" w:hAnsi="Google Sans" w:cs="Google Sans"/>
          <w:sz w:val="24"/>
          <w:szCs w:val="24"/>
        </w:rPr>
        <w:t xml:space="preserve">, </w:t>
      </w:r>
      <w:hyperlink r:id="rId82">
        <w:r>
          <w:rPr>
            <w:rFonts w:ascii="Google Sans" w:eastAsia="Google Sans" w:hAnsi="Google Sans" w:cs="Google Sans"/>
            <w:color w:val="0000EE"/>
            <w:sz w:val="24"/>
            <w:szCs w:val="24"/>
            <w:u w:val="single"/>
          </w:rPr>
          <w:t>https://priwatt.de/blog/vde-ar-n-4105/</w:t>
        </w:r>
      </w:hyperlink>
    </w:p>
    <w:p w14:paraId="1353CAD5"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Neue VDE-Richtlinie bringt Durchbruch: Experte klärt </w:t>
      </w:r>
      <w:proofErr w:type="gramStart"/>
      <w:r>
        <w:rPr>
          <w:rFonts w:ascii="Google Sans" w:eastAsia="Google Sans" w:hAnsi="Google Sans" w:cs="Google Sans"/>
          <w:sz w:val="24"/>
          <w:szCs w:val="24"/>
        </w:rPr>
        <w:t>auf!,</w:t>
      </w:r>
      <w:proofErr w:type="gramEnd"/>
      <w:r>
        <w:rPr>
          <w:rFonts w:ascii="Google Sans" w:eastAsia="Google Sans" w:hAnsi="Google Sans" w:cs="Google Sans"/>
          <w:sz w:val="24"/>
          <w:szCs w:val="24"/>
        </w:rPr>
        <w:t xml:space="preserve"> </w:t>
      </w:r>
      <w:hyperlink r:id="rId83">
        <w:r>
          <w:rPr>
            <w:rFonts w:ascii="Google Sans" w:eastAsia="Google Sans" w:hAnsi="Google Sans" w:cs="Google Sans"/>
            <w:color w:val="0000EE"/>
            <w:sz w:val="24"/>
            <w:szCs w:val="24"/>
            <w:u w:val="single"/>
          </w:rPr>
          <w:t>https://kleineskraftwerk.de/blogs/magazin/neue-vde-richtlinie-bringt-durchbruch</w:t>
        </w:r>
      </w:hyperlink>
    </w:p>
    <w:p w14:paraId="1098FA90"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Balkonkraftwerk 7000 Watt? Was laut Gesetz und Normen erlaubt ist, </w:t>
      </w:r>
      <w:hyperlink r:id="rId84">
        <w:r>
          <w:rPr>
            <w:rFonts w:ascii="Google Sans" w:eastAsia="Google Sans" w:hAnsi="Google Sans" w:cs="Google Sans"/>
            <w:color w:val="0000EE"/>
            <w:sz w:val="24"/>
            <w:szCs w:val="24"/>
            <w:u w:val="single"/>
          </w:rPr>
          <w:t>https://solago.de/blogs/news/balkonkraftwerk-7000-watt-was-laut-gesetz-erlaubt-ist</w:t>
        </w:r>
      </w:hyperlink>
    </w:p>
    <w:p w14:paraId="57D12E18"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Technische Anschlussregeln Erzeugungsanlagen am ... - VDE, </w:t>
      </w:r>
      <w:hyperlink r:id="rId85">
        <w:r>
          <w:rPr>
            <w:rFonts w:ascii="Google Sans" w:eastAsia="Google Sans" w:hAnsi="Google Sans" w:cs="Google Sans"/>
            <w:color w:val="0000EE"/>
            <w:sz w:val="24"/>
            <w:szCs w:val="24"/>
            <w:u w:val="single"/>
          </w:rPr>
          <w:t>https://www.vde.com/de/fnn/themen/tar/tar-niederspannung/erzeugungsanlagen-am-niederspannungsnetz-vde-ar-n-4105-2018</w:t>
        </w:r>
      </w:hyperlink>
    </w:p>
    <w:p w14:paraId="0EE22903"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Neue VDE-AR-N - 4105:2026-03 im Überblick - </w:t>
      </w:r>
      <w:proofErr w:type="spellStart"/>
      <w:r>
        <w:rPr>
          <w:rFonts w:ascii="Google Sans" w:eastAsia="Google Sans" w:hAnsi="Google Sans" w:cs="Google Sans"/>
          <w:sz w:val="24"/>
          <w:szCs w:val="24"/>
        </w:rPr>
        <w:t>ziehl</w:t>
      </w:r>
      <w:proofErr w:type="spellEnd"/>
      <w:r>
        <w:rPr>
          <w:rFonts w:ascii="Google Sans" w:eastAsia="Google Sans" w:hAnsi="Google Sans" w:cs="Google Sans"/>
          <w:sz w:val="24"/>
          <w:szCs w:val="24"/>
        </w:rPr>
        <w:t xml:space="preserve">, </w:t>
      </w:r>
      <w:hyperlink r:id="rId86">
        <w:r>
          <w:rPr>
            <w:rFonts w:ascii="Google Sans" w:eastAsia="Google Sans" w:hAnsi="Google Sans" w:cs="Google Sans"/>
            <w:color w:val="0000EE"/>
            <w:sz w:val="24"/>
            <w:szCs w:val="24"/>
            <w:u w:val="single"/>
          </w:rPr>
          <w:t>https://www.ziehl.com/media/32/17/91/1781870467/VDE%204105_2026-06-16_Flyer_Neuerungen%202026-03_V01_DE_ZIEHL.pdf?ts=1781870467</w:t>
        </w:r>
      </w:hyperlink>
    </w:p>
    <w:p w14:paraId="154C06D9"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Wechselrichter-Dimensionierung fürs Eigenheim: Die 5 häufigsten, </w:t>
      </w:r>
      <w:hyperlink r:id="rId87">
        <w:r>
          <w:rPr>
            <w:rFonts w:ascii="Google Sans" w:eastAsia="Google Sans" w:hAnsi="Google Sans" w:cs="Google Sans"/>
            <w:color w:val="0000EE"/>
            <w:sz w:val="24"/>
            <w:szCs w:val="24"/>
            <w:u w:val="single"/>
          </w:rPr>
          <w:t>https://de.jackery.com/blogs/knowledge/wechselrichter-dimensionierung-f-rs-eigenheim-die-5-h-ufigsten-fehler</w:t>
        </w:r>
      </w:hyperlink>
    </w:p>
    <w:p w14:paraId="20AF737F"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Was steht in der VDE-Norm 0100-712? - </w:t>
      </w:r>
      <w:proofErr w:type="spellStart"/>
      <w:r>
        <w:rPr>
          <w:rFonts w:ascii="Google Sans" w:eastAsia="Google Sans" w:hAnsi="Google Sans" w:cs="Google Sans"/>
          <w:sz w:val="24"/>
          <w:szCs w:val="24"/>
        </w:rPr>
        <w:t>Solaranlage.blog</w:t>
      </w:r>
      <w:proofErr w:type="spellEnd"/>
      <w:r>
        <w:rPr>
          <w:rFonts w:ascii="Google Sans" w:eastAsia="Google Sans" w:hAnsi="Google Sans" w:cs="Google Sans"/>
          <w:sz w:val="24"/>
          <w:szCs w:val="24"/>
        </w:rPr>
        <w:t xml:space="preserve">, </w:t>
      </w:r>
      <w:hyperlink r:id="rId88">
        <w:r>
          <w:rPr>
            <w:rFonts w:ascii="Google Sans" w:eastAsia="Google Sans" w:hAnsi="Google Sans" w:cs="Google Sans"/>
            <w:color w:val="0000EE"/>
            <w:sz w:val="24"/>
            <w:szCs w:val="24"/>
            <w:u w:val="single"/>
          </w:rPr>
          <w:t>https://solaranlage.blog/photovoltaik-grundlagen/was-steht-in-der-vde-norm-0100-712-alles-was-sie-zur-photovoltaik-norm-wissen-muessen/</w:t>
        </w:r>
      </w:hyperlink>
    </w:p>
    <w:p w14:paraId="05EE9F9D"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Schutzpotentialausgleich bei Solaranlagen – Normen und Tipps, </w:t>
      </w:r>
      <w:hyperlink r:id="rId89">
        <w:r>
          <w:rPr>
            <w:rFonts w:ascii="Google Sans" w:eastAsia="Google Sans" w:hAnsi="Google Sans" w:cs="Google Sans"/>
            <w:color w:val="0000EE"/>
            <w:sz w:val="24"/>
            <w:szCs w:val="24"/>
            <w:u w:val="single"/>
          </w:rPr>
          <w:t>https://www.kbe-elektrotechnik.com/ratgeber/schutzpotentialausgleich-bei-solarleitungen/</w:t>
        </w:r>
      </w:hyperlink>
    </w:p>
    <w:p w14:paraId="2E6E00A9"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Rule Engine Pattern | Welcome to </w:t>
      </w:r>
      <w:proofErr w:type="spellStart"/>
      <w:r w:rsidRPr="0088718B">
        <w:rPr>
          <w:rFonts w:ascii="Google Sans" w:eastAsia="Google Sans" w:hAnsi="Google Sans" w:cs="Google Sans"/>
          <w:sz w:val="24"/>
          <w:szCs w:val="24"/>
          <w:lang w:val="en-US"/>
        </w:rPr>
        <w:t>Yini's</w:t>
      </w:r>
      <w:proofErr w:type="spellEnd"/>
      <w:r w:rsidRPr="0088718B">
        <w:rPr>
          <w:rFonts w:ascii="Google Sans" w:eastAsia="Google Sans" w:hAnsi="Google Sans" w:cs="Google Sans"/>
          <w:sz w:val="24"/>
          <w:szCs w:val="24"/>
          <w:lang w:val="en-US"/>
        </w:rPr>
        <w:t xml:space="preserve"> blog - GitHub Pages, </w:t>
      </w:r>
      <w:hyperlink r:id="rId90">
        <w:r w:rsidRPr="0088718B">
          <w:rPr>
            <w:rFonts w:ascii="Google Sans" w:eastAsia="Google Sans" w:hAnsi="Google Sans" w:cs="Google Sans"/>
            <w:color w:val="0000EE"/>
            <w:sz w:val="24"/>
            <w:szCs w:val="24"/>
            <w:u w:val="single"/>
            <w:lang w:val="en-US"/>
          </w:rPr>
          <w:t>https://enrose.github.io/c-sharp/rule-engine/rule-engine-pattern.html</w:t>
        </w:r>
      </w:hyperlink>
    </w:p>
    <w:p w14:paraId="4D1C16D4"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Domain Model Validation - Kamil Grzybek, </w:t>
      </w:r>
      <w:hyperlink r:id="rId91">
        <w:r w:rsidRPr="0088718B">
          <w:rPr>
            <w:rFonts w:ascii="Google Sans" w:eastAsia="Google Sans" w:hAnsi="Google Sans" w:cs="Google Sans"/>
            <w:color w:val="0000EE"/>
            <w:sz w:val="24"/>
            <w:szCs w:val="24"/>
            <w:u w:val="single"/>
            <w:lang w:val="en-US"/>
          </w:rPr>
          <w:t>https://www.kamilgrzybek.com/blog/posts/domain-model-validation</w:t>
        </w:r>
      </w:hyperlink>
    </w:p>
    <w:p w14:paraId="49A4AF23"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The Rule Pattern in C# - DEV Community, </w:t>
      </w:r>
      <w:hyperlink r:id="rId92">
        <w:r w:rsidRPr="0088718B">
          <w:rPr>
            <w:rFonts w:ascii="Google Sans" w:eastAsia="Google Sans" w:hAnsi="Google Sans" w:cs="Google Sans"/>
            <w:color w:val="0000EE"/>
            <w:sz w:val="24"/>
            <w:szCs w:val="24"/>
            <w:u w:val="single"/>
            <w:lang w:val="en-US"/>
          </w:rPr>
          <w:t>https://dev.to/stevsharp/the-rule-pattern-in-c-2ed0</w:t>
        </w:r>
      </w:hyperlink>
    </w:p>
    <w:p w14:paraId="4DDFAFAD"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Specification Pattern in C#: A Practical Guide for Modern .NET, </w:t>
      </w:r>
      <w:hyperlink r:id="rId93">
        <w:r w:rsidRPr="0088718B">
          <w:rPr>
            <w:rFonts w:ascii="Google Sans" w:eastAsia="Google Sans" w:hAnsi="Google Sans" w:cs="Google Sans"/>
            <w:color w:val="0000EE"/>
            <w:sz w:val="24"/>
            <w:szCs w:val="24"/>
            <w:u w:val="single"/>
            <w:lang w:val="en-US"/>
          </w:rPr>
          <w:t>https://www.devleader.ca/2026/08/13/specification-pattern-in-c-a-practical-guide-for-modern-net</w:t>
        </w:r>
      </w:hyperlink>
    </w:p>
    <w:p w14:paraId="19635126"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Always-Valid Domain Model - Enterprise Craftsmanship, </w:t>
      </w:r>
      <w:hyperlink r:id="rId94">
        <w:r w:rsidRPr="0088718B">
          <w:rPr>
            <w:rFonts w:ascii="Google Sans" w:eastAsia="Google Sans" w:hAnsi="Google Sans" w:cs="Google Sans"/>
            <w:color w:val="0000EE"/>
            <w:sz w:val="24"/>
            <w:szCs w:val="24"/>
            <w:u w:val="single"/>
            <w:lang w:val="en-US"/>
          </w:rPr>
          <w:t>https://enterprisecraftsmanship.com/posts/always-valid-domain-model/</w:t>
        </w:r>
      </w:hyperlink>
    </w:p>
    <w:p w14:paraId="122CD55B"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Validation in Domain Driven Design - Stack Overflow, </w:t>
      </w:r>
      <w:hyperlink r:id="rId95">
        <w:r w:rsidRPr="0088718B">
          <w:rPr>
            <w:rFonts w:ascii="Google Sans" w:eastAsia="Google Sans" w:hAnsi="Google Sans" w:cs="Google Sans"/>
            <w:color w:val="0000EE"/>
            <w:sz w:val="24"/>
            <w:szCs w:val="24"/>
            <w:u w:val="single"/>
            <w:lang w:val="en-US"/>
          </w:rPr>
          <w:t>https://stackoverflow.com/questions/52883013/validation-in-domain-driven-design</w:t>
        </w:r>
      </w:hyperlink>
    </w:p>
    <w:p w14:paraId="5D01C086"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The Modern Way to Manage C# Business Rules: Rule Engine Pattern, </w:t>
      </w:r>
      <w:hyperlink r:id="rId96">
        <w:r w:rsidRPr="0088718B">
          <w:rPr>
            <w:rFonts w:ascii="Google Sans" w:eastAsia="Google Sans" w:hAnsi="Google Sans" w:cs="Google Sans"/>
            <w:color w:val="0000EE"/>
            <w:sz w:val="24"/>
            <w:szCs w:val="24"/>
            <w:u w:val="single"/>
            <w:lang w:val="en-US"/>
          </w:rPr>
          <w:t>https://senrecep.medium.com/the-modern-way-to-manage-c-business-rules-rule-engine-pattern-14bb1c72d700</w:t>
        </w:r>
      </w:hyperlink>
    </w:p>
    <w:p w14:paraId="2743C4ED"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The Rules Engine </w:t>
      </w:r>
      <w:proofErr w:type="gramStart"/>
      <w:r w:rsidRPr="0088718B">
        <w:rPr>
          <w:rFonts w:ascii="Google Sans" w:eastAsia="Google Sans" w:hAnsi="Google Sans" w:cs="Google Sans"/>
          <w:sz w:val="24"/>
          <w:szCs w:val="24"/>
          <w:lang w:val="en-US"/>
        </w:rPr>
        <w:t>Pattern :</w:t>
      </w:r>
      <w:proofErr w:type="gramEnd"/>
      <w:r w:rsidRPr="0088718B">
        <w:rPr>
          <w:rFonts w:ascii="Google Sans" w:eastAsia="Google Sans" w:hAnsi="Google Sans" w:cs="Google Sans"/>
          <w:sz w:val="24"/>
          <w:szCs w:val="24"/>
          <w:lang w:val="en-US"/>
        </w:rPr>
        <w:t xml:space="preserve"> r/</w:t>
      </w:r>
      <w:proofErr w:type="spellStart"/>
      <w:r w:rsidRPr="0088718B">
        <w:rPr>
          <w:rFonts w:ascii="Google Sans" w:eastAsia="Google Sans" w:hAnsi="Google Sans" w:cs="Google Sans"/>
          <w:sz w:val="24"/>
          <w:szCs w:val="24"/>
          <w:lang w:val="en-US"/>
        </w:rPr>
        <w:t>csharp</w:t>
      </w:r>
      <w:proofErr w:type="spellEnd"/>
      <w:r w:rsidRPr="0088718B">
        <w:rPr>
          <w:rFonts w:ascii="Google Sans" w:eastAsia="Google Sans" w:hAnsi="Google Sans" w:cs="Google Sans"/>
          <w:sz w:val="24"/>
          <w:szCs w:val="24"/>
          <w:lang w:val="en-US"/>
        </w:rPr>
        <w:t xml:space="preserve"> - Reddit, </w:t>
      </w:r>
      <w:hyperlink r:id="rId97">
        <w:r w:rsidRPr="0088718B">
          <w:rPr>
            <w:rFonts w:ascii="Google Sans" w:eastAsia="Google Sans" w:hAnsi="Google Sans" w:cs="Google Sans"/>
            <w:color w:val="0000EE"/>
            <w:sz w:val="24"/>
            <w:szCs w:val="24"/>
            <w:u w:val="single"/>
            <w:lang w:val="en-US"/>
          </w:rPr>
          <w:t>https://www.reddit.com/r/csharp/comments/sxo091/the_rules_engine_pattern/</w:t>
        </w:r>
      </w:hyperlink>
    </w:p>
    <w:p w14:paraId="6DE66F51"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SMA Sunny Boy 6.0 | Einphasiger Wechselrichter - HUSATECH, </w:t>
      </w:r>
      <w:hyperlink r:id="rId98">
        <w:r>
          <w:rPr>
            <w:rFonts w:ascii="Google Sans" w:eastAsia="Google Sans" w:hAnsi="Google Sans" w:cs="Google Sans"/>
            <w:color w:val="0000EE"/>
            <w:sz w:val="24"/>
            <w:szCs w:val="24"/>
            <w:u w:val="single"/>
          </w:rPr>
          <w:t>https://husatech.de/sma-sunny-boy-sb-6-0</w:t>
        </w:r>
      </w:hyperlink>
    </w:p>
    <w:p w14:paraId="3C49719C"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SMA Sunny Boy SB 6.0 </w:t>
      </w:r>
      <w:proofErr w:type="spellStart"/>
      <w:r>
        <w:rPr>
          <w:rFonts w:ascii="Google Sans" w:eastAsia="Google Sans" w:hAnsi="Google Sans" w:cs="Google Sans"/>
          <w:sz w:val="24"/>
          <w:szCs w:val="24"/>
        </w:rPr>
        <w:t>trafoloser</w:t>
      </w:r>
      <w:proofErr w:type="spellEnd"/>
      <w:r>
        <w:rPr>
          <w:rFonts w:ascii="Google Sans" w:eastAsia="Google Sans" w:hAnsi="Google Sans" w:cs="Google Sans"/>
          <w:sz w:val="24"/>
          <w:szCs w:val="24"/>
        </w:rPr>
        <w:t xml:space="preserve"> Solar Wechselrichter SB6.0-1AV-41, </w:t>
      </w:r>
      <w:hyperlink r:id="rId99">
        <w:r>
          <w:rPr>
            <w:rFonts w:ascii="Google Sans" w:eastAsia="Google Sans" w:hAnsi="Google Sans" w:cs="Google Sans"/>
            <w:color w:val="0000EE"/>
            <w:sz w:val="24"/>
            <w:szCs w:val="24"/>
            <w:u w:val="single"/>
          </w:rPr>
          <w:t>https://www.mg-solar-shop.de/sma-sunny-boy-sb-6-0-trafoloser-solar-wechselrichter-sb6-0-1av-41</w:t>
        </w:r>
      </w:hyperlink>
    </w:p>
    <w:p w14:paraId="689838D3"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Sunny </w:t>
      </w:r>
      <w:proofErr w:type="spellStart"/>
      <w:r w:rsidRPr="0088718B">
        <w:rPr>
          <w:rFonts w:ascii="Google Sans" w:eastAsia="Google Sans" w:hAnsi="Google Sans" w:cs="Google Sans"/>
          <w:sz w:val="24"/>
          <w:szCs w:val="24"/>
          <w:lang w:val="en-US"/>
        </w:rPr>
        <w:t>Highpower</w:t>
      </w:r>
      <w:proofErr w:type="spellEnd"/>
      <w:r w:rsidRPr="0088718B">
        <w:rPr>
          <w:rFonts w:ascii="Google Sans" w:eastAsia="Google Sans" w:hAnsi="Google Sans" w:cs="Google Sans"/>
          <w:sz w:val="24"/>
          <w:szCs w:val="24"/>
          <w:lang w:val="en-US"/>
        </w:rPr>
        <w:t xml:space="preserve"> PEAK3 - SMA Manuals, </w:t>
      </w:r>
      <w:hyperlink r:id="rId100">
        <w:r w:rsidRPr="0088718B">
          <w:rPr>
            <w:rFonts w:ascii="Google Sans" w:eastAsia="Google Sans" w:hAnsi="Google Sans" w:cs="Google Sans"/>
            <w:color w:val="0000EE"/>
            <w:sz w:val="24"/>
            <w:szCs w:val="24"/>
            <w:u w:val="single"/>
            <w:lang w:val="en-US"/>
          </w:rPr>
          <w:t>https://manuals.sma.de/Business-Systeme-PL/en-US/15114414859.html</w:t>
        </w:r>
      </w:hyperlink>
    </w:p>
    <w:p w14:paraId="32C8D79C"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SUNNY HIGHPOWER PEAK3, </w:t>
      </w:r>
      <w:hyperlink r:id="rId101">
        <w:r w:rsidRPr="0088718B">
          <w:rPr>
            <w:rFonts w:ascii="Google Sans" w:eastAsia="Google Sans" w:hAnsi="Google Sans" w:cs="Google Sans"/>
            <w:color w:val="0000EE"/>
            <w:sz w:val="24"/>
            <w:szCs w:val="24"/>
            <w:u w:val="single"/>
            <w:lang w:val="en-US"/>
          </w:rPr>
          <w:t>https://www.pvo-int.com/wp-content/uploads/2019/06/Datasheet-SHP100-150-20-EN.pdf</w:t>
        </w:r>
      </w:hyperlink>
    </w:p>
    <w:p w14:paraId="5E045728" w14:textId="77777777" w:rsidR="003D2E31" w:rsidRPr="0088718B" w:rsidRDefault="00000000">
      <w:pPr>
        <w:numPr>
          <w:ilvl w:val="0"/>
          <w:numId w:val="3"/>
        </w:numPr>
        <w:pBdr>
          <w:top w:val="nil"/>
          <w:left w:val="nil"/>
          <w:bottom w:val="nil"/>
          <w:right w:val="nil"/>
          <w:between w:val="nil"/>
        </w:pBdr>
        <w:rPr>
          <w:lang w:val="en-US"/>
        </w:rPr>
      </w:pPr>
      <w:r w:rsidRPr="0088718B">
        <w:rPr>
          <w:rFonts w:ascii="Google Sans" w:eastAsia="Google Sans" w:hAnsi="Google Sans" w:cs="Google Sans"/>
          <w:sz w:val="24"/>
          <w:szCs w:val="24"/>
          <w:lang w:val="en-US"/>
        </w:rPr>
        <w:t xml:space="preserve">SMA Sunny </w:t>
      </w:r>
      <w:proofErr w:type="spellStart"/>
      <w:r w:rsidRPr="0088718B">
        <w:rPr>
          <w:rFonts w:ascii="Google Sans" w:eastAsia="Google Sans" w:hAnsi="Google Sans" w:cs="Google Sans"/>
          <w:sz w:val="24"/>
          <w:szCs w:val="24"/>
          <w:lang w:val="en-US"/>
        </w:rPr>
        <w:t>HighPower</w:t>
      </w:r>
      <w:proofErr w:type="spellEnd"/>
      <w:r w:rsidRPr="0088718B">
        <w:rPr>
          <w:rFonts w:ascii="Google Sans" w:eastAsia="Google Sans" w:hAnsi="Google Sans" w:cs="Google Sans"/>
          <w:sz w:val="24"/>
          <w:szCs w:val="24"/>
          <w:lang w:val="en-US"/>
        </w:rPr>
        <w:t xml:space="preserve"> Peak3 (SHP 100-20) – MAXSEL, </w:t>
      </w:r>
      <w:hyperlink r:id="rId102">
        <w:r w:rsidRPr="0088718B">
          <w:rPr>
            <w:rFonts w:ascii="Google Sans" w:eastAsia="Google Sans" w:hAnsi="Google Sans" w:cs="Google Sans"/>
            <w:color w:val="0000EE"/>
            <w:sz w:val="24"/>
            <w:szCs w:val="24"/>
            <w:u w:val="single"/>
            <w:lang w:val="en-US"/>
          </w:rPr>
          <w:t>https://www.maxsel.de/produkt/sma-sunny-highpower-peak3-shp-100-20/</w:t>
        </w:r>
      </w:hyperlink>
    </w:p>
    <w:p w14:paraId="6790916A"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Zu wenig Leerlaufspannung im Solarmodulstrang, woran liegt's, </w:t>
      </w:r>
      <w:hyperlink r:id="rId103">
        <w:r>
          <w:rPr>
            <w:rFonts w:ascii="Google Sans" w:eastAsia="Google Sans" w:hAnsi="Google Sans" w:cs="Google Sans"/>
            <w:color w:val="0000EE"/>
            <w:sz w:val="24"/>
            <w:szCs w:val="24"/>
            <w:u w:val="single"/>
          </w:rPr>
          <w:t>https://photovoltaikbuero.de/pv-know-how-blog/zu-wenig-leerlaufspannung-solarmodulstrang/</w:t>
        </w:r>
      </w:hyperlink>
    </w:p>
    <w:p w14:paraId="30278153" w14:textId="77777777" w:rsidR="003D2E31" w:rsidRDefault="00000000">
      <w:pPr>
        <w:numPr>
          <w:ilvl w:val="0"/>
          <w:numId w:val="3"/>
        </w:numPr>
        <w:pBdr>
          <w:top w:val="nil"/>
          <w:left w:val="nil"/>
          <w:bottom w:val="nil"/>
          <w:right w:val="nil"/>
          <w:between w:val="nil"/>
        </w:pBdr>
      </w:pPr>
      <w:r>
        <w:rPr>
          <w:rFonts w:ascii="Google Sans" w:eastAsia="Google Sans" w:hAnsi="Google Sans" w:cs="Google Sans"/>
          <w:sz w:val="24"/>
          <w:szCs w:val="24"/>
        </w:rPr>
        <w:t xml:space="preserve">Clipping-Showdown: DC:AC-Verhältnisse sind nicht gleich, </w:t>
      </w:r>
      <w:hyperlink r:id="rId104">
        <w:r>
          <w:rPr>
            <w:rFonts w:ascii="Google Sans" w:eastAsia="Google Sans" w:hAnsi="Google Sans" w:cs="Google Sans"/>
            <w:color w:val="0000EE"/>
            <w:sz w:val="24"/>
            <w:szCs w:val="24"/>
            <w:u w:val="single"/>
          </w:rPr>
          <w:t>https://de.tigoenergy.com/post/microinverter-tax-7-clipping-showdown-dc-ac-ratios-arent-equal</w:t>
        </w:r>
      </w:hyperlink>
    </w:p>
    <w:sectPr w:rsidR="003D2E31">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26DC9E36-3433-4E54-BC6C-C81262BE7C69}"/>
  </w:font>
  <w:font w:name="Google Sans">
    <w:charset w:val="00"/>
    <w:family w:val="auto"/>
    <w:pitch w:val="default"/>
    <w:embedRegular r:id="rId2" w:fontKey="{23DBD5E3-EE75-44E1-9AF6-B90EBB277886}"/>
    <w:embedBold r:id="rId3" w:fontKey="{F17AB2CF-F288-45B7-A991-5A4FCFACEA8E}"/>
    <w:embedItalic r:id="rId4" w:fontKey="{81F923B9-C3EC-46B5-ABE7-0F4561D7BBEE}"/>
  </w:font>
  <w:font w:name="Calibri">
    <w:panose1 w:val="020F0502020204030204"/>
    <w:charset w:val="00"/>
    <w:family w:val="swiss"/>
    <w:pitch w:val="variable"/>
    <w:sig w:usb0="E4002EFF" w:usb1="C200247B" w:usb2="00000009" w:usb3="00000000" w:csb0="000001FF" w:csb1="00000000"/>
    <w:embedRegular r:id="rId5" w:fontKey="{05229106-71CB-416C-8790-8CBED557C666}"/>
  </w:font>
  <w:font w:name="Cambria">
    <w:panose1 w:val="02040503050406030204"/>
    <w:charset w:val="00"/>
    <w:family w:val="roman"/>
    <w:pitch w:val="variable"/>
    <w:sig w:usb0="E00006FF" w:usb1="420024FF" w:usb2="02000000" w:usb3="00000000" w:csb0="0000019F" w:csb1="00000000"/>
    <w:embedRegular r:id="rId6" w:fontKey="{3953D865-3F53-4B7F-BCEA-D0F34508E9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544EF"/>
    <w:multiLevelType w:val="multilevel"/>
    <w:tmpl w:val="80F0E65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687115F"/>
    <w:multiLevelType w:val="multilevel"/>
    <w:tmpl w:val="4B42867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D4B39E5"/>
    <w:multiLevelType w:val="multilevel"/>
    <w:tmpl w:val="7382B12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E6B4669"/>
    <w:multiLevelType w:val="multilevel"/>
    <w:tmpl w:val="D9760C9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131A04AB"/>
    <w:multiLevelType w:val="multilevel"/>
    <w:tmpl w:val="96F4ACC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17414B75"/>
    <w:multiLevelType w:val="multilevel"/>
    <w:tmpl w:val="31364C1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2100313A"/>
    <w:multiLevelType w:val="multilevel"/>
    <w:tmpl w:val="5AFCD46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268878B4"/>
    <w:multiLevelType w:val="multilevel"/>
    <w:tmpl w:val="BEB2535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297D533E"/>
    <w:multiLevelType w:val="multilevel"/>
    <w:tmpl w:val="742E61C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29F25914"/>
    <w:multiLevelType w:val="multilevel"/>
    <w:tmpl w:val="8D06A3C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33FA46FB"/>
    <w:multiLevelType w:val="multilevel"/>
    <w:tmpl w:val="84CAA4F6"/>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36CB364C"/>
    <w:multiLevelType w:val="multilevel"/>
    <w:tmpl w:val="87C8745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417A3034"/>
    <w:multiLevelType w:val="multilevel"/>
    <w:tmpl w:val="F1ECA522"/>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42502A08"/>
    <w:multiLevelType w:val="multilevel"/>
    <w:tmpl w:val="4B7E85E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42766201"/>
    <w:multiLevelType w:val="multilevel"/>
    <w:tmpl w:val="1BCE2EC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734F63BA"/>
    <w:multiLevelType w:val="multilevel"/>
    <w:tmpl w:val="3350D9B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7B7E6FA7"/>
    <w:multiLevelType w:val="multilevel"/>
    <w:tmpl w:val="72F6D0D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60255681">
    <w:abstractNumId w:val="9"/>
  </w:num>
  <w:num w:numId="2" w16cid:durableId="128860583">
    <w:abstractNumId w:val="12"/>
  </w:num>
  <w:num w:numId="3" w16cid:durableId="620964386">
    <w:abstractNumId w:val="7"/>
  </w:num>
  <w:num w:numId="4" w16cid:durableId="1223786042">
    <w:abstractNumId w:val="3"/>
  </w:num>
  <w:num w:numId="5" w16cid:durableId="597757776">
    <w:abstractNumId w:val="6"/>
  </w:num>
  <w:num w:numId="6" w16cid:durableId="285739708">
    <w:abstractNumId w:val="1"/>
  </w:num>
  <w:num w:numId="7" w16cid:durableId="1357459436">
    <w:abstractNumId w:val="11"/>
  </w:num>
  <w:num w:numId="8" w16cid:durableId="913586130">
    <w:abstractNumId w:val="14"/>
  </w:num>
  <w:num w:numId="9" w16cid:durableId="1786344332">
    <w:abstractNumId w:val="5"/>
  </w:num>
  <w:num w:numId="10" w16cid:durableId="1269701996">
    <w:abstractNumId w:val="8"/>
  </w:num>
  <w:num w:numId="11" w16cid:durableId="1471945101">
    <w:abstractNumId w:val="15"/>
  </w:num>
  <w:num w:numId="12" w16cid:durableId="114836461">
    <w:abstractNumId w:val="2"/>
  </w:num>
  <w:num w:numId="13" w16cid:durableId="917136428">
    <w:abstractNumId w:val="4"/>
  </w:num>
  <w:num w:numId="14" w16cid:durableId="1505780939">
    <w:abstractNumId w:val="0"/>
  </w:num>
  <w:num w:numId="15" w16cid:durableId="1374421182">
    <w:abstractNumId w:val="10"/>
  </w:num>
  <w:num w:numId="16" w16cid:durableId="389158486">
    <w:abstractNumId w:val="13"/>
  </w:num>
  <w:num w:numId="17" w16cid:durableId="139146246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2E31"/>
    <w:rsid w:val="00184116"/>
    <w:rsid w:val="003D2E31"/>
    <w:rsid w:val="0088718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318986"/>
  <w15:docId w15:val="{2F5C3CD4-A065-4CC4-ACAB-3F2AECFBA6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de-DE" w:eastAsia="de-DE"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pBdr>
        <w:top w:val="nil"/>
        <w:left w:val="nil"/>
        <w:bottom w:val="nil"/>
        <w:right w:val="nil"/>
        <w:between w:val="nil"/>
      </w:pBdr>
      <w:spacing w:before="240" w:after="240"/>
      <w:outlineLvl w:val="0"/>
    </w:pPr>
    <w:rPr>
      <w:b/>
      <w:bCs/>
      <w:sz w:val="48"/>
      <w:szCs w:val="48"/>
    </w:rPr>
  </w:style>
  <w:style w:type="paragraph" w:styleId="berschrift2">
    <w:name w:val="heading 2"/>
    <w:basedOn w:val="Standard"/>
    <w:next w:val="Standard"/>
    <w:uiPriority w:val="9"/>
    <w:unhideWhenUsed/>
    <w:qFormat/>
    <w:pPr>
      <w:pBdr>
        <w:top w:val="nil"/>
        <w:left w:val="nil"/>
        <w:bottom w:val="nil"/>
        <w:right w:val="nil"/>
        <w:between w:val="nil"/>
      </w:pBdr>
      <w:spacing w:before="225" w:after="225"/>
      <w:outlineLvl w:val="1"/>
    </w:pPr>
    <w:rPr>
      <w:b/>
      <w:bCs/>
      <w:sz w:val="36"/>
      <w:szCs w:val="36"/>
    </w:rPr>
  </w:style>
  <w:style w:type="paragraph" w:styleId="berschrift3">
    <w:name w:val="heading 3"/>
    <w:basedOn w:val="Standard"/>
    <w:next w:val="Standard"/>
    <w:uiPriority w:val="9"/>
    <w:unhideWhenUsed/>
    <w:qFormat/>
    <w:pPr>
      <w:pBdr>
        <w:top w:val="nil"/>
        <w:left w:val="nil"/>
        <w:bottom w:val="nil"/>
        <w:right w:val="nil"/>
        <w:between w:val="nil"/>
      </w:pBdr>
      <w:spacing w:before="240" w:after="240"/>
      <w:outlineLvl w:val="2"/>
    </w:pPr>
    <w:rPr>
      <w:b/>
      <w:bCs/>
      <w:sz w:val="28"/>
      <w:szCs w:val="28"/>
    </w:rPr>
  </w:style>
  <w:style w:type="paragraph" w:styleId="berschrift4">
    <w:name w:val="heading 4"/>
    <w:basedOn w:val="Standard"/>
    <w:next w:val="Standard"/>
    <w:uiPriority w:val="9"/>
    <w:unhideWhenUsed/>
    <w:qFormat/>
    <w:pPr>
      <w:pBdr>
        <w:top w:val="nil"/>
        <w:left w:val="nil"/>
        <w:bottom w:val="nil"/>
        <w:right w:val="nil"/>
        <w:between w:val="nil"/>
      </w:pBdr>
      <w:spacing w:before="255" w:after="255"/>
      <w:outlineLvl w:val="3"/>
    </w:pPr>
    <w:rPr>
      <w:b/>
      <w:bCs/>
      <w:sz w:val="24"/>
      <w:szCs w:val="24"/>
    </w:rPr>
  </w:style>
  <w:style w:type="paragraph" w:styleId="berschrift5">
    <w:name w:val="heading 5"/>
    <w:basedOn w:val="Standard"/>
    <w:next w:val="Standard"/>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berschrift6">
    <w:name w:val="heading 6"/>
    <w:basedOn w:val="Standard"/>
    <w:next w:val="Standard"/>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tel">
    <w:name w:val="Title"/>
    <w:basedOn w:val="Standard"/>
    <w:next w:val="Standard"/>
    <w:uiPriority w:val="10"/>
    <w:qFormat/>
    <w:pPr>
      <w:keepNext/>
      <w:keepLines/>
      <w:spacing w:before="480" w:after="120"/>
    </w:pPr>
    <w:rPr>
      <w:b/>
      <w:bCs/>
      <w:sz w:val="72"/>
      <w:szCs w:val="72"/>
    </w:rPr>
  </w:style>
  <w:style w:type="paragraph" w:styleId="Untertitel">
    <w:name w:val="Subtitle"/>
    <w:basedOn w:val="Standard"/>
    <w:next w:val="Standard"/>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hyperlink" Target="https://solar.red/temperaturkoeffizient/" TargetMode="External"/><Relationship Id="rId63" Type="http://schemas.openxmlformats.org/officeDocument/2006/relationships/hyperlink" Target="https://16557801101891546621.googlegroups.com/attach/26b831f2f3c9/IEC%2062548_2016%20-%20Photovoltaic%20(PV)%20arrays%20-%20Design%20requirement.pdf?part=0.3&amp;vt=ANaJVrF857odSZAZ5xgwoJmNm1e7g0PfjbRix_iPg7ExzEcXsj_MIsn5s8bU4FZ-ZUpzYzOE07yVygdrBovlSeaALODoYrL-uO3IpnSWlHcZ_vIhUxbictE" TargetMode="External"/><Relationship Id="rId68" Type="http://schemas.openxmlformats.org/officeDocument/2006/relationships/hyperlink" Target="https://priwatt.de/blog/temperaturkoeffizient-einfach-erklaert/" TargetMode="External"/><Relationship Id="rId84" Type="http://schemas.openxmlformats.org/officeDocument/2006/relationships/hyperlink" Target="https://solago.de/blogs/news/balkonkraftwerk-7000-watt-was-laut-gesetz-erlaubt-ist" TargetMode="External"/><Relationship Id="rId89" Type="http://schemas.openxmlformats.org/officeDocument/2006/relationships/hyperlink" Target="https://www.kbe-elektrotechnik.com/ratgeber/schutzpotentialausgleich-bei-solarleitungen/" TargetMode="External"/><Relationship Id="rId16" Type="http://schemas.openxmlformats.org/officeDocument/2006/relationships/image" Target="media/image12.png"/><Relationship Id="rId11" Type="http://schemas.openxmlformats.org/officeDocument/2006/relationships/image" Target="media/image7.png"/><Relationship Id="rId32" Type="http://schemas.openxmlformats.org/officeDocument/2006/relationships/image" Target="media/image28.png"/><Relationship Id="rId37" Type="http://schemas.openxmlformats.org/officeDocument/2006/relationships/image" Target="media/image33.png"/><Relationship Id="rId53" Type="http://schemas.openxmlformats.org/officeDocument/2006/relationships/hyperlink" Target="https://voltmax.lu/de/uberdimensionierung-von-paneelen-und-wechselrichtern/" TargetMode="External"/><Relationship Id="rId58" Type="http://schemas.openxmlformats.org/officeDocument/2006/relationships/hyperlink" Target="https://pvpmc.sandia.gov/modeling-guide/2-dc-module-iv/module-temperature/faiman-module-temperature-model/" TargetMode="External"/><Relationship Id="rId74" Type="http://schemas.openxmlformats.org/officeDocument/2006/relationships/hyperlink" Target="https://www.elektrofachkraft.de/sicheres-arbeiten/e-books/e-book-photovoltaikanlagen-normkonform-errichten?file=files/userdata_EFK/Downloads/e-books/leseprobe-photovoltaikanlagen-normkonform-errichten.pdf&amp;cid=33952" TargetMode="External"/><Relationship Id="rId79" Type="http://schemas.openxmlformats.org/officeDocument/2006/relationships/hyperlink" Target="https://energy.ecoflow.com/de/blog/uberspannungsschutz-pv-anlage" TargetMode="External"/><Relationship Id="rId102" Type="http://schemas.openxmlformats.org/officeDocument/2006/relationships/hyperlink" Target="https://www.maxsel.de/produkt/sma-sunny-highpower-peak3-shp-100-20/" TargetMode="External"/><Relationship Id="rId5" Type="http://schemas.openxmlformats.org/officeDocument/2006/relationships/image" Target="media/image1.png"/><Relationship Id="rId90" Type="http://schemas.openxmlformats.org/officeDocument/2006/relationships/hyperlink" Target="https://enrose.github.io/c-sharp/rule-engine/rule-engine-pattern.html" TargetMode="External"/><Relationship Id="rId95" Type="http://schemas.openxmlformats.org/officeDocument/2006/relationships/hyperlink" Target="https://stackoverflow.com/questions/52883013/validation-in-domain-driven-design" TargetMode="External"/><Relationship Id="rId22" Type="http://schemas.openxmlformats.org/officeDocument/2006/relationships/image" Target="media/image18.png"/><Relationship Id="rId27" Type="http://schemas.openxmlformats.org/officeDocument/2006/relationships/image" Target="media/image23.png"/><Relationship Id="rId43" Type="http://schemas.openxmlformats.org/officeDocument/2006/relationships/image" Target="media/image39.png"/><Relationship Id="rId48" Type="http://schemas.openxmlformats.org/officeDocument/2006/relationships/hyperlink" Target="https://gruenes.haus/solarmodule-parallel-schalten/" TargetMode="External"/><Relationship Id="rId64" Type="http://schemas.openxmlformats.org/officeDocument/2006/relationships/hyperlink" Target="https://askas5.lovable.app/blog/temperature-coefficients-and-real-world-yield" TargetMode="External"/><Relationship Id="rId69" Type="http://schemas.openxmlformats.org/officeDocument/2006/relationships/hyperlink" Target="https://www.heizung.de/photovoltaik/wissen/kwp-wofuer-steht-kilowatt-peak.html" TargetMode="External"/><Relationship Id="rId80" Type="http://schemas.openxmlformats.org/officeDocument/2006/relationships/hyperlink" Target="https://myvoltaics.de/blogs/news-blog/mehr-als-2-000-watt-was-die-neue-vde-norm-2026-fur-balkonkraftwerke-wirklich-erlaubt" TargetMode="External"/><Relationship Id="rId85" Type="http://schemas.openxmlformats.org/officeDocument/2006/relationships/hyperlink" Target="https://www.vde.com/de/fnn/themen/tar/tar-niederspannung/erzeugungsanlagen-am-niederspannungsnetz-vde-ar-n-4105-2018" TargetMode="External"/><Relationship Id="rId12" Type="http://schemas.openxmlformats.org/officeDocument/2006/relationships/image" Target="media/image8.png"/><Relationship Id="rId17" Type="http://schemas.openxmlformats.org/officeDocument/2006/relationships/image" Target="media/image13.png"/><Relationship Id="rId33" Type="http://schemas.openxmlformats.org/officeDocument/2006/relationships/image" Target="media/image29.png"/><Relationship Id="rId38" Type="http://schemas.openxmlformats.org/officeDocument/2006/relationships/image" Target="media/image34.png"/><Relationship Id="rId59" Type="http://schemas.openxmlformats.org/officeDocument/2006/relationships/hyperlink" Target="https://pvlib-python.readthedocs.io/en/latest/gallery/floating-pv/plot_floating_pv_cell_temperature.html" TargetMode="External"/><Relationship Id="rId103" Type="http://schemas.openxmlformats.org/officeDocument/2006/relationships/hyperlink" Target="https://photovoltaikbuero.de/pv-know-how-blog/zu-wenig-leerlaufspannung-solarmodulstrang/" TargetMode="External"/><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hyperlink" Target="https://www.reddit.com/r/solar/comments/12fdpe6/can_someone_explain_clipping_and_eli5_inverter/?tl=de" TargetMode="External"/><Relationship Id="rId62" Type="http://schemas.openxmlformats.org/officeDocument/2006/relationships/hyperlink" Target="https://arxiv.org/pdf/2211.11593" TargetMode="External"/><Relationship Id="rId70" Type="http://schemas.openxmlformats.org/officeDocument/2006/relationships/hyperlink" Target="https://solvebility.com/pv-array-string-configuration-calculator/" TargetMode="External"/><Relationship Id="rId75" Type="http://schemas.openxmlformats.org/officeDocument/2006/relationships/hyperlink" Target="https://marcfengel.de/tag/vorschriftsmaessige-elektroinstallation-photovoltaik-leerlaufspannung" TargetMode="External"/><Relationship Id="rId83" Type="http://schemas.openxmlformats.org/officeDocument/2006/relationships/hyperlink" Target="https://kleineskraftwerk.de/blogs/magazin/neue-vde-richtlinie-bringt-durchbruch" TargetMode="External"/><Relationship Id="rId88" Type="http://schemas.openxmlformats.org/officeDocument/2006/relationships/hyperlink" Target="https://solaranlage.blog/photovoltaik-grundlagen/was-steht-in-der-vde-norm-0100-712-alles-was-sie-zur-photovoltaik-norm-wissen-muessen/" TargetMode="External"/><Relationship Id="rId91" Type="http://schemas.openxmlformats.org/officeDocument/2006/relationships/hyperlink" Target="https://www.kamilgrzybek.com/blog/posts/domain-model-validation" TargetMode="External"/><Relationship Id="rId96" Type="http://schemas.openxmlformats.org/officeDocument/2006/relationships/hyperlink" Target="https://senrecep.medium.com/the-modern-way-to-manage-c-business-rules-rule-engine-pattern-14bb1c72d700" TargetMode="External"/><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hyperlink" Target="https://www.energiefluss24.de/photovoltaik/solarmodule-in-reihe-schalten" TargetMode="External"/><Relationship Id="rId57" Type="http://schemas.openxmlformats.org/officeDocument/2006/relationships/hyperlink" Target="https://solantiq.com/glossar/noct/" TargetMode="External"/><Relationship Id="rId106" Type="http://schemas.openxmlformats.org/officeDocument/2006/relationships/theme" Target="theme/theme1.xml"/><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hyperlink" Target="https://reonic.com/de-de/blog/mpp-tracker/" TargetMode="External"/><Relationship Id="rId60" Type="http://schemas.openxmlformats.org/officeDocument/2006/relationships/hyperlink" Target="https://pvpmc.sandia.gov/modeling-guide/2-dc-module-iv/cell-temperature/sandia-cell-temperature-model/" TargetMode="External"/><Relationship Id="rId65" Type="http://schemas.openxmlformats.org/officeDocument/2006/relationships/hyperlink" Target="https://cnkuangya.com/blog/iec-62548-explained/" TargetMode="External"/><Relationship Id="rId73" Type="http://schemas.openxmlformats.org/officeDocument/2006/relationships/hyperlink" Target="https://marcfengel.de/page/2" TargetMode="External"/><Relationship Id="rId78" Type="http://schemas.openxmlformats.org/officeDocument/2006/relationships/hyperlink" Target="https://www.photovoltaik4all.de/media/84/bc/4d/1707489728/Citel_Photovoltaikanlagen_V5.1.1_GER_XL.pdf?ts=1707489728" TargetMode="External"/><Relationship Id="rId81" Type="http://schemas.openxmlformats.org/officeDocument/2006/relationships/hyperlink" Target="https://solarmars.de/blogs/installation-rechtliches/balkonkraftwerk-vde-ar-n-4105-2026" TargetMode="External"/><Relationship Id="rId86" Type="http://schemas.openxmlformats.org/officeDocument/2006/relationships/hyperlink" Target="https://www.ziehl.com/media/32/17/91/1781870467/VDE%204105_2026-06-16_Flyer_Neuerungen%202026-03_V01_DE_ZIEHL.pdf?ts=1781870467" TargetMode="External"/><Relationship Id="rId94" Type="http://schemas.openxmlformats.org/officeDocument/2006/relationships/hyperlink" Target="https://enterprisecraftsmanship.com/posts/always-valid-domain-model/" TargetMode="External"/><Relationship Id="rId99" Type="http://schemas.openxmlformats.org/officeDocument/2006/relationships/hyperlink" Target="https://www.mg-solar-shop.de/sma-sunny-boy-sb-6-0-trafoloser-solar-wechselrichter-sb6-0-1av-41" TargetMode="External"/><Relationship Id="rId101" Type="http://schemas.openxmlformats.org/officeDocument/2006/relationships/hyperlink" Target="https://www.pvo-int.com/wp-content/uploads/2019/06/Datasheet-SHP100-150-20-EN.pdf"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hyperlink" Target="https://www.elektro-reimer.com/mpp-tracker-ulm/" TargetMode="External"/><Relationship Id="rId55" Type="http://schemas.openxmlformats.org/officeDocument/2006/relationships/hyperlink" Target="https://www.aforenergy.com/de/inverter-clipping-explained-maximize-your-solar-output/" TargetMode="External"/><Relationship Id="rId76" Type="http://schemas.openxmlformats.org/officeDocument/2006/relationships/hyperlink" Target="https://www.forum-verlag.com/fachwissen/elektrosicherheit-und-elektrotechnik/din-vde-0100-712/" TargetMode="External"/><Relationship Id="rId97" Type="http://schemas.openxmlformats.org/officeDocument/2006/relationships/hyperlink" Target="https://www.reddit.com/r/csharp/comments/sxo091/the_rules_engine_pattern/" TargetMode="External"/><Relationship Id="rId104" Type="http://schemas.openxmlformats.org/officeDocument/2006/relationships/hyperlink" Target="https://de.tigoenergy.com/post/microinverter-tax-7-clipping-showdown-dc-ac-ratios-arent-equal" TargetMode="External"/><Relationship Id="rId7" Type="http://schemas.openxmlformats.org/officeDocument/2006/relationships/image" Target="media/image3.png"/><Relationship Id="rId71" Type="http://schemas.openxmlformats.org/officeDocument/2006/relationships/hyperlink" Target="https://www.dehn.de/de/wissen/normen/din-vde-0100-712" TargetMode="External"/><Relationship Id="rId92" Type="http://schemas.openxmlformats.org/officeDocument/2006/relationships/hyperlink" Target="https://dev.to/stevsharp/the-rule-pattern-in-c-2ed0" TargetMode="External"/><Relationship Id="rId2" Type="http://schemas.openxmlformats.org/officeDocument/2006/relationships/styles" Target="styles.xml"/><Relationship Id="rId29" Type="http://schemas.openxmlformats.org/officeDocument/2006/relationships/image" Target="media/image25.png"/><Relationship Id="rId24" Type="http://schemas.openxmlformats.org/officeDocument/2006/relationships/image" Target="media/image20.png"/><Relationship Id="rId40" Type="http://schemas.openxmlformats.org/officeDocument/2006/relationships/image" Target="media/image36.png"/><Relationship Id="rId45" Type="http://schemas.openxmlformats.org/officeDocument/2006/relationships/hyperlink" Target="https://powmr.com/de/blogs/news/oversizing-solar-panels" TargetMode="External"/><Relationship Id="rId66" Type="http://schemas.openxmlformats.org/officeDocument/2006/relationships/hyperlink" Target="https://www.mayfield.energy/technical-articles/2023-update-how-to-calculate-pv-string-size/" TargetMode="External"/><Relationship Id="rId87" Type="http://schemas.openxmlformats.org/officeDocument/2006/relationships/hyperlink" Target="https://de.jackery.com/blogs/knowledge/wechselrichter-dimensionierung-f-rs-eigenheim-die-5-h-ufigsten-fehler" TargetMode="External"/><Relationship Id="rId61" Type="http://schemas.openxmlformats.org/officeDocument/2006/relationships/hyperlink" Target="https://www.researchgate.net/publication/363405815_Improving_Common_PV_Module_Temperature_Models_by_Incorporating_Radiative_Losses_to_the_Sky" TargetMode="External"/><Relationship Id="rId82" Type="http://schemas.openxmlformats.org/officeDocument/2006/relationships/hyperlink" Target="https://priwatt.de/blog/vde-ar-n-4105/" TargetMode="External"/><Relationship Id="rId19" Type="http://schemas.openxmlformats.org/officeDocument/2006/relationships/image" Target="media/image15.png"/><Relationship Id="rId14" Type="http://schemas.openxmlformats.org/officeDocument/2006/relationships/image" Target="media/image10.png"/><Relationship Id="rId30" Type="http://schemas.openxmlformats.org/officeDocument/2006/relationships/image" Target="media/image26.png"/><Relationship Id="rId35" Type="http://schemas.openxmlformats.org/officeDocument/2006/relationships/image" Target="media/image31.png"/><Relationship Id="rId56" Type="http://schemas.openxmlformats.org/officeDocument/2006/relationships/hyperlink" Target="https://pvpmc.sandia.gov/modeling-guide/2-dc-module-iv/cell-temperature/noct-cell-temperature/" TargetMode="External"/><Relationship Id="rId77" Type="http://schemas.openxmlformats.org/officeDocument/2006/relationships/hyperlink" Target="https://reonic.com/de-de/blog/leitungsquerschnitt-berechnen-pv-anlagen/" TargetMode="External"/><Relationship Id="rId100" Type="http://schemas.openxmlformats.org/officeDocument/2006/relationships/hyperlink" Target="https://manuals.sma.de/Business-Systeme-PL/en-US/15114414859.html" TargetMode="External"/><Relationship Id="rId105" Type="http://schemas.openxmlformats.org/officeDocument/2006/relationships/fontTable" Target="fontTable.xml"/><Relationship Id="rId8" Type="http://schemas.openxmlformats.org/officeDocument/2006/relationships/image" Target="media/image4.png"/><Relationship Id="rId51" Type="http://schemas.openxmlformats.org/officeDocument/2006/relationships/hyperlink" Target="https://zolar.de/blog/maximum-power-point-tracker" TargetMode="External"/><Relationship Id="rId72" Type="http://schemas.openxmlformats.org/officeDocument/2006/relationships/hyperlink" Target="https://www.dke.de/de/normen-standards/dokument?id=7080146&amp;type=dke%7Cdokument" TargetMode="External"/><Relationship Id="rId93" Type="http://schemas.openxmlformats.org/officeDocument/2006/relationships/hyperlink" Target="https://www.devleader.ca/2026/08/13/specification-pattern-in-c-a-practical-guide-for-modern-net" TargetMode="External"/><Relationship Id="rId98" Type="http://schemas.openxmlformats.org/officeDocument/2006/relationships/hyperlink" Target="https://husatech.de/sma-sunny-boy-sb-6-0" TargetMode="External"/><Relationship Id="rId3" Type="http://schemas.openxmlformats.org/officeDocument/2006/relationships/settings" Target="settings.xml"/><Relationship Id="rId25" Type="http://schemas.openxmlformats.org/officeDocument/2006/relationships/image" Target="media/image21.png"/><Relationship Id="rId46" Type="http://schemas.openxmlformats.org/officeDocument/2006/relationships/hyperlink" Target="https://photovoltaiksolarstrom.com/photovoltaiklexikon/noct/" TargetMode="External"/><Relationship Id="rId67" Type="http://schemas.openxmlformats.org/officeDocument/2006/relationships/hyperlink" Target="https://medium.com/@amrit.mandal0191/how-to-calculate-solar-pv-string-sizing-temperature-corrected-voc-mppt-range-and-the-four-ab76a2fb021b"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5682</Words>
  <Characters>35800</Characters>
  <Application>Microsoft Office Word</Application>
  <DocSecurity>0</DocSecurity>
  <Lines>298</Lines>
  <Paragraphs>82</Paragraphs>
  <ScaleCrop>false</ScaleCrop>
  <Company/>
  <LinksUpToDate>false</LinksUpToDate>
  <CharactersWithSpaces>41400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Dirk Engelmann</dc:creator>
  <cp:lastModifiedBy>info</cp:lastModifiedBy>
  <cp:revision>2</cp:revision>
  <dcterms:created xsi:type="dcterms:W3CDTF">2026-09-10T20:25:00Z</dcterms:created>
  <dcterms:modified xsi:type="dcterms:W3CDTF">2026-09-10T20:25:00Z</dcterms:modified>
</cp:coreProperties>
</file>