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4"/>
        </w:rPr>
        <w:t>Mehrspeicherbetrieb in EPOS Plan</w:t>
      </w:r>
    </w:p>
    <w:p>
      <w:pPr>
        <w:pStyle w:val="Subtitle"/>
      </w:pPr>
      <w:r>
        <w:rPr>
          <w:rFonts w:ascii="Arial" w:hAnsi="Arial"/>
          <w:color w:val="000000"/>
          <w:sz w:val="22"/>
        </w:rPr>
        <w:t>Bedienung  Berechnung  Auslegung  Projektübernahme</w:t>
      </w:r>
    </w:p>
    <w:p>
      <w:r>
        <w:rPr>
          <w:rFonts w:ascii="Arial" w:hAnsi="Arial"/>
          <w:b/>
          <w:color w:val="000000"/>
        </w:rPr>
        <w:t xml:space="preserve">Handbuchergänzung  </w:t>
      </w:r>
      <w:r>
        <w:rPr>
          <w:rFonts w:ascii="Arial" w:hAnsi="Arial"/>
          <w:color w:val="000000"/>
        </w:rPr>
        <w:t>Stand 11 September 2026</w:t>
      </w:r>
    </w:p>
    <w:p>
      <w:pPr>
        <w:pStyle w:val="Heading1"/>
      </w:pPr>
      <w:r>
        <w:t>Zweck und Einordnung</w:t>
      </w:r>
    </w:p>
    <w:p>
      <w:r>
        <w:rPr>
          <w:rFonts w:ascii="Arial" w:hAnsi="Arial"/>
          <w:color w:val="000000"/>
        </w:rPr>
        <w:t>Dieses Handbuch beschreibt den tatsächlich implementierten Mehrspeicherbetrieb. Eine Flotte besteht aus mehreren AC gekoppelten Speichern, die innerhalb einer Variante gleichzeitig am selben Netzanschlusspunkt arbeiten. Jede Einheit besitzt einen eigenen Energiezustand, eigene Leistungsgrenzen, Wirkungsgrade, Reserven, Verfügbarkeit und Kosten. Der bestehende Einzelspeicherpfad bleibt separat erhalten.</w:t>
      </w:r>
    </w:p>
    <w:p>
      <w:r>
        <w:rPr>
          <w:rFonts w:ascii="Arial" w:hAnsi="Arial"/>
          <w:color w:val="000000"/>
        </w:rPr>
        <w:t>Die Mehrspeicherstudie vergleicht dieselben Standortdaten ohne Speicher mit einer konfigurierten oder optimierten Flotte. Sie kann als eigenständige Studie mit CSV und JSON Daten gerechnet werden. Eine geprüfte Flotte lässt sich zusätzlich für die gewöhnliche EPOS Projektsimulation aktivieren. Dort werden Last und PV aus dem Projekt verwendet; experimentelle Änderungen im Dialog verändern eine bereits aktivierte Flotte erst nach erneuter Übernahme.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1701"/>
            <w:shd w:fill="17365D"/>
            <w:vAlign w:val="center"/>
            <w:tcMar>
              <w:top w:w="95" w:type="dxa"/>
              <w:start w:w="110" w:type="dxa"/>
              <w:bottom w:w="95" w:type="dxa"/>
              <w:end w:w="110" w:type="dxa"/>
            </w:tcMar>
          </w:tcPr>
          <w:p>
            <w:pPr>
              <w:spacing w:after="0"/>
              <w:jc w:val="left"/>
            </w:pPr>
            <w:r>
              <w:rPr>
                <w:rFonts w:ascii="Arial" w:hAnsi="Arial"/>
                <w:b/>
                <w:color w:val="FFFFFF"/>
                <w:sz w:val="17"/>
              </w:rPr>
              <w:t>Bereich</w:t>
            </w:r>
          </w:p>
        </w:tc>
        <w:tc>
          <w:tcPr>
            <w:tcW w:type="dxa" w:w="3798"/>
            <w:shd w:fill="17365D"/>
            <w:vAlign w:val="center"/>
            <w:tcMar>
              <w:top w:w="95" w:type="dxa"/>
              <w:start w:w="110" w:type="dxa"/>
              <w:bottom w:w="95" w:type="dxa"/>
              <w:end w:w="110" w:type="dxa"/>
            </w:tcMar>
          </w:tcPr>
          <w:p>
            <w:pPr>
              <w:spacing w:after="0"/>
              <w:jc w:val="left"/>
            </w:pPr>
            <w:r>
              <w:rPr>
                <w:rFonts w:ascii="Arial" w:hAnsi="Arial"/>
                <w:b/>
                <w:color w:val="FFFFFF"/>
                <w:sz w:val="17"/>
              </w:rPr>
              <w:t>Was EPOS Plan berechnet</w:t>
            </w:r>
          </w:p>
        </w:tc>
        <w:tc>
          <w:tcPr>
            <w:tcW w:type="dxa" w:w="4195"/>
            <w:shd w:fill="17365D"/>
            <w:vAlign w:val="center"/>
            <w:tcMar>
              <w:top w:w="95" w:type="dxa"/>
              <w:start w:w="110" w:type="dxa"/>
              <w:bottom w:w="95" w:type="dxa"/>
              <w:end w:w="110" w:type="dxa"/>
            </w:tcMar>
          </w:tcPr>
          <w:p>
            <w:pPr>
              <w:spacing w:after="0"/>
              <w:jc w:val="left"/>
            </w:pPr>
            <w:r>
              <w:rPr>
                <w:rFonts w:ascii="Arial" w:hAnsi="Arial"/>
                <w:b/>
                <w:color w:val="FFFFFF"/>
                <w:sz w:val="17"/>
              </w:rPr>
              <w:t>Worauf der Nutzer achten muss</w:t>
            </w:r>
          </w:p>
        </w:tc>
      </w:tr>
      <w:tr>
        <w:tc>
          <w:tcPr>
            <w:tcW w:type="dxa" w:w="1701"/>
            <w:vAlign w:val="center"/>
            <w:tcMar>
              <w:top w:w="95" w:type="dxa"/>
              <w:start w:w="110" w:type="dxa"/>
              <w:bottom w:w="95" w:type="dxa"/>
              <w:end w:w="110" w:type="dxa"/>
            </w:tcMar>
          </w:tcPr>
          <w:p>
            <w:pPr>
              <w:spacing w:after="0" w:line="240" w:lineRule="auto"/>
            </w:pPr>
            <w:r>
              <w:rPr>
                <w:rFonts w:ascii="Arial" w:hAnsi="Arial"/>
                <w:color w:val="000000"/>
                <w:sz w:val="16"/>
              </w:rPr>
              <w:t>Physik</w:t>
            </w:r>
          </w:p>
        </w:tc>
        <w:tc>
          <w:tcPr>
            <w:tcW w:type="dxa" w:w="3798"/>
            <w:vAlign w:val="center"/>
            <w:tcMar>
              <w:top w:w="95" w:type="dxa"/>
              <w:start w:w="110" w:type="dxa"/>
              <w:bottom w:w="95" w:type="dxa"/>
              <w:end w:w="110" w:type="dxa"/>
            </w:tcMar>
          </w:tcPr>
          <w:p>
            <w:pPr>
              <w:spacing w:after="0" w:line="240" w:lineRule="auto"/>
            </w:pPr>
            <w:r>
              <w:rPr>
                <w:rFonts w:ascii="Arial" w:hAnsi="Arial"/>
                <w:color w:val="000000"/>
                <w:sz w:val="16"/>
              </w:rPr>
              <w:t>Viertelstündliche AC Leistungen, Energie und SoC je Speicher</w:t>
            </w:r>
          </w:p>
        </w:tc>
        <w:tc>
          <w:tcPr>
            <w:tcW w:type="dxa" w:w="4195"/>
            <w:vAlign w:val="center"/>
            <w:tcMar>
              <w:top w:w="95" w:type="dxa"/>
              <w:start w:w="110" w:type="dxa"/>
              <w:bottom w:w="95" w:type="dxa"/>
              <w:end w:w="110" w:type="dxa"/>
            </w:tcMar>
          </w:tcPr>
          <w:p>
            <w:pPr>
              <w:spacing w:after="0" w:line="240" w:lineRule="auto"/>
            </w:pPr>
            <w:r>
              <w:rPr>
                <w:rFonts w:ascii="Arial" w:hAnsi="Arial"/>
                <w:color w:val="000000"/>
                <w:sz w:val="16"/>
              </w:rPr>
              <w:t>Lade und Entladeleistung, Wirkungsgrade und SoC Grenzen getrennt pflegen</w:t>
            </w:r>
          </w:p>
        </w:tc>
      </w:tr>
      <w:tr>
        <w:tc>
          <w:tcPr>
            <w:tcW w:type="dxa" w:w="1701"/>
            <w:shd w:fill="EAF0F6"/>
            <w:vAlign w:val="center"/>
            <w:tcMar>
              <w:top w:w="95" w:type="dxa"/>
              <w:start w:w="110" w:type="dxa"/>
              <w:bottom w:w="95" w:type="dxa"/>
              <w:end w:w="110" w:type="dxa"/>
            </w:tcMar>
          </w:tcPr>
          <w:p>
            <w:pPr>
              <w:spacing w:after="0" w:line="240" w:lineRule="auto"/>
            </w:pPr>
            <w:r>
              <w:rPr>
                <w:rFonts w:ascii="Arial" w:hAnsi="Arial"/>
                <w:color w:val="000000"/>
                <w:sz w:val="16"/>
              </w:rPr>
              <w:t>Betrieb</w:t>
            </w:r>
          </w:p>
        </w:tc>
        <w:tc>
          <w:tcPr>
            <w:tcW w:type="dxa" w:w="3798"/>
            <w:shd w:fill="EAF0F6"/>
            <w:vAlign w:val="center"/>
            <w:tcMar>
              <w:top w:w="95" w:type="dxa"/>
              <w:start w:w="110" w:type="dxa"/>
              <w:bottom w:w="95" w:type="dxa"/>
              <w:end w:w="110" w:type="dxa"/>
            </w:tcMar>
          </w:tcPr>
          <w:p>
            <w:pPr>
              <w:spacing w:after="0" w:line="240" w:lineRule="auto"/>
            </w:pPr>
            <w:r>
              <w:rPr>
                <w:rFonts w:ascii="Arial" w:hAnsi="Arial"/>
                <w:color w:val="000000"/>
                <w:sz w:val="16"/>
              </w:rPr>
              <w:t>Reaktive oder planende gemeinsame Fahrweise</w:t>
            </w:r>
          </w:p>
        </w:tc>
        <w:tc>
          <w:tcPr>
            <w:tcW w:type="dxa" w:w="4195"/>
            <w:shd w:fill="EAF0F6"/>
            <w:vAlign w:val="center"/>
            <w:tcMar>
              <w:top w:w="95" w:type="dxa"/>
              <w:start w:w="110" w:type="dxa"/>
              <w:bottom w:w="95" w:type="dxa"/>
              <w:end w:w="110" w:type="dxa"/>
            </w:tcMar>
          </w:tcPr>
          <w:p>
            <w:pPr>
              <w:spacing w:after="0" w:line="240" w:lineRule="auto"/>
            </w:pPr>
            <w:r>
              <w:rPr>
                <w:rFonts w:ascii="Arial" w:hAnsi="Arial"/>
                <w:color w:val="000000"/>
                <w:sz w:val="16"/>
              </w:rPr>
              <w:t>Betriebsziel und Leistungsverteilung getrennt wählen</w:t>
            </w:r>
          </w:p>
        </w:tc>
      </w:tr>
      <w:tr>
        <w:tc>
          <w:tcPr>
            <w:tcW w:type="dxa" w:w="1701"/>
            <w:vAlign w:val="center"/>
            <w:tcMar>
              <w:top w:w="95" w:type="dxa"/>
              <w:start w:w="110" w:type="dxa"/>
              <w:bottom w:w="95" w:type="dxa"/>
              <w:end w:w="110" w:type="dxa"/>
            </w:tcMar>
          </w:tcPr>
          <w:p>
            <w:pPr>
              <w:spacing w:after="0" w:line="240" w:lineRule="auto"/>
            </w:pPr>
            <w:r>
              <w:rPr>
                <w:rFonts w:ascii="Arial" w:hAnsi="Arial"/>
                <w:color w:val="000000"/>
                <w:sz w:val="16"/>
              </w:rPr>
              <w:t>Wirtschaft</w:t>
            </w:r>
          </w:p>
        </w:tc>
        <w:tc>
          <w:tcPr>
            <w:tcW w:type="dxa" w:w="3798"/>
            <w:vAlign w:val="center"/>
            <w:tcMar>
              <w:top w:w="95" w:type="dxa"/>
              <w:start w:w="110" w:type="dxa"/>
              <w:bottom w:w="95" w:type="dxa"/>
              <w:end w:w="110" w:type="dxa"/>
            </w:tcMar>
          </w:tcPr>
          <w:p>
            <w:pPr>
              <w:spacing w:after="0" w:line="240" w:lineRule="auto"/>
            </w:pPr>
            <w:r>
              <w:rPr>
                <w:rFonts w:ascii="Arial" w:hAnsi="Arial"/>
                <w:color w:val="000000"/>
                <w:sz w:val="16"/>
              </w:rPr>
              <w:t>Standortrechnung, CAPEX, OPEX, Ersatz, Restwert und NPV</w:t>
            </w:r>
          </w:p>
        </w:tc>
        <w:tc>
          <w:tcPr>
            <w:tcW w:type="dxa" w:w="4195"/>
            <w:vAlign w:val="center"/>
            <w:tcMar>
              <w:top w:w="95" w:type="dxa"/>
              <w:start w:w="110" w:type="dxa"/>
              <w:bottom w:w="95" w:type="dxa"/>
              <w:end w:w="110" w:type="dxa"/>
            </w:tcMar>
          </w:tcPr>
          <w:p>
            <w:pPr>
              <w:spacing w:after="0" w:line="240" w:lineRule="auto"/>
            </w:pPr>
            <w:r>
              <w:rPr>
                <w:rFonts w:ascii="Arial" w:hAnsi="Arial"/>
                <w:color w:val="000000"/>
                <w:sz w:val="16"/>
              </w:rPr>
              <w:t>Kostenbasis und Endenergiebewertung vollständig angeben</w:t>
            </w:r>
          </w:p>
        </w:tc>
      </w:tr>
      <w:tr>
        <w:tc>
          <w:tcPr>
            <w:tcW w:type="dxa" w:w="1701"/>
            <w:shd w:fill="EAF0F6"/>
            <w:vAlign w:val="center"/>
            <w:tcMar>
              <w:top w:w="95" w:type="dxa"/>
              <w:start w:w="110" w:type="dxa"/>
              <w:bottom w:w="95" w:type="dxa"/>
              <w:end w:w="110" w:type="dxa"/>
            </w:tcMar>
          </w:tcPr>
          <w:p>
            <w:pPr>
              <w:spacing w:after="0" w:line="240" w:lineRule="auto"/>
            </w:pPr>
            <w:r>
              <w:rPr>
                <w:rFonts w:ascii="Arial" w:hAnsi="Arial"/>
                <w:color w:val="000000"/>
                <w:sz w:val="16"/>
              </w:rPr>
              <w:t>Auslegung</w:t>
            </w:r>
          </w:p>
        </w:tc>
        <w:tc>
          <w:tcPr>
            <w:tcW w:type="dxa" w:w="3798"/>
            <w:shd w:fill="EAF0F6"/>
            <w:vAlign w:val="center"/>
            <w:tcMar>
              <w:top w:w="95" w:type="dxa"/>
              <w:start w:w="110" w:type="dxa"/>
              <w:bottom w:w="95" w:type="dxa"/>
              <w:end w:w="110" w:type="dxa"/>
            </w:tcMar>
          </w:tcPr>
          <w:p>
            <w:pPr>
              <w:spacing w:after="0" w:line="240" w:lineRule="auto"/>
            </w:pPr>
            <w:r>
              <w:rPr>
                <w:rFonts w:ascii="Arial" w:hAnsi="Arial"/>
                <w:color w:val="000000"/>
                <w:sz w:val="16"/>
              </w:rPr>
              <w:t>Vollständige begrenzte Rastersuche einschließlich Nullvariante</w:t>
            </w:r>
          </w:p>
        </w:tc>
        <w:tc>
          <w:tcPr>
            <w:tcW w:type="dxa" w:w="4195"/>
            <w:shd w:fill="EAF0F6"/>
            <w:vAlign w:val="center"/>
            <w:tcMar>
              <w:top w:w="95" w:type="dxa"/>
              <w:start w:w="110" w:type="dxa"/>
              <w:bottom w:w="95" w:type="dxa"/>
              <w:end w:w="110" w:type="dxa"/>
            </w:tcMar>
          </w:tcPr>
          <w:p>
            <w:pPr>
              <w:spacing w:after="0" w:line="240" w:lineRule="auto"/>
            </w:pPr>
            <w:r>
              <w:rPr>
                <w:rFonts w:ascii="Arial" w:hAnsi="Arial"/>
                <w:color w:val="000000"/>
                <w:sz w:val="16"/>
              </w:rPr>
              <w:t>Suchraum klein genug halten und Zulässigkeit prüfen</w:t>
            </w:r>
          </w:p>
        </w:tc>
      </w:tr>
    </w:tbl>
    <w:p>
      <w:pPr>
        <w:spacing w:after="0"/>
      </w:pPr>
    </w:p>
    <w:p>
      <w:pPr>
        <w:pStyle w:val="Heading2"/>
      </w:pPr>
      <w:r>
        <w:t>Kernaussage</w:t>
      </w:r>
    </w:p>
    <w:p>
      <w:r>
        <w:rPr>
          <w:rFonts w:ascii="Arial" w:hAnsi="Arial"/>
          <w:color w:val="000000"/>
        </w:rPr>
        <w:t>Das Ergebnis ist eine nachvollziehbare technische und wirtschaftliche Vergleichsrechnung für den gewählten Datenstand. Eine optimale Solverlösung gilt für den einzelnen Planungshorizont. Der rollierende Jahreslauf und das endliche Größenraster sind keine Aussage über ein globales Optimum aller denkbaren Speicher und Betriebsweisen.</w:t>
      </w:r>
    </w:p>
    <w:p>
      <w:r>
        <w:br w:type="page"/>
      </w:r>
    </w:p>
    <w:p>
      <w:pPr>
        <w:pStyle w:val="Heading1"/>
      </w:pPr>
      <w:r>
        <w:t>Bedienablauf im Mehrspeicherdialog</w:t>
      </w:r>
    </w:p>
    <w:p>
      <w:r>
        <w:rPr>
          <w:rFonts w:ascii="Arial" w:hAnsi="Arial"/>
          <w:color w:val="000000"/>
        </w:rPr>
        <w:t>Der Dialog führt in vier Reitern von der physischen Flotte zu den Ergebnissen. Die Schaltfläche Speichervergleich berechnen speichert den aktuellen Arbeitsstand und startet die Rechnung. Werden Eingaben anschließend geändert, kennzeichnet EPOS Plan das angezeigte Ergebnis als veraltet.</w:t>
      </w:r>
    </w:p>
    <w:p>
      <w:pPr>
        <w:pStyle w:val="ListNumber"/>
      </w:pPr>
      <w:r>
        <w:rPr>
          <w:rFonts w:ascii="Arial" w:hAnsi="Arial"/>
          <w:color w:val="000000"/>
        </w:rPr>
        <w:t>Speicher und Betriebsführung öffnen. Einheiten hinzufügen, kopieren oder entfernen und die technischen Daten je Einheit pflegen.</w:t>
      </w:r>
    </w:p>
    <w:p>
      <w:pPr>
        <w:pStyle w:val="ListNumber"/>
      </w:pPr>
      <w:r>
        <w:rPr>
          <w:rFonts w:ascii="Arial" w:hAnsi="Arial"/>
          <w:color w:val="000000"/>
        </w:rPr>
        <w:t>Ein gemeinsames Betriebsziel sowie die Leistungsverteilung zwischen den Einheiten wählen. Harte Anschlussgrenzen und das wirtschaftliche Peak Ziel bewusst unterscheiden.</w:t>
      </w:r>
    </w:p>
    <w:p>
      <w:pPr>
        <w:pStyle w:val="ListNumber"/>
      </w:pPr>
      <w:r>
        <w:rPr>
          <w:rFonts w:ascii="Arial" w:hAnsi="Arial"/>
          <w:color w:val="000000"/>
        </w:rPr>
        <w:t>Unter Daten Kosten und Profile die Quellen für Bruttolast, verfügbare PV AC Leistung und Bezugspreis wählen. Kosten direkt eingeben oder aus dem Kostenmodul ableiten und die gesamte Konfiguration bei Bedarf als Profil speichern.</w:t>
      </w:r>
    </w:p>
    <w:p>
      <w:pPr>
        <w:pStyle w:val="ListNumber"/>
      </w:pPr>
      <w:r>
        <w:rPr>
          <w:rFonts w:ascii="Arial" w:hAnsi="Arial"/>
          <w:color w:val="000000"/>
        </w:rPr>
        <w:t>Für planende Ziele unter Prognosen und Jahresdaten entweder archivierte Prognose Snapshots oder ausdrücklich Idealwissen wählen. Mehrere tatsächliche Projektjahre werden als JSON importiert.</w:t>
      </w:r>
    </w:p>
    <w:p>
      <w:pPr>
        <w:pStyle w:val="ListNumber"/>
      </w:pPr>
      <w:r>
        <w:rPr>
          <w:rFonts w:ascii="Arial" w:hAnsi="Arial"/>
          <w:color w:val="000000"/>
        </w:rPr>
        <w:t>Optional Speicheranzahl und Größenbereiche optimieren aktivieren. Danach den Vergleich rechnen, Hinweise lesen und die Zeitreihe beziehungsweise Kandidatentabelle als CSV ausgeben.</w:t>
      </w:r>
    </w:p>
    <w:p>
      <w:pPr>
        <w:pStyle w:val="ListNumber"/>
      </w:pPr>
      <w:r>
        <w:rPr>
          <w:rFonts w:ascii="Arial" w:hAnsi="Arial"/>
          <w:color w:val="000000"/>
        </w:rPr>
        <w:t>Eine zulässige, aktuelle Flotte bei Bedarf in die Auslegung übernehmen oder für die Projektsimulation aktivieren. Anschließend die Projektsimulation neu berechnen.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2268"/>
            <w:shd w:fill="17365D"/>
            <w:vAlign w:val="center"/>
            <w:tcMar>
              <w:top w:w="95" w:type="dxa"/>
              <w:start w:w="110" w:type="dxa"/>
              <w:bottom w:w="95" w:type="dxa"/>
              <w:end w:w="110" w:type="dxa"/>
            </w:tcMar>
          </w:tcPr>
          <w:p>
            <w:pPr>
              <w:spacing w:after="0"/>
              <w:jc w:val="left"/>
            </w:pPr>
            <w:r>
              <w:rPr>
                <w:rFonts w:ascii="Arial" w:hAnsi="Arial"/>
                <w:b/>
                <w:color w:val="FFFFFF"/>
                <w:sz w:val="17"/>
              </w:rPr>
              <w:t>Reiter</w:t>
            </w:r>
          </w:p>
        </w:tc>
        <w:tc>
          <w:tcPr>
            <w:tcW w:type="dxa" w:w="3969"/>
            <w:shd w:fill="17365D"/>
            <w:vAlign w:val="center"/>
            <w:tcMar>
              <w:top w:w="95" w:type="dxa"/>
              <w:start w:w="110" w:type="dxa"/>
              <w:bottom w:w="95" w:type="dxa"/>
              <w:end w:w="110" w:type="dxa"/>
            </w:tcMar>
          </w:tcPr>
          <w:p>
            <w:pPr>
              <w:spacing w:after="0"/>
              <w:jc w:val="left"/>
            </w:pPr>
            <w:r>
              <w:rPr>
                <w:rFonts w:ascii="Arial" w:hAnsi="Arial"/>
                <w:b/>
                <w:color w:val="FFFFFF"/>
                <w:sz w:val="17"/>
              </w:rPr>
              <w:t>Typische Eingaben</w:t>
            </w:r>
          </w:p>
        </w:tc>
        <w:tc>
          <w:tcPr>
            <w:tcW w:type="dxa" w:w="3458"/>
            <w:shd w:fill="17365D"/>
            <w:vAlign w:val="center"/>
            <w:tcMar>
              <w:top w:w="95" w:type="dxa"/>
              <w:start w:w="110" w:type="dxa"/>
              <w:bottom w:w="95" w:type="dxa"/>
              <w:end w:w="110" w:type="dxa"/>
            </w:tcMar>
          </w:tcPr>
          <w:p>
            <w:pPr>
              <w:spacing w:after="0"/>
              <w:jc w:val="left"/>
            </w:pPr>
            <w:r>
              <w:rPr>
                <w:rFonts w:ascii="Arial" w:hAnsi="Arial"/>
                <w:b/>
                <w:color w:val="FFFFFF"/>
                <w:sz w:val="17"/>
              </w:rPr>
              <w:t>Ergebnis der Eingabe</w:t>
            </w:r>
          </w:p>
        </w:tc>
      </w:tr>
      <w:tr>
        <w:tc>
          <w:tcPr>
            <w:tcW w:type="dxa" w:w="2268"/>
            <w:vAlign w:val="center"/>
            <w:tcMar>
              <w:top w:w="95" w:type="dxa"/>
              <w:start w:w="110" w:type="dxa"/>
              <w:bottom w:w="95" w:type="dxa"/>
              <w:end w:w="110" w:type="dxa"/>
            </w:tcMar>
          </w:tcPr>
          <w:p>
            <w:pPr>
              <w:spacing w:after="0" w:line="240" w:lineRule="auto"/>
            </w:pPr>
            <w:r>
              <w:rPr>
                <w:rFonts w:ascii="Arial" w:hAnsi="Arial"/>
                <w:color w:val="000000"/>
                <w:sz w:val="16"/>
              </w:rPr>
              <w:t>Speicher und Betriebsführung</w:t>
            </w:r>
          </w:p>
        </w:tc>
        <w:tc>
          <w:tcPr>
            <w:tcW w:type="dxa" w:w="3969"/>
            <w:vAlign w:val="center"/>
            <w:tcMar>
              <w:top w:w="95" w:type="dxa"/>
              <w:start w:w="110" w:type="dxa"/>
              <w:bottom w:w="95" w:type="dxa"/>
              <w:end w:w="110" w:type="dxa"/>
            </w:tcMar>
          </w:tcPr>
          <w:p>
            <w:pPr>
              <w:spacing w:after="0" w:line="240" w:lineRule="auto"/>
            </w:pPr>
            <w:r>
              <w:rPr>
                <w:rFonts w:ascii="Arial" w:hAnsi="Arial"/>
                <w:color w:val="000000"/>
                <w:sz w:val="16"/>
              </w:rPr>
              <w:t>Einheiten, Bereiche, Ziel, Verteilung, Netzgrenzen, Prognosehorizont</w:t>
            </w:r>
          </w:p>
        </w:tc>
        <w:tc>
          <w:tcPr>
            <w:tcW w:type="dxa" w:w="3458"/>
            <w:vAlign w:val="center"/>
            <w:tcMar>
              <w:top w:w="95" w:type="dxa"/>
              <w:start w:w="110" w:type="dxa"/>
              <w:bottom w:w="95" w:type="dxa"/>
              <w:end w:w="110" w:type="dxa"/>
            </w:tcMar>
          </w:tcPr>
          <w:p>
            <w:pPr>
              <w:spacing w:after="0" w:line="240" w:lineRule="auto"/>
            </w:pPr>
            <w:r>
              <w:rPr>
                <w:rFonts w:ascii="Arial" w:hAnsi="Arial"/>
                <w:color w:val="000000"/>
                <w:sz w:val="16"/>
              </w:rPr>
              <w:t>Physische und operative Flottenkonfiguration</w:t>
            </w:r>
          </w:p>
        </w:tc>
      </w:tr>
      <w:tr>
        <w:tc>
          <w:tcPr>
            <w:tcW w:type="dxa" w:w="2268"/>
            <w:shd w:fill="EAF0F6"/>
            <w:vAlign w:val="center"/>
            <w:tcMar>
              <w:top w:w="95" w:type="dxa"/>
              <w:start w:w="110" w:type="dxa"/>
              <w:bottom w:w="95" w:type="dxa"/>
              <w:end w:w="110" w:type="dxa"/>
            </w:tcMar>
          </w:tcPr>
          <w:p>
            <w:pPr>
              <w:spacing w:after="0" w:line="240" w:lineRule="auto"/>
            </w:pPr>
            <w:r>
              <w:rPr>
                <w:rFonts w:ascii="Arial" w:hAnsi="Arial"/>
                <w:color w:val="000000"/>
                <w:sz w:val="16"/>
              </w:rPr>
              <w:t>Daten Kosten und Profile</w:t>
            </w:r>
          </w:p>
        </w:tc>
        <w:tc>
          <w:tcPr>
            <w:tcW w:type="dxa" w:w="3969"/>
            <w:shd w:fill="EAF0F6"/>
            <w:vAlign w:val="center"/>
            <w:tcMar>
              <w:top w:w="95" w:type="dxa"/>
              <w:start w:w="110" w:type="dxa"/>
              <w:bottom w:w="95" w:type="dxa"/>
              <w:end w:w="110" w:type="dxa"/>
            </w:tcMar>
          </w:tcPr>
          <w:p>
            <w:pPr>
              <w:spacing w:after="0" w:line="240" w:lineRule="auto"/>
            </w:pPr>
            <w:r>
              <w:rPr>
                <w:rFonts w:ascii="Arial" w:hAnsi="Arial"/>
                <w:color w:val="000000"/>
                <w:sz w:val="16"/>
              </w:rPr>
              <w:t>Last, PV, Preise, Kostenquelle, Kalenderzuordnung, Profilname</w:t>
            </w:r>
          </w:p>
        </w:tc>
        <w:tc>
          <w:tcPr>
            <w:tcW w:type="dxa" w:w="3458"/>
            <w:shd w:fill="EAF0F6"/>
            <w:vAlign w:val="center"/>
            <w:tcMar>
              <w:top w:w="95" w:type="dxa"/>
              <w:start w:w="110" w:type="dxa"/>
              <w:bottom w:w="95" w:type="dxa"/>
              <w:end w:w="110" w:type="dxa"/>
            </w:tcMar>
          </w:tcPr>
          <w:p>
            <w:pPr>
              <w:spacing w:after="0" w:line="240" w:lineRule="auto"/>
            </w:pPr>
            <w:r>
              <w:rPr>
                <w:rFonts w:ascii="Arial" w:hAnsi="Arial"/>
                <w:color w:val="000000"/>
                <w:sz w:val="16"/>
              </w:rPr>
              <w:t>Reproduzierbarer Quellen und Kostenstand</w:t>
            </w:r>
          </w:p>
        </w:tc>
      </w:tr>
      <w:tr>
        <w:tc>
          <w:tcPr>
            <w:tcW w:type="dxa" w:w="2268"/>
            <w:vAlign w:val="center"/>
            <w:tcMar>
              <w:top w:w="95" w:type="dxa"/>
              <w:start w:w="110" w:type="dxa"/>
              <w:bottom w:w="95" w:type="dxa"/>
              <w:end w:w="110" w:type="dxa"/>
            </w:tcMar>
          </w:tcPr>
          <w:p>
            <w:pPr>
              <w:spacing w:after="0" w:line="240" w:lineRule="auto"/>
            </w:pPr>
            <w:r>
              <w:rPr>
                <w:rFonts w:ascii="Arial" w:hAnsi="Arial"/>
                <w:color w:val="000000"/>
                <w:sz w:val="16"/>
              </w:rPr>
              <w:t>Prognosen und Jahresdaten</w:t>
            </w:r>
          </w:p>
        </w:tc>
        <w:tc>
          <w:tcPr>
            <w:tcW w:type="dxa" w:w="3969"/>
            <w:vAlign w:val="center"/>
            <w:tcMar>
              <w:top w:w="95" w:type="dxa"/>
              <w:start w:w="110" w:type="dxa"/>
              <w:bottom w:w="95" w:type="dxa"/>
              <w:end w:w="110" w:type="dxa"/>
            </w:tcMar>
          </w:tcPr>
          <w:p>
            <w:pPr>
              <w:spacing w:after="0" w:line="240" w:lineRule="auto"/>
            </w:pPr>
            <w:r>
              <w:rPr>
                <w:rFonts w:ascii="Arial" w:hAnsi="Arial"/>
                <w:color w:val="000000"/>
                <w:sz w:val="16"/>
              </w:rPr>
              <w:t>Snapshot JSON, Projektjahr JSON</w:t>
            </w:r>
          </w:p>
        </w:tc>
        <w:tc>
          <w:tcPr>
            <w:tcW w:type="dxa" w:w="3458"/>
            <w:vAlign w:val="center"/>
            <w:tcMar>
              <w:top w:w="95" w:type="dxa"/>
              <w:start w:w="110" w:type="dxa"/>
              <w:bottom w:w="95" w:type="dxa"/>
              <w:end w:w="110" w:type="dxa"/>
            </w:tcMar>
          </w:tcPr>
          <w:p>
            <w:pPr>
              <w:spacing w:after="0" w:line="240" w:lineRule="auto"/>
            </w:pPr>
            <w:r>
              <w:rPr>
                <w:rFonts w:ascii="Arial" w:hAnsi="Arial"/>
                <w:color w:val="000000"/>
                <w:sz w:val="16"/>
              </w:rPr>
              <w:t>Informationsstand und tatsächliche Mehrjahresreihen</w:t>
            </w:r>
          </w:p>
        </w:tc>
      </w:tr>
      <w:tr>
        <w:tc>
          <w:tcPr>
            <w:tcW w:type="dxa" w:w="2268"/>
            <w:shd w:fill="EAF0F6"/>
            <w:vAlign w:val="center"/>
            <w:tcMar>
              <w:top w:w="95" w:type="dxa"/>
              <w:start w:w="110" w:type="dxa"/>
              <w:bottom w:w="95" w:type="dxa"/>
              <w:end w:w="110" w:type="dxa"/>
            </w:tcMar>
          </w:tcPr>
          <w:p>
            <w:pPr>
              <w:spacing w:after="0" w:line="240" w:lineRule="auto"/>
            </w:pPr>
            <w:r>
              <w:rPr>
                <w:rFonts w:ascii="Arial" w:hAnsi="Arial"/>
                <w:color w:val="000000"/>
                <w:sz w:val="16"/>
              </w:rPr>
              <w:t>Vergleich und Ergebnisse</w:t>
            </w:r>
          </w:p>
        </w:tc>
        <w:tc>
          <w:tcPr>
            <w:tcW w:type="dxa" w:w="3969"/>
            <w:shd w:fill="EAF0F6"/>
            <w:vAlign w:val="center"/>
            <w:tcMar>
              <w:top w:w="95" w:type="dxa"/>
              <w:start w:w="110" w:type="dxa"/>
              <w:bottom w:w="95" w:type="dxa"/>
              <w:end w:w="110" w:type="dxa"/>
            </w:tcMar>
          </w:tcPr>
          <w:p>
            <w:pPr>
              <w:spacing w:after="0" w:line="240" w:lineRule="auto"/>
            </w:pPr>
            <w:r>
              <w:rPr>
                <w:rFonts w:ascii="Arial" w:hAnsi="Arial"/>
                <w:color w:val="000000"/>
                <w:sz w:val="16"/>
              </w:rPr>
              <w:t>Keine neuen Eingaben</w:t>
            </w:r>
          </w:p>
        </w:tc>
        <w:tc>
          <w:tcPr>
            <w:tcW w:type="dxa" w:w="3458"/>
            <w:shd w:fill="EAF0F6"/>
            <w:vAlign w:val="center"/>
            <w:tcMar>
              <w:top w:w="95" w:type="dxa"/>
              <w:start w:w="110" w:type="dxa"/>
              <w:bottom w:w="95" w:type="dxa"/>
              <w:end w:w="110" w:type="dxa"/>
            </w:tcMar>
          </w:tcPr>
          <w:p>
            <w:pPr>
              <w:spacing w:after="0" w:line="240" w:lineRule="auto"/>
            </w:pPr>
            <w:r>
              <w:rPr>
                <w:rFonts w:ascii="Arial" w:hAnsi="Arial"/>
                <w:color w:val="000000"/>
                <w:sz w:val="16"/>
              </w:rPr>
              <w:t>Referenz, Variante, Kennzahlen, NPV, Hinweise und CSV</w:t>
            </w:r>
          </w:p>
        </w:tc>
      </w:tr>
    </w:tbl>
    <w:p>
      <w:pPr>
        <w:spacing w:after="0"/>
      </w:pPr>
    </w:p>
    <w:p>
      <w:pPr>
        <w:pStyle w:val="Heading2"/>
      </w:pPr>
      <w:r>
        <w:t>Arbeitsstand und aktive Projektflotte</w:t>
      </w:r>
    </w:p>
    <w:p>
      <w:r>
        <w:rPr>
          <w:rFonts w:ascii="Arial" w:hAnsi="Arial"/>
          <w:color w:val="000000"/>
        </w:rPr>
        <w:t>Der Dialog verwendet den Arbeitsstand Aktuell für Studien und Profile. Eine übernommene Projektflotte liegt getrennt im reservierten Stand Projektflotte. Damit kann der Nutzer weitere Varianten untersuchen, ohne den laufenden Projektstand still zu verändern. Deaktivieren stellt nach einer neuen Projektsimulation den ausgewählten Einzelspeicherpfad wieder her.</w:t>
      </w:r>
    </w:p>
    <w:p>
      <w:r>
        <w:br w:type="page"/>
      </w:r>
    </w:p>
    <w:p>
      <w:pPr>
        <w:pStyle w:val="Heading1"/>
      </w:pPr>
      <w:r>
        <w:t>Physische Einheiten und Netzbilanz</w:t>
      </w:r>
    </w:p>
    <w:p>
      <w:r>
        <w:rPr>
          <w:rFonts w:ascii="Arial" w:hAnsi="Arial"/>
          <w:color w:val="000000"/>
        </w:rPr>
        <w:t>Alle Speicher werden AC seitig modelliert. Leistungen stehen in kW, Energien in kWh und Preise in Euro je kWh. Für ein Viertelstundenintervall gilt je Einheit:</w:t>
      </w:r>
    </w:p>
    <w:p>
      <w:pPr>
        <w:jc w:val="center"/>
      </w:pPr>
      <w:r>
        <w:rPr>
          <w:rFonts w:ascii="Arial" w:hAnsi="Arial"/>
          <w:b/>
          <w:color w:val="000000"/>
          <w:sz w:val="18"/>
        </w:rPr>
        <w:t>E neu = E alt + 0,25 · Wirkungsgrad Laden · P Laden - 0,25 · P Entladen / Wirkungsgrad Entladen</w:t>
      </w:r>
    </w:p>
    <w:p>
      <w:r>
        <w:rPr>
          <w:rFonts w:ascii="Arial" w:hAnsi="Arial"/>
          <w:color w:val="000000"/>
        </w:rPr>
        <w:t>Der Energiezustand bleibt zwischen SoC Minimum und SoC Maximum. Lade und Entladeleistung werden getrennt begrenzt. Ein Verfügbarkeitsfaktor zwischen null und eins skaliert beide Richtungsgrenzen je Intervall. Der Hilfsverbrauch erhöht die Standortlast.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2835"/>
            <w:shd w:fill="17365D"/>
            <w:vAlign w:val="center"/>
            <w:tcMar>
              <w:top w:w="95" w:type="dxa"/>
              <w:start w:w="110" w:type="dxa"/>
              <w:bottom w:w="95" w:type="dxa"/>
              <w:end w:w="110" w:type="dxa"/>
            </w:tcMar>
          </w:tcPr>
          <w:p>
            <w:pPr>
              <w:spacing w:after="0"/>
              <w:jc w:val="left"/>
            </w:pPr>
            <w:r>
              <w:rPr>
                <w:rFonts w:ascii="Arial" w:hAnsi="Arial"/>
                <w:b/>
                <w:color w:val="FFFFFF"/>
                <w:sz w:val="17"/>
              </w:rPr>
              <w:t>Parameter je Einheit</w:t>
            </w:r>
          </w:p>
        </w:tc>
        <w:tc>
          <w:tcPr>
            <w:tcW w:type="dxa" w:w="4819"/>
            <w:shd w:fill="17365D"/>
            <w:vAlign w:val="center"/>
            <w:tcMar>
              <w:top w:w="95" w:type="dxa"/>
              <w:start w:w="110" w:type="dxa"/>
              <w:bottom w:w="95" w:type="dxa"/>
              <w:end w:w="110" w:type="dxa"/>
            </w:tcMar>
          </w:tcPr>
          <w:p>
            <w:pPr>
              <w:spacing w:after="0"/>
              <w:jc w:val="left"/>
            </w:pPr>
            <w:r>
              <w:rPr>
                <w:rFonts w:ascii="Arial" w:hAnsi="Arial"/>
                <w:b/>
                <w:color w:val="FFFFFF"/>
                <w:sz w:val="17"/>
              </w:rPr>
              <w:t>Bedeutung</w:t>
            </w:r>
          </w:p>
        </w:tc>
        <w:tc>
          <w:tcPr>
            <w:tcW w:type="dxa" w:w="2041"/>
            <w:shd w:fill="17365D"/>
            <w:vAlign w:val="center"/>
            <w:tcMar>
              <w:top w:w="95" w:type="dxa"/>
              <w:start w:w="110" w:type="dxa"/>
              <w:bottom w:w="95" w:type="dxa"/>
              <w:end w:w="110" w:type="dxa"/>
            </w:tcMar>
          </w:tcPr>
          <w:p>
            <w:pPr>
              <w:spacing w:after="0"/>
              <w:jc w:val="left"/>
            </w:pPr>
            <w:r>
              <w:rPr>
                <w:rFonts w:ascii="Arial" w:hAnsi="Arial"/>
                <w:b/>
                <w:color w:val="FFFFFF"/>
                <w:sz w:val="17"/>
              </w:rPr>
              <w:t>Einheit oder Bereich</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Kapazität</w:t>
            </w:r>
          </w:p>
        </w:tc>
        <w:tc>
          <w:tcPr>
            <w:tcW w:type="dxa" w:w="4819"/>
            <w:vAlign w:val="center"/>
            <w:tcMar>
              <w:top w:w="95" w:type="dxa"/>
              <w:start w:w="110" w:type="dxa"/>
              <w:bottom w:w="95" w:type="dxa"/>
              <w:end w:w="110" w:type="dxa"/>
            </w:tcMar>
          </w:tcPr>
          <w:p>
            <w:pPr>
              <w:spacing w:after="0" w:line="240" w:lineRule="auto"/>
            </w:pPr>
            <w:r>
              <w:rPr>
                <w:rFonts w:ascii="Arial" w:hAnsi="Arial"/>
                <w:color w:val="000000"/>
                <w:sz w:val="16"/>
              </w:rPr>
              <w:t>Nennenergie als Basis der SoC Grenzen</w:t>
            </w:r>
          </w:p>
        </w:tc>
        <w:tc>
          <w:tcPr>
            <w:tcW w:type="dxa" w:w="2041"/>
            <w:vAlign w:val="center"/>
            <w:tcMar>
              <w:top w:w="95" w:type="dxa"/>
              <w:start w:w="110" w:type="dxa"/>
              <w:bottom w:w="95" w:type="dxa"/>
              <w:end w:w="110" w:type="dxa"/>
            </w:tcMar>
          </w:tcPr>
          <w:p>
            <w:pPr>
              <w:spacing w:after="0" w:line="240" w:lineRule="auto"/>
            </w:pPr>
            <w:r>
              <w:rPr>
                <w:rFonts w:ascii="Arial" w:hAnsi="Arial"/>
                <w:color w:val="000000"/>
                <w:sz w:val="16"/>
              </w:rPr>
              <w:t>kWh</w:t>
            </w:r>
          </w:p>
        </w:tc>
      </w:tr>
      <w:tr>
        <w:tc>
          <w:tcPr>
            <w:tcW w:type="dxa" w:w="2835"/>
            <w:shd w:fill="EAF0F6"/>
            <w:vAlign w:val="center"/>
            <w:tcMar>
              <w:top w:w="95" w:type="dxa"/>
              <w:start w:w="110" w:type="dxa"/>
              <w:bottom w:w="95" w:type="dxa"/>
              <w:end w:w="110" w:type="dxa"/>
            </w:tcMar>
          </w:tcPr>
          <w:p>
            <w:pPr>
              <w:spacing w:after="0" w:line="240" w:lineRule="auto"/>
            </w:pPr>
            <w:r>
              <w:rPr>
                <w:rFonts w:ascii="Arial" w:hAnsi="Arial"/>
                <w:color w:val="000000"/>
                <w:sz w:val="16"/>
              </w:rPr>
              <w:t>Ladeleistung und Entladeleistung</w:t>
            </w:r>
          </w:p>
        </w:tc>
        <w:tc>
          <w:tcPr>
            <w:tcW w:type="dxa" w:w="4819"/>
            <w:shd w:fill="EAF0F6"/>
            <w:vAlign w:val="center"/>
            <w:tcMar>
              <w:top w:w="95" w:type="dxa"/>
              <w:start w:w="110" w:type="dxa"/>
              <w:bottom w:w="95" w:type="dxa"/>
              <w:end w:w="110" w:type="dxa"/>
            </w:tcMar>
          </w:tcPr>
          <w:p>
            <w:pPr>
              <w:spacing w:after="0" w:line="240" w:lineRule="auto"/>
            </w:pPr>
            <w:r>
              <w:rPr>
                <w:rFonts w:ascii="Arial" w:hAnsi="Arial"/>
                <w:color w:val="000000"/>
                <w:sz w:val="16"/>
              </w:rPr>
              <w:t>Getrennte AC Grenzwerte; asymmetrische Systeme sind möglich</w:t>
            </w:r>
          </w:p>
        </w:tc>
        <w:tc>
          <w:tcPr>
            <w:tcW w:type="dxa" w:w="2041"/>
            <w:shd w:fill="EAF0F6"/>
            <w:vAlign w:val="center"/>
            <w:tcMar>
              <w:top w:w="95" w:type="dxa"/>
              <w:start w:w="110" w:type="dxa"/>
              <w:bottom w:w="95" w:type="dxa"/>
              <w:end w:w="110" w:type="dxa"/>
            </w:tcMar>
          </w:tcPr>
          <w:p>
            <w:pPr>
              <w:spacing w:after="0" w:line="240" w:lineRule="auto"/>
            </w:pPr>
            <w:r>
              <w:rPr>
                <w:rFonts w:ascii="Arial" w:hAnsi="Arial"/>
                <w:color w:val="000000"/>
                <w:sz w:val="16"/>
              </w:rPr>
              <w:t>kW</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Lade und Entladewirkungsgrad</w:t>
            </w:r>
          </w:p>
        </w:tc>
        <w:tc>
          <w:tcPr>
            <w:tcW w:type="dxa" w:w="4819"/>
            <w:vAlign w:val="center"/>
            <w:tcMar>
              <w:top w:w="95" w:type="dxa"/>
              <w:start w:w="110" w:type="dxa"/>
              <w:bottom w:w="95" w:type="dxa"/>
              <w:end w:w="110" w:type="dxa"/>
            </w:tcMar>
          </w:tcPr>
          <w:p>
            <w:pPr>
              <w:spacing w:after="0" w:line="240" w:lineRule="auto"/>
            </w:pPr>
            <w:r>
              <w:rPr>
                <w:rFonts w:ascii="Arial" w:hAnsi="Arial"/>
                <w:color w:val="000000"/>
                <w:sz w:val="16"/>
              </w:rPr>
              <w:t>Richtungsbezogene Umwandlungsverluste</w:t>
            </w:r>
          </w:p>
        </w:tc>
        <w:tc>
          <w:tcPr>
            <w:tcW w:type="dxa" w:w="2041"/>
            <w:vAlign w:val="center"/>
            <w:tcMar>
              <w:top w:w="95" w:type="dxa"/>
              <w:start w:w="110" w:type="dxa"/>
              <w:bottom w:w="95" w:type="dxa"/>
              <w:end w:w="110" w:type="dxa"/>
            </w:tcMar>
          </w:tcPr>
          <w:p>
            <w:pPr>
              <w:spacing w:after="0" w:line="240" w:lineRule="auto"/>
            </w:pPr>
            <w:r>
              <w:rPr>
                <w:rFonts w:ascii="Arial" w:hAnsi="Arial"/>
                <w:color w:val="000000"/>
                <w:sz w:val="16"/>
              </w:rPr>
              <w:t>0 bis 1</w:t>
            </w:r>
          </w:p>
        </w:tc>
      </w:tr>
      <w:tr>
        <w:tc>
          <w:tcPr>
            <w:tcW w:type="dxa" w:w="2835"/>
            <w:shd w:fill="EAF0F6"/>
            <w:vAlign w:val="center"/>
            <w:tcMar>
              <w:top w:w="95" w:type="dxa"/>
              <w:start w:w="110" w:type="dxa"/>
              <w:bottom w:w="95" w:type="dxa"/>
              <w:end w:w="110" w:type="dxa"/>
            </w:tcMar>
          </w:tcPr>
          <w:p>
            <w:pPr>
              <w:spacing w:after="0" w:line="240" w:lineRule="auto"/>
            </w:pPr>
            <w:r>
              <w:rPr>
                <w:rFonts w:ascii="Arial" w:hAnsi="Arial"/>
                <w:color w:val="000000"/>
                <w:sz w:val="16"/>
              </w:rPr>
              <w:t>SoC Minimum Maximum Start</w:t>
            </w:r>
          </w:p>
        </w:tc>
        <w:tc>
          <w:tcPr>
            <w:tcW w:type="dxa" w:w="4819"/>
            <w:shd w:fill="EAF0F6"/>
            <w:vAlign w:val="center"/>
            <w:tcMar>
              <w:top w:w="95" w:type="dxa"/>
              <w:start w:w="110" w:type="dxa"/>
              <w:bottom w:w="95" w:type="dxa"/>
              <w:end w:w="110" w:type="dxa"/>
            </w:tcMar>
          </w:tcPr>
          <w:p>
            <w:pPr>
              <w:spacing w:after="0" w:line="240" w:lineRule="auto"/>
            </w:pPr>
            <w:r>
              <w:rPr>
                <w:rFonts w:ascii="Arial" w:hAnsi="Arial"/>
                <w:color w:val="000000"/>
                <w:sz w:val="16"/>
              </w:rPr>
              <w:t>Zulässiger und anfänglicher Energiezustand</w:t>
            </w:r>
          </w:p>
        </w:tc>
        <w:tc>
          <w:tcPr>
            <w:tcW w:type="dxa" w:w="2041"/>
            <w:shd w:fill="EAF0F6"/>
            <w:vAlign w:val="center"/>
            <w:tcMar>
              <w:top w:w="95" w:type="dxa"/>
              <w:start w:w="110" w:type="dxa"/>
              <w:bottom w:w="95" w:type="dxa"/>
              <w:end w:w="110" w:type="dxa"/>
            </w:tcMar>
          </w:tcPr>
          <w:p>
            <w:pPr>
              <w:spacing w:after="0" w:line="240" w:lineRule="auto"/>
            </w:pPr>
            <w:r>
              <w:rPr>
                <w:rFonts w:ascii="Arial" w:hAnsi="Arial"/>
                <w:color w:val="000000"/>
                <w:sz w:val="16"/>
              </w:rPr>
              <w:t>0 bis 100 Prozent</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Peak Reserve</w:t>
            </w:r>
          </w:p>
        </w:tc>
        <w:tc>
          <w:tcPr>
            <w:tcW w:type="dxa" w:w="4819"/>
            <w:vAlign w:val="center"/>
            <w:tcMar>
              <w:top w:w="95" w:type="dxa"/>
              <w:start w:w="110" w:type="dxa"/>
              <w:bottom w:w="95" w:type="dxa"/>
              <w:end w:w="110" w:type="dxa"/>
            </w:tcMar>
          </w:tcPr>
          <w:p>
            <w:pPr>
              <w:spacing w:after="0" w:line="240" w:lineRule="auto"/>
            </w:pPr>
            <w:r>
              <w:rPr>
                <w:rFonts w:ascii="Arial" w:hAnsi="Arial"/>
                <w:color w:val="000000"/>
                <w:sz w:val="16"/>
              </w:rPr>
              <w:t>Im Normalbetrieb zusätzlich vorgehaltene Energie</w:t>
            </w:r>
          </w:p>
        </w:tc>
        <w:tc>
          <w:tcPr>
            <w:tcW w:type="dxa" w:w="2041"/>
            <w:vAlign w:val="center"/>
            <w:tcMar>
              <w:top w:w="95" w:type="dxa"/>
              <w:start w:w="110" w:type="dxa"/>
              <w:bottom w:w="95" w:type="dxa"/>
              <w:end w:w="110" w:type="dxa"/>
            </w:tcMar>
          </w:tcPr>
          <w:p>
            <w:pPr>
              <w:spacing w:after="0" w:line="240" w:lineRule="auto"/>
            </w:pPr>
            <w:r>
              <w:rPr>
                <w:rFonts w:ascii="Arial" w:hAnsi="Arial"/>
                <w:color w:val="000000"/>
                <w:sz w:val="16"/>
              </w:rPr>
              <w:t>kWh</w:t>
            </w:r>
          </w:p>
        </w:tc>
      </w:tr>
      <w:tr>
        <w:tc>
          <w:tcPr>
            <w:tcW w:type="dxa" w:w="2835"/>
            <w:shd w:fill="EAF0F6"/>
            <w:vAlign w:val="center"/>
            <w:tcMar>
              <w:top w:w="95" w:type="dxa"/>
              <w:start w:w="110" w:type="dxa"/>
              <w:bottom w:w="95" w:type="dxa"/>
              <w:end w:w="110" w:type="dxa"/>
            </w:tcMar>
          </w:tcPr>
          <w:p>
            <w:pPr>
              <w:spacing w:after="0" w:line="240" w:lineRule="auto"/>
            </w:pPr>
            <w:r>
              <w:rPr>
                <w:rFonts w:ascii="Arial" w:hAnsi="Arial"/>
                <w:color w:val="000000"/>
                <w:sz w:val="16"/>
              </w:rPr>
              <w:t>Hilfsverbrauch</w:t>
            </w:r>
          </w:p>
        </w:tc>
        <w:tc>
          <w:tcPr>
            <w:tcW w:type="dxa" w:w="4819"/>
            <w:shd w:fill="EAF0F6"/>
            <w:vAlign w:val="center"/>
            <w:tcMar>
              <w:top w:w="95" w:type="dxa"/>
              <w:start w:w="110" w:type="dxa"/>
              <w:bottom w:w="95" w:type="dxa"/>
              <w:end w:w="110" w:type="dxa"/>
            </w:tcMar>
          </w:tcPr>
          <w:p>
            <w:pPr>
              <w:spacing w:after="0" w:line="240" w:lineRule="auto"/>
            </w:pPr>
            <w:r>
              <w:rPr>
                <w:rFonts w:ascii="Arial" w:hAnsi="Arial"/>
                <w:color w:val="000000"/>
                <w:sz w:val="16"/>
              </w:rPr>
              <w:t>Zusätzliche elektrische Standortlast</w:t>
            </w:r>
          </w:p>
        </w:tc>
        <w:tc>
          <w:tcPr>
            <w:tcW w:type="dxa" w:w="2041"/>
            <w:shd w:fill="EAF0F6"/>
            <w:vAlign w:val="center"/>
            <w:tcMar>
              <w:top w:w="95" w:type="dxa"/>
              <w:start w:w="110" w:type="dxa"/>
              <w:bottom w:w="95" w:type="dxa"/>
              <w:end w:w="110" w:type="dxa"/>
            </w:tcMar>
          </w:tcPr>
          <w:p>
            <w:pPr>
              <w:spacing w:after="0" w:line="240" w:lineRule="auto"/>
            </w:pPr>
            <w:r>
              <w:rPr>
                <w:rFonts w:ascii="Arial" w:hAnsi="Arial"/>
                <w:color w:val="000000"/>
                <w:sz w:val="16"/>
              </w:rPr>
              <w:t>kW</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Grenzverschleiß</w:t>
            </w:r>
          </w:p>
        </w:tc>
        <w:tc>
          <w:tcPr>
            <w:tcW w:type="dxa" w:w="4819"/>
            <w:vAlign w:val="center"/>
            <w:tcMar>
              <w:top w:w="95" w:type="dxa"/>
              <w:start w:w="110" w:type="dxa"/>
              <w:bottom w:w="95" w:type="dxa"/>
              <w:end w:w="110" w:type="dxa"/>
            </w:tcMar>
          </w:tcPr>
          <w:p>
            <w:pPr>
              <w:spacing w:after="0" w:line="240" w:lineRule="auto"/>
            </w:pPr>
            <w:r>
              <w:rPr>
                <w:rFonts w:ascii="Arial" w:hAnsi="Arial"/>
                <w:color w:val="000000"/>
                <w:sz w:val="16"/>
              </w:rPr>
              <w:t>Marginale Entladekosten für Verteilung und Planung</w:t>
            </w:r>
          </w:p>
        </w:tc>
        <w:tc>
          <w:tcPr>
            <w:tcW w:type="dxa" w:w="2041"/>
            <w:vAlign w:val="center"/>
            <w:tcMar>
              <w:top w:w="95" w:type="dxa"/>
              <w:start w:w="110" w:type="dxa"/>
              <w:bottom w:w="95" w:type="dxa"/>
              <w:end w:w="110" w:type="dxa"/>
            </w:tcMar>
          </w:tcPr>
          <w:p>
            <w:pPr>
              <w:spacing w:after="0" w:line="240" w:lineRule="auto"/>
            </w:pPr>
            <w:r>
              <w:rPr>
                <w:rFonts w:ascii="Arial" w:hAnsi="Arial"/>
                <w:color w:val="000000"/>
                <w:sz w:val="16"/>
              </w:rPr>
              <w:t>Euro je kWh AC Entladung</w:t>
            </w:r>
          </w:p>
        </w:tc>
      </w:tr>
      <w:tr>
        <w:tc>
          <w:tcPr>
            <w:tcW w:type="dxa" w:w="2835"/>
            <w:shd w:fill="EAF0F6"/>
            <w:vAlign w:val="center"/>
            <w:tcMar>
              <w:top w:w="95" w:type="dxa"/>
              <w:start w:w="110" w:type="dxa"/>
              <w:bottom w:w="95" w:type="dxa"/>
              <w:end w:w="110" w:type="dxa"/>
            </w:tcMar>
          </w:tcPr>
          <w:p>
            <w:pPr>
              <w:spacing w:after="0" w:line="240" w:lineRule="auto"/>
            </w:pPr>
            <w:r>
              <w:rPr>
                <w:rFonts w:ascii="Arial" w:hAnsi="Arial"/>
                <w:color w:val="000000"/>
                <w:sz w:val="16"/>
              </w:rPr>
              <w:t>Rainflow Kennlinie</w:t>
            </w:r>
          </w:p>
        </w:tc>
        <w:tc>
          <w:tcPr>
            <w:tcW w:type="dxa" w:w="4819"/>
            <w:shd w:fill="EAF0F6"/>
            <w:vAlign w:val="center"/>
            <w:tcMar>
              <w:top w:w="95" w:type="dxa"/>
              <w:start w:w="110" w:type="dxa"/>
              <w:bottom w:w="95" w:type="dxa"/>
              <w:end w:w="110" w:type="dxa"/>
            </w:tcMar>
          </w:tcPr>
          <w:p>
            <w:pPr>
              <w:spacing w:after="0" w:line="240" w:lineRule="auto"/>
            </w:pPr>
            <w:r>
              <w:rPr>
                <w:rFonts w:ascii="Arial" w:hAnsi="Arial"/>
                <w:color w:val="000000"/>
                <w:sz w:val="16"/>
              </w:rPr>
              <w:t>Optionale Punkte aus Entladetiefe und Zyklen bis EOL</w:t>
            </w:r>
          </w:p>
        </w:tc>
        <w:tc>
          <w:tcPr>
            <w:tcW w:type="dxa" w:w="2041"/>
            <w:shd w:fill="EAF0F6"/>
            <w:vAlign w:val="center"/>
            <w:tcMar>
              <w:top w:w="95" w:type="dxa"/>
              <w:start w:w="110" w:type="dxa"/>
              <w:bottom w:w="95" w:type="dxa"/>
              <w:end w:w="110" w:type="dxa"/>
            </w:tcMar>
          </w:tcPr>
          <w:p>
            <w:pPr>
              <w:spacing w:after="0" w:line="240" w:lineRule="auto"/>
            </w:pPr>
            <w:r>
              <w:rPr>
                <w:rFonts w:ascii="Arial" w:hAnsi="Arial"/>
                <w:color w:val="000000"/>
                <w:sz w:val="16"/>
              </w:rPr>
              <w:t>Herstellerdaten; leer bedeutet unbekannt</w:t>
            </w:r>
          </w:p>
        </w:tc>
      </w:tr>
    </w:tbl>
    <w:p>
      <w:pPr>
        <w:spacing w:after="0"/>
      </w:pPr>
    </w:p>
    <w:p>
      <w:pPr>
        <w:pStyle w:val="Heading2"/>
      </w:pPr>
      <w:r>
        <w:t>Harte technische Regeln</w:t>
      </w:r>
    </w:p>
    <w:p>
      <w:pPr>
        <w:pStyle w:val="ListBullet"/>
      </w:pPr>
      <w:r>
        <w:rPr>
          <w:rFonts w:ascii="Arial" w:hAnsi="Arial"/>
          <w:color w:val="000000"/>
        </w:rPr>
        <w:t>Die Flotte lädt und entlädt nicht gleichzeitig. Netzimport und Netzeinspeisung sind ebenfalls gegenseitig ausgeschlossen.</w:t>
      </w:r>
    </w:p>
    <w:p>
      <w:pPr>
        <w:pStyle w:val="ListBullet"/>
      </w:pPr>
      <w:r>
        <w:rPr>
          <w:rFonts w:ascii="Arial" w:hAnsi="Arial"/>
          <w:color w:val="000000"/>
        </w:rPr>
        <w:t>PV Abregelung kann nur aus verbleibendem PV Überschuss entstehen. Last wird nicht versteckt abgeworfen und nicht abregelbare Erzeugung nicht fiktiv vernichtet.</w:t>
      </w:r>
    </w:p>
    <w:p>
      <w:pPr>
        <w:pStyle w:val="ListBullet"/>
      </w:pPr>
      <w:r>
        <w:rPr>
          <w:rFonts w:ascii="Arial" w:hAnsi="Arial"/>
          <w:color w:val="000000"/>
        </w:rPr>
        <w:t>Technische Import und Exportgrenzen sind hart. Eine verbleibende Verletzung macht die Variante unzulässig und wird im Ergebnis ausgewiesen.</w:t>
      </w:r>
    </w:p>
    <w:p>
      <w:pPr>
        <w:pStyle w:val="ListBullet"/>
      </w:pPr>
      <w:r>
        <w:rPr>
          <w:rFonts w:ascii="Arial" w:hAnsi="Arial"/>
          <w:color w:val="000000"/>
        </w:rPr>
        <w:t>Das wirtschaftliche Peak Ziel ist davon getrennt und weich. Die Peak Reserve darf erst bei einer tatsächlichen Peak Überschreitung freigegeben werden.</w:t>
      </w:r>
    </w:p>
    <w:p>
      <w:r>
        <w:br w:type="page"/>
      </w:r>
    </w:p>
    <w:p>
      <w:pPr>
        <w:pStyle w:val="Heading1"/>
      </w:pPr>
      <w:r>
        <w:t>Betriebsziele und Planungsalgorithmus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2268"/>
            <w:shd w:fill="17365D"/>
            <w:vAlign w:val="center"/>
            <w:tcMar>
              <w:top w:w="95" w:type="dxa"/>
              <w:start w:w="110" w:type="dxa"/>
              <w:bottom w:w="95" w:type="dxa"/>
              <w:end w:w="110" w:type="dxa"/>
            </w:tcMar>
          </w:tcPr>
          <w:p>
            <w:pPr>
              <w:spacing w:after="0"/>
              <w:jc w:val="left"/>
            </w:pPr>
            <w:r>
              <w:rPr>
                <w:rFonts w:ascii="Arial" w:hAnsi="Arial"/>
                <w:b/>
                <w:color w:val="FFFFFF"/>
                <w:sz w:val="17"/>
              </w:rPr>
              <w:t>Betriebsziel</w:t>
            </w:r>
          </w:p>
        </w:tc>
        <w:tc>
          <w:tcPr>
            <w:tcW w:type="dxa" w:w="4535"/>
            <w:shd w:fill="17365D"/>
            <w:vAlign w:val="center"/>
            <w:tcMar>
              <w:top w:w="95" w:type="dxa"/>
              <w:start w:w="110" w:type="dxa"/>
              <w:bottom w:w="95" w:type="dxa"/>
              <w:end w:w="110" w:type="dxa"/>
            </w:tcMar>
          </w:tcPr>
          <w:p>
            <w:pPr>
              <w:spacing w:after="0"/>
              <w:jc w:val="left"/>
            </w:pPr>
            <w:r>
              <w:rPr>
                <w:rFonts w:ascii="Arial" w:hAnsi="Arial"/>
                <w:b/>
                <w:color w:val="FFFFFF"/>
                <w:sz w:val="17"/>
              </w:rPr>
              <w:t>Berechnung</w:t>
            </w:r>
          </w:p>
        </w:tc>
        <w:tc>
          <w:tcPr>
            <w:tcW w:type="dxa" w:w="2891"/>
            <w:shd w:fill="17365D"/>
            <w:vAlign w:val="center"/>
            <w:tcMar>
              <w:top w:w="95" w:type="dxa"/>
              <w:start w:w="110" w:type="dxa"/>
              <w:bottom w:w="95" w:type="dxa"/>
              <w:end w:w="110" w:type="dxa"/>
            </w:tcMar>
          </w:tcPr>
          <w:p>
            <w:pPr>
              <w:spacing w:after="0"/>
              <w:jc w:val="left"/>
            </w:pPr>
            <w:r>
              <w:rPr>
                <w:rFonts w:ascii="Arial" w:hAnsi="Arial"/>
                <w:b/>
                <w:color w:val="FFFFFF"/>
                <w:sz w:val="17"/>
              </w:rPr>
              <w:t>Geeignete Verwendung</w:t>
            </w:r>
          </w:p>
        </w:tc>
      </w:tr>
      <w:tr>
        <w:tc>
          <w:tcPr>
            <w:tcW w:type="dxa" w:w="2268"/>
            <w:vAlign w:val="center"/>
            <w:tcMar>
              <w:top w:w="95" w:type="dxa"/>
              <w:start w:w="110" w:type="dxa"/>
              <w:bottom w:w="95" w:type="dxa"/>
              <w:end w:w="110" w:type="dxa"/>
            </w:tcMar>
          </w:tcPr>
          <w:p>
            <w:pPr>
              <w:spacing w:after="0" w:line="240" w:lineRule="auto"/>
            </w:pPr>
            <w:r>
              <w:rPr>
                <w:rFonts w:ascii="Arial" w:hAnsi="Arial"/>
                <w:color w:val="000000"/>
                <w:sz w:val="16"/>
              </w:rPr>
              <w:t>PV Überschuss reaktiv</w:t>
            </w:r>
          </w:p>
        </w:tc>
        <w:tc>
          <w:tcPr>
            <w:tcW w:type="dxa" w:w="4535"/>
            <w:vAlign w:val="center"/>
            <w:tcMar>
              <w:top w:w="95" w:type="dxa"/>
              <w:start w:w="110" w:type="dxa"/>
              <w:bottom w:w="95" w:type="dxa"/>
              <w:end w:w="110" w:type="dxa"/>
            </w:tcMar>
          </w:tcPr>
          <w:p>
            <w:pPr>
              <w:spacing w:after="0" w:line="240" w:lineRule="auto"/>
            </w:pPr>
            <w:r>
              <w:rPr>
                <w:rFonts w:ascii="Arial" w:hAnsi="Arial"/>
                <w:color w:val="000000"/>
                <w:sz w:val="16"/>
              </w:rPr>
              <w:t>Überschuss laden und bei Nettobedarf entladen, ohne Zukunftswissen</w:t>
            </w:r>
          </w:p>
        </w:tc>
        <w:tc>
          <w:tcPr>
            <w:tcW w:type="dxa" w:w="2891"/>
            <w:vAlign w:val="center"/>
            <w:tcMar>
              <w:top w:w="95" w:type="dxa"/>
              <w:start w:w="110" w:type="dxa"/>
              <w:bottom w:w="95" w:type="dxa"/>
              <w:end w:w="110" w:type="dxa"/>
            </w:tcMar>
          </w:tcPr>
          <w:p>
            <w:pPr>
              <w:spacing w:after="0" w:line="240" w:lineRule="auto"/>
            </w:pPr>
            <w:r>
              <w:rPr>
                <w:rFonts w:ascii="Arial" w:hAnsi="Arial"/>
                <w:color w:val="000000"/>
                <w:sz w:val="16"/>
              </w:rPr>
              <w:t>Eigenverbrauch und einfache Referenzfahrweise</w:t>
            </w:r>
          </w:p>
        </w:tc>
      </w:tr>
      <w:tr>
        <w:tc>
          <w:tcPr>
            <w:tcW w:type="dxa" w:w="2268"/>
            <w:shd w:fill="EAF0F6"/>
            <w:vAlign w:val="center"/>
            <w:tcMar>
              <w:top w:w="95" w:type="dxa"/>
              <w:start w:w="110" w:type="dxa"/>
              <w:bottom w:w="95" w:type="dxa"/>
              <w:end w:w="110" w:type="dxa"/>
            </w:tcMar>
          </w:tcPr>
          <w:p>
            <w:pPr>
              <w:spacing w:after="0" w:line="240" w:lineRule="auto"/>
            </w:pPr>
            <w:r>
              <w:rPr>
                <w:rFonts w:ascii="Arial" w:hAnsi="Arial"/>
                <w:color w:val="000000"/>
                <w:sz w:val="16"/>
              </w:rPr>
              <w:t>Peak Shaving</w:t>
            </w:r>
          </w:p>
        </w:tc>
        <w:tc>
          <w:tcPr>
            <w:tcW w:type="dxa" w:w="4535"/>
            <w:shd w:fill="EAF0F6"/>
            <w:vAlign w:val="center"/>
            <w:tcMar>
              <w:top w:w="95" w:type="dxa"/>
              <w:start w:w="110" w:type="dxa"/>
              <w:bottom w:w="95" w:type="dxa"/>
              <w:end w:w="110" w:type="dxa"/>
            </w:tcMar>
          </w:tcPr>
          <w:p>
            <w:pPr>
              <w:spacing w:after="0" w:line="240" w:lineRule="auto"/>
            </w:pPr>
            <w:r>
              <w:rPr>
                <w:rFonts w:ascii="Arial" w:hAnsi="Arial"/>
                <w:color w:val="000000"/>
                <w:sz w:val="16"/>
              </w:rPr>
              <w:t>Am Netzanschlusspunkt gegen den wirtschaftlichen Peak Zielwert</w:t>
            </w:r>
          </w:p>
        </w:tc>
        <w:tc>
          <w:tcPr>
            <w:tcW w:type="dxa" w:w="2891"/>
            <w:shd w:fill="EAF0F6"/>
            <w:vAlign w:val="center"/>
            <w:tcMar>
              <w:top w:w="95" w:type="dxa"/>
              <w:start w:w="110" w:type="dxa"/>
              <w:bottom w:w="95" w:type="dxa"/>
              <w:end w:w="110" w:type="dxa"/>
            </w:tcMar>
          </w:tcPr>
          <w:p>
            <w:pPr>
              <w:spacing w:after="0" w:line="240" w:lineRule="auto"/>
            </w:pPr>
            <w:r>
              <w:rPr>
                <w:rFonts w:ascii="Arial" w:hAnsi="Arial"/>
                <w:color w:val="000000"/>
                <w:sz w:val="16"/>
              </w:rPr>
              <w:t>Leistungspreis und Lastspitzen</w:t>
            </w:r>
          </w:p>
        </w:tc>
      </w:tr>
      <w:tr>
        <w:tc>
          <w:tcPr>
            <w:tcW w:type="dxa" w:w="2268"/>
            <w:vAlign w:val="center"/>
            <w:tcMar>
              <w:top w:w="95" w:type="dxa"/>
              <w:start w:w="110" w:type="dxa"/>
              <w:bottom w:w="95" w:type="dxa"/>
              <w:end w:w="110" w:type="dxa"/>
            </w:tcMar>
          </w:tcPr>
          <w:p>
            <w:pPr>
              <w:spacing w:after="0" w:line="240" w:lineRule="auto"/>
            </w:pPr>
            <w:r>
              <w:rPr>
                <w:rFonts w:ascii="Arial" w:hAnsi="Arial"/>
                <w:color w:val="000000"/>
                <w:sz w:val="16"/>
              </w:rPr>
              <w:t>PV Prognoseplanung</w:t>
            </w:r>
          </w:p>
        </w:tc>
        <w:tc>
          <w:tcPr>
            <w:tcW w:type="dxa" w:w="4535"/>
            <w:vAlign w:val="center"/>
            <w:tcMar>
              <w:top w:w="95" w:type="dxa"/>
              <w:start w:w="110" w:type="dxa"/>
              <w:bottom w:w="95" w:type="dxa"/>
              <w:end w:w="110" w:type="dxa"/>
            </w:tcMar>
          </w:tcPr>
          <w:p>
            <w:pPr>
              <w:spacing w:after="0" w:line="240" w:lineRule="auto"/>
            </w:pPr>
            <w:r>
              <w:rPr>
                <w:rFonts w:ascii="Arial" w:hAnsi="Arial"/>
                <w:color w:val="000000"/>
                <w:sz w:val="16"/>
              </w:rPr>
              <w:t>Zuerst Netzbezug, dann PV Abregelung, danach gespeicherte Energie minimieren</w:t>
            </w:r>
          </w:p>
        </w:tc>
        <w:tc>
          <w:tcPr>
            <w:tcW w:type="dxa" w:w="2891"/>
            <w:vAlign w:val="center"/>
            <w:tcMar>
              <w:top w:w="95" w:type="dxa"/>
              <w:start w:w="110" w:type="dxa"/>
              <w:bottom w:w="95" w:type="dxa"/>
              <w:end w:w="110" w:type="dxa"/>
            </w:tcMar>
          </w:tcPr>
          <w:p>
            <w:pPr>
              <w:spacing w:after="0" w:line="240" w:lineRule="auto"/>
            </w:pPr>
            <w:r>
              <w:rPr>
                <w:rFonts w:ascii="Arial" w:hAnsi="Arial"/>
                <w:color w:val="000000"/>
                <w:sz w:val="16"/>
              </w:rPr>
              <w:t>Vorausschauende PV Nutzung</w:t>
            </w:r>
          </w:p>
        </w:tc>
      </w:tr>
      <w:tr>
        <w:tc>
          <w:tcPr>
            <w:tcW w:type="dxa" w:w="2268"/>
            <w:shd w:fill="EAF0F6"/>
            <w:vAlign w:val="center"/>
            <w:tcMar>
              <w:top w:w="95" w:type="dxa"/>
              <w:start w:w="110" w:type="dxa"/>
              <w:bottom w:w="95" w:type="dxa"/>
              <w:end w:w="110" w:type="dxa"/>
            </w:tcMar>
          </w:tcPr>
          <w:p>
            <w:pPr>
              <w:spacing w:after="0" w:line="240" w:lineRule="auto"/>
            </w:pPr>
            <w:r>
              <w:rPr>
                <w:rFonts w:ascii="Arial" w:hAnsi="Arial"/>
                <w:color w:val="000000"/>
                <w:sz w:val="16"/>
              </w:rPr>
              <w:t>Preisoptimierung Arbitrage</w:t>
            </w:r>
          </w:p>
        </w:tc>
        <w:tc>
          <w:tcPr>
            <w:tcW w:type="dxa" w:w="4535"/>
            <w:shd w:fill="EAF0F6"/>
            <w:vAlign w:val="center"/>
            <w:tcMar>
              <w:top w:w="95" w:type="dxa"/>
              <w:start w:w="110" w:type="dxa"/>
              <w:bottom w:w="95" w:type="dxa"/>
              <w:end w:w="110" w:type="dxa"/>
            </w:tcMar>
          </w:tcPr>
          <w:p>
            <w:pPr>
              <w:spacing w:after="0" w:line="240" w:lineRule="auto"/>
            </w:pPr>
            <w:r>
              <w:rPr>
                <w:rFonts w:ascii="Arial" w:hAnsi="Arial"/>
                <w:color w:val="000000"/>
                <w:sz w:val="16"/>
              </w:rPr>
              <w:t>Arbeits, Leistungs, Export, Verschleiß und Endenergiekosten minimieren</w:t>
            </w:r>
          </w:p>
        </w:tc>
        <w:tc>
          <w:tcPr>
            <w:tcW w:type="dxa" w:w="2891"/>
            <w:shd w:fill="EAF0F6"/>
            <w:vAlign w:val="center"/>
            <w:tcMar>
              <w:top w:w="95" w:type="dxa"/>
              <w:start w:w="110" w:type="dxa"/>
              <w:bottom w:w="95" w:type="dxa"/>
              <w:end w:w="110" w:type="dxa"/>
            </w:tcMar>
          </w:tcPr>
          <w:p>
            <w:pPr>
              <w:spacing w:after="0" w:line="240" w:lineRule="auto"/>
            </w:pPr>
            <w:r>
              <w:rPr>
                <w:rFonts w:ascii="Arial" w:hAnsi="Arial"/>
                <w:color w:val="000000"/>
                <w:sz w:val="16"/>
              </w:rPr>
              <w:t>Zeitvariable Preise mit getrennten Freigaben</w:t>
            </w:r>
          </w:p>
        </w:tc>
      </w:tr>
      <w:tr>
        <w:tc>
          <w:tcPr>
            <w:tcW w:type="dxa" w:w="2268"/>
            <w:vAlign w:val="center"/>
            <w:tcMar>
              <w:top w:w="95" w:type="dxa"/>
              <w:start w:w="110" w:type="dxa"/>
              <w:bottom w:w="95" w:type="dxa"/>
              <w:end w:w="110" w:type="dxa"/>
            </w:tcMar>
          </w:tcPr>
          <w:p>
            <w:pPr>
              <w:spacing w:after="0" w:line="240" w:lineRule="auto"/>
            </w:pPr>
            <w:r>
              <w:rPr>
                <w:rFonts w:ascii="Arial" w:hAnsi="Arial"/>
                <w:color w:val="000000"/>
                <w:sz w:val="16"/>
              </w:rPr>
              <w:t>Multi Use</w:t>
            </w:r>
          </w:p>
        </w:tc>
        <w:tc>
          <w:tcPr>
            <w:tcW w:type="dxa" w:w="4535"/>
            <w:vAlign w:val="center"/>
            <w:tcMar>
              <w:top w:w="95" w:type="dxa"/>
              <w:start w:w="110" w:type="dxa"/>
              <w:bottom w:w="95" w:type="dxa"/>
              <w:end w:w="110" w:type="dxa"/>
            </w:tcMar>
          </w:tcPr>
          <w:p>
            <w:pPr>
              <w:spacing w:after="0" w:line="240" w:lineRule="auto"/>
            </w:pPr>
            <w:r>
              <w:rPr>
                <w:rFonts w:ascii="Arial" w:hAnsi="Arial"/>
                <w:color w:val="000000"/>
                <w:sz w:val="16"/>
              </w:rPr>
              <w:t>Zuerst größte Peak Verletzung, danach wirtschaftliche Kosten minimieren</w:t>
            </w:r>
          </w:p>
        </w:tc>
        <w:tc>
          <w:tcPr>
            <w:tcW w:type="dxa" w:w="2891"/>
            <w:vAlign w:val="center"/>
            <w:tcMar>
              <w:top w:w="95" w:type="dxa"/>
              <w:start w:w="110" w:type="dxa"/>
              <w:bottom w:w="95" w:type="dxa"/>
              <w:end w:w="110" w:type="dxa"/>
            </w:tcMar>
          </w:tcPr>
          <w:p>
            <w:pPr>
              <w:spacing w:after="0" w:line="240" w:lineRule="auto"/>
            </w:pPr>
            <w:r>
              <w:rPr>
                <w:rFonts w:ascii="Arial" w:hAnsi="Arial"/>
                <w:color w:val="000000"/>
                <w:sz w:val="16"/>
              </w:rPr>
              <w:t>Peak Schutz mit nachrangiger Marktnutzung</w:t>
            </w:r>
          </w:p>
        </w:tc>
      </w:tr>
    </w:tbl>
    <w:p>
      <w:pPr>
        <w:spacing w:after="0"/>
      </w:pPr>
    </w:p>
    <w:p>
      <w:pPr>
        <w:pStyle w:val="Heading2"/>
      </w:pPr>
      <w:r>
        <w:t>Verteilung innerhalb der Flotte</w:t>
      </w:r>
    </w:p>
    <w:p>
      <w:r>
        <w:rPr>
          <w:rFonts w:ascii="Arial" w:hAnsi="Arial"/>
          <w:color w:val="000000"/>
        </w:rPr>
        <w:t>Betriebsziel und Verteilung sind getrennte Entscheidungen. Vor jeder Zuteilung begrenzt EPOS Plan jede Einheit durch Verfügbarkeit, Leistung, SoC, Wirkungsgrad und Reserve. Nicht genutzte Restleistung wird deterministisch neu verteilt.</w:t>
      </w:r>
    </w:p>
    <w:p>
      <w:pPr>
        <w:pStyle w:val="ListBullet"/>
      </w:pPr>
      <w:r>
        <w:rPr>
          <w:rFonts w:ascii="Arial" w:hAnsi="Arial"/>
          <w:color w:val="000000"/>
        </w:rPr>
        <w:t>Nach verfügbarer Kapazität verteilt Laden nach freier und Entladen nach nutzbarer Energie.</w:t>
      </w:r>
    </w:p>
    <w:p>
      <w:pPr>
        <w:pStyle w:val="ListBullet"/>
      </w:pPr>
      <w:r>
        <w:rPr>
          <w:rFonts w:ascii="Arial" w:hAnsi="Arial"/>
          <w:color w:val="000000"/>
        </w:rPr>
        <w:t>Kaskade verwendet die stabile Reihenfolge der konfigurierten Einheiten.</w:t>
      </w:r>
    </w:p>
    <w:p>
      <w:pPr>
        <w:pStyle w:val="ListBullet"/>
      </w:pPr>
      <w:r>
        <w:rPr>
          <w:rFonts w:ascii="Arial" w:hAnsi="Arial"/>
          <w:color w:val="000000"/>
        </w:rPr>
        <w:t>Nach Grenzkosten und Wirkungsgrad bevorzugt beim Entladen geringe Grenzverschleißkosten und gute Wirkungsgrade; beim Laden entscheidet der Wirkungsgrad.</w:t>
      </w:r>
    </w:p>
    <w:p>
      <w:pPr>
        <w:pStyle w:val="Heading2"/>
      </w:pPr>
      <w:r>
        <w:t>Rollierende Planung mit MILP</w:t>
      </w:r>
    </w:p>
    <w:p>
      <w:r>
        <w:rPr>
          <w:rFonts w:ascii="Arial" w:hAnsi="Arial"/>
          <w:color w:val="000000"/>
        </w:rPr>
        <w:t>Planende Ziele verwenden ein gemischt ganzzahliges lineares Modell. Es enthält Energie, Laden und Entladen je Einheit sowie Netzimport, Export, PV Abregelung und getrennte Erlöse. Binärvariablen sichern die Richtungen. Der Plan gilt nur für den gewählten Horizont. Nach der eingestellten Zahl von Intervallen wird mit dem tatsächlich erreichten Energiezustand neu geplant.</w:t>
      </w:r>
    </w:p>
    <w:p>
      <w:r>
        <w:rPr>
          <w:rFonts w:ascii="Arial" w:hAnsi="Arial"/>
          <w:color w:val="000000"/>
        </w:rPr>
        <w:t>Der Simulator prüft Solverstatus, Zeitachse, Einheitenzahl, Werte und Flottenrichtung, bevor er den Plan ausführt. Ein zulässiger Zeitlimitstand bleibt als zulässig unterscheidbar; Unzulässigkeit und Fehler werden nicht als Optimum ausgegeben. Ein reaktiver Fallback wird nur verwendet, wenn er ausdrücklich freigegeben ist, und wird mit Grund und Intervallzahl ausgewiesen.</w:t>
      </w:r>
    </w:p>
    <w:p>
      <w:pPr>
        <w:pStyle w:val="Heading2"/>
      </w:pPr>
      <w:r>
        <w:t>Informationsstand</w:t>
      </w:r>
    </w:p>
    <w:p>
      <w:r>
        <w:rPr>
          <w:rFonts w:ascii="Arial" w:hAnsi="Arial"/>
          <w:color w:val="000000"/>
        </w:rPr>
        <w:t>Archivierte Snapshots müssen zum Entscheidungszeitpunkt bereits bekannt gewesen sein und den gesamten Horizont lückenlos abdecken. Idealwissen verwendet die tatsächliche Reihe als Oracle und wird als optimistische Vergleichsgrenze gekennzeichnet. Es ist kein historisch erreichbarer Fahrplan.</w:t>
      </w:r>
    </w:p>
    <w:p>
      <w:r>
        <w:br w:type="page"/>
      </w:r>
    </w:p>
    <w:p>
      <w:pPr>
        <w:pStyle w:val="Heading1"/>
      </w:pPr>
      <w:r>
        <w:t>Datenquellen Kosten und Mehrjahre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1984"/>
            <w:shd w:fill="17365D"/>
            <w:vAlign w:val="center"/>
            <w:tcMar>
              <w:top w:w="95" w:type="dxa"/>
              <w:start w:w="110" w:type="dxa"/>
              <w:bottom w:w="95" w:type="dxa"/>
              <w:end w:w="110" w:type="dxa"/>
            </w:tcMar>
          </w:tcPr>
          <w:p>
            <w:pPr>
              <w:spacing w:after="0"/>
              <w:jc w:val="left"/>
            </w:pPr>
            <w:r>
              <w:rPr>
                <w:rFonts w:ascii="Arial" w:hAnsi="Arial"/>
                <w:b/>
                <w:color w:val="FFFFFF"/>
                <w:sz w:val="17"/>
              </w:rPr>
              <w:t>Rolle</w:t>
            </w:r>
          </w:p>
        </w:tc>
        <w:tc>
          <w:tcPr>
            <w:tcW w:type="dxa" w:w="3118"/>
            <w:shd w:fill="17365D"/>
            <w:vAlign w:val="center"/>
            <w:tcMar>
              <w:top w:w="95" w:type="dxa"/>
              <w:start w:w="110" w:type="dxa"/>
              <w:bottom w:w="95" w:type="dxa"/>
              <w:end w:w="110" w:type="dxa"/>
            </w:tcMar>
          </w:tcPr>
          <w:p>
            <w:pPr>
              <w:spacing w:after="0"/>
              <w:jc w:val="left"/>
            </w:pPr>
            <w:r>
              <w:rPr>
                <w:rFonts w:ascii="Arial" w:hAnsi="Arial"/>
                <w:b/>
                <w:color w:val="FFFFFF"/>
                <w:sz w:val="17"/>
              </w:rPr>
              <w:t>Wählbare Quelle</w:t>
            </w:r>
          </w:p>
        </w:tc>
        <w:tc>
          <w:tcPr>
            <w:tcW w:type="dxa" w:w="4592"/>
            <w:shd w:fill="17365D"/>
            <w:vAlign w:val="center"/>
            <w:tcMar>
              <w:top w:w="95" w:type="dxa"/>
              <w:start w:w="110" w:type="dxa"/>
              <w:bottom w:w="95" w:type="dxa"/>
              <w:end w:w="110" w:type="dxa"/>
            </w:tcMar>
          </w:tcPr>
          <w:p>
            <w:pPr>
              <w:spacing w:after="0"/>
              <w:jc w:val="left"/>
            </w:pPr>
            <w:r>
              <w:rPr>
                <w:rFonts w:ascii="Arial" w:hAnsi="Arial"/>
                <w:b/>
                <w:color w:val="FFFFFF"/>
                <w:sz w:val="17"/>
              </w:rPr>
              <w:t>Fachliche Bedeutung</w:t>
            </w:r>
          </w:p>
        </w:tc>
      </w:tr>
      <w:tr>
        <w:tc>
          <w:tcPr>
            <w:tcW w:type="dxa" w:w="1984"/>
            <w:vAlign w:val="center"/>
            <w:tcMar>
              <w:top w:w="95" w:type="dxa"/>
              <w:start w:w="110" w:type="dxa"/>
              <w:bottom w:w="95" w:type="dxa"/>
              <w:end w:w="110" w:type="dxa"/>
            </w:tcMar>
          </w:tcPr>
          <w:p>
            <w:pPr>
              <w:spacing w:after="0" w:line="240" w:lineRule="auto"/>
            </w:pPr>
            <w:r>
              <w:rPr>
                <w:rFonts w:ascii="Arial" w:hAnsi="Arial"/>
                <w:color w:val="000000"/>
                <w:sz w:val="16"/>
              </w:rPr>
              <w:t>Bruttolast</w:t>
            </w:r>
          </w:p>
        </w:tc>
        <w:tc>
          <w:tcPr>
            <w:tcW w:type="dxa" w:w="3118"/>
            <w:vAlign w:val="center"/>
            <w:tcMar>
              <w:top w:w="95" w:type="dxa"/>
              <w:start w:w="110" w:type="dxa"/>
              <w:bottom w:w="95" w:type="dxa"/>
              <w:end w:w="110" w:type="dxa"/>
            </w:tcMar>
          </w:tcPr>
          <w:p>
            <w:pPr>
              <w:spacing w:after="0" w:line="240" w:lineRule="auto"/>
            </w:pPr>
            <w:r>
              <w:rPr>
                <w:rFonts w:ascii="Arial" w:hAnsi="Arial"/>
                <w:color w:val="000000"/>
                <w:sz w:val="16"/>
              </w:rPr>
              <w:t>EPOS Strombedarf oder CSV</w:t>
            </w:r>
          </w:p>
        </w:tc>
        <w:tc>
          <w:tcPr>
            <w:tcW w:type="dxa" w:w="4592"/>
            <w:vAlign w:val="center"/>
            <w:tcMar>
              <w:top w:w="95" w:type="dxa"/>
              <w:start w:w="110" w:type="dxa"/>
              <w:bottom w:w="95" w:type="dxa"/>
              <w:end w:w="110" w:type="dxa"/>
            </w:tcMar>
          </w:tcPr>
          <w:p>
            <w:pPr>
              <w:spacing w:after="0" w:line="240" w:lineRule="auto"/>
            </w:pPr>
            <w:r>
              <w:rPr>
                <w:rFonts w:ascii="Arial" w:hAnsi="Arial"/>
                <w:color w:val="000000"/>
                <w:sz w:val="16"/>
              </w:rPr>
              <w:t>Standortlast vor Speicherwirkung</w:t>
            </w:r>
          </w:p>
        </w:tc>
      </w:tr>
      <w:tr>
        <w:tc>
          <w:tcPr>
            <w:tcW w:type="dxa" w:w="1984"/>
            <w:shd w:fill="EAF0F6"/>
            <w:vAlign w:val="center"/>
            <w:tcMar>
              <w:top w:w="95" w:type="dxa"/>
              <w:start w:w="110" w:type="dxa"/>
              <w:bottom w:w="95" w:type="dxa"/>
              <w:end w:w="110" w:type="dxa"/>
            </w:tcMar>
          </w:tcPr>
          <w:p>
            <w:pPr>
              <w:spacing w:after="0" w:line="240" w:lineRule="auto"/>
            </w:pPr>
            <w:r>
              <w:rPr>
                <w:rFonts w:ascii="Arial" w:hAnsi="Arial"/>
                <w:color w:val="000000"/>
                <w:sz w:val="16"/>
              </w:rPr>
              <w:t>PV Leistung</w:t>
            </w:r>
          </w:p>
        </w:tc>
        <w:tc>
          <w:tcPr>
            <w:tcW w:type="dxa" w:w="3118"/>
            <w:shd w:fill="EAF0F6"/>
            <w:vAlign w:val="center"/>
            <w:tcMar>
              <w:top w:w="95" w:type="dxa"/>
              <w:start w:w="110" w:type="dxa"/>
              <w:bottom w:w="95" w:type="dxa"/>
              <w:end w:w="110" w:type="dxa"/>
            </w:tcMar>
          </w:tcPr>
          <w:p>
            <w:pPr>
              <w:spacing w:after="0" w:line="240" w:lineRule="auto"/>
            </w:pPr>
            <w:r>
              <w:rPr>
                <w:rFonts w:ascii="Arial" w:hAnsi="Arial"/>
                <w:color w:val="000000"/>
                <w:sz w:val="16"/>
              </w:rPr>
              <w:t>EPOS PV Simulation, CSV oder keine</w:t>
            </w:r>
          </w:p>
        </w:tc>
        <w:tc>
          <w:tcPr>
            <w:tcW w:type="dxa" w:w="4592"/>
            <w:shd w:fill="EAF0F6"/>
            <w:vAlign w:val="center"/>
            <w:tcMar>
              <w:top w:w="95" w:type="dxa"/>
              <w:start w:w="110" w:type="dxa"/>
              <w:bottom w:w="95" w:type="dxa"/>
              <w:end w:w="110" w:type="dxa"/>
            </w:tcMar>
          </w:tcPr>
          <w:p>
            <w:pPr>
              <w:spacing w:after="0" w:line="240" w:lineRule="auto"/>
            </w:pPr>
            <w:r>
              <w:rPr>
                <w:rFonts w:ascii="Arial" w:hAnsi="Arial"/>
                <w:color w:val="000000"/>
                <w:sz w:val="16"/>
              </w:rPr>
              <w:t>Verfügbare AC Leistung vor Abregelung</w:t>
            </w:r>
          </w:p>
        </w:tc>
      </w:tr>
      <w:tr>
        <w:tc>
          <w:tcPr>
            <w:tcW w:type="dxa" w:w="1984"/>
            <w:vAlign w:val="center"/>
            <w:tcMar>
              <w:top w:w="95" w:type="dxa"/>
              <w:start w:w="110" w:type="dxa"/>
              <w:bottom w:w="95" w:type="dxa"/>
              <w:end w:w="110" w:type="dxa"/>
            </w:tcMar>
          </w:tcPr>
          <w:p>
            <w:pPr>
              <w:spacing w:after="0" w:line="240" w:lineRule="auto"/>
            </w:pPr>
            <w:r>
              <w:rPr>
                <w:rFonts w:ascii="Arial" w:hAnsi="Arial"/>
                <w:color w:val="000000"/>
                <w:sz w:val="16"/>
              </w:rPr>
              <w:t>Bezugspreis</w:t>
            </w:r>
          </w:p>
        </w:tc>
        <w:tc>
          <w:tcPr>
            <w:tcW w:type="dxa" w:w="3118"/>
            <w:vAlign w:val="center"/>
            <w:tcMar>
              <w:top w:w="95" w:type="dxa"/>
              <w:start w:w="110" w:type="dxa"/>
              <w:bottom w:w="95" w:type="dxa"/>
              <w:end w:w="110" w:type="dxa"/>
            </w:tcMar>
          </w:tcPr>
          <w:p>
            <w:pPr>
              <w:spacing w:after="0" w:line="240" w:lineRule="auto"/>
            </w:pPr>
            <w:r>
              <w:rPr>
                <w:rFonts w:ascii="Arial" w:hAnsi="Arial"/>
                <w:color w:val="000000"/>
                <w:sz w:val="16"/>
              </w:rPr>
              <w:t>EPOS, gespeichertes Preisprofil oder CSV</w:t>
            </w:r>
          </w:p>
        </w:tc>
        <w:tc>
          <w:tcPr>
            <w:tcW w:type="dxa" w:w="4592"/>
            <w:vAlign w:val="center"/>
            <w:tcMar>
              <w:top w:w="95" w:type="dxa"/>
              <w:start w:w="110" w:type="dxa"/>
              <w:bottom w:w="95" w:type="dxa"/>
              <w:end w:w="110" w:type="dxa"/>
            </w:tcMar>
          </w:tcPr>
          <w:p>
            <w:pPr>
              <w:spacing w:after="0" w:line="240" w:lineRule="auto"/>
            </w:pPr>
            <w:r>
              <w:rPr>
                <w:rFonts w:ascii="Arial" w:hAnsi="Arial"/>
                <w:color w:val="000000"/>
                <w:sz w:val="16"/>
              </w:rPr>
              <w:t>Negative Werte sind zulässig</w:t>
            </w:r>
          </w:p>
        </w:tc>
      </w:tr>
      <w:tr>
        <w:tc>
          <w:tcPr>
            <w:tcW w:type="dxa" w:w="1984"/>
            <w:shd w:fill="EAF0F6"/>
            <w:vAlign w:val="center"/>
            <w:tcMar>
              <w:top w:w="95" w:type="dxa"/>
              <w:start w:w="110" w:type="dxa"/>
              <w:bottom w:w="95" w:type="dxa"/>
              <w:end w:w="110" w:type="dxa"/>
            </w:tcMar>
          </w:tcPr>
          <w:p>
            <w:pPr>
              <w:spacing w:after="0" w:line="240" w:lineRule="auto"/>
            </w:pPr>
            <w:r>
              <w:rPr>
                <w:rFonts w:ascii="Arial" w:hAnsi="Arial"/>
                <w:color w:val="000000"/>
                <w:sz w:val="16"/>
              </w:rPr>
              <w:t>PV und BHKW Verkauf</w:t>
            </w:r>
          </w:p>
        </w:tc>
        <w:tc>
          <w:tcPr>
            <w:tcW w:type="dxa" w:w="3118"/>
            <w:shd w:fill="EAF0F6"/>
            <w:vAlign w:val="center"/>
            <w:tcMar>
              <w:top w:w="95" w:type="dxa"/>
              <w:start w:w="110" w:type="dxa"/>
              <w:bottom w:w="95" w:type="dxa"/>
              <w:end w:w="110" w:type="dxa"/>
            </w:tcMar>
          </w:tcPr>
          <w:p>
            <w:pPr>
              <w:spacing w:after="0" w:line="240" w:lineRule="auto"/>
            </w:pPr>
            <w:r>
              <w:rPr>
                <w:rFonts w:ascii="Arial" w:hAnsi="Arial"/>
                <w:color w:val="000000"/>
                <w:sz w:val="16"/>
              </w:rPr>
              <w:t>Vorbereiteter Projektlauf</w:t>
            </w:r>
          </w:p>
        </w:tc>
        <w:tc>
          <w:tcPr>
            <w:tcW w:type="dxa" w:w="4592"/>
            <w:shd w:fill="EAF0F6"/>
            <w:vAlign w:val="center"/>
            <w:tcMar>
              <w:top w:w="95" w:type="dxa"/>
              <w:start w:w="110" w:type="dxa"/>
              <w:bottom w:w="95" w:type="dxa"/>
              <w:end w:w="110" w:type="dxa"/>
            </w:tcMar>
          </w:tcPr>
          <w:p>
            <w:pPr>
              <w:spacing w:after="0" w:line="240" w:lineRule="auto"/>
            </w:pPr>
            <w:r>
              <w:rPr>
                <w:rFonts w:ascii="Arial" w:hAnsi="Arial"/>
                <w:color w:val="000000"/>
                <w:sz w:val="16"/>
              </w:rPr>
              <w:t>Getrennte Vergütungen je Erzeuger</w:t>
            </w:r>
          </w:p>
        </w:tc>
      </w:tr>
      <w:tr>
        <w:tc>
          <w:tcPr>
            <w:tcW w:type="dxa" w:w="1984"/>
            <w:vAlign w:val="center"/>
            <w:tcMar>
              <w:top w:w="95" w:type="dxa"/>
              <w:start w:w="110" w:type="dxa"/>
              <w:bottom w:w="95" w:type="dxa"/>
              <w:end w:w="110" w:type="dxa"/>
            </w:tcMar>
          </w:tcPr>
          <w:p>
            <w:pPr>
              <w:spacing w:after="0" w:line="240" w:lineRule="auto"/>
            </w:pPr>
            <w:r>
              <w:rPr>
                <w:rFonts w:ascii="Arial" w:hAnsi="Arial"/>
                <w:color w:val="000000"/>
                <w:sz w:val="16"/>
              </w:rPr>
              <w:t>Batterieverkauf</w:t>
            </w:r>
          </w:p>
        </w:tc>
        <w:tc>
          <w:tcPr>
            <w:tcW w:type="dxa" w:w="3118"/>
            <w:vAlign w:val="center"/>
            <w:tcMar>
              <w:top w:w="95" w:type="dxa"/>
              <w:start w:w="110" w:type="dxa"/>
              <w:bottom w:w="95" w:type="dxa"/>
              <w:end w:w="110" w:type="dxa"/>
            </w:tcMar>
          </w:tcPr>
          <w:p>
            <w:pPr>
              <w:spacing w:after="0" w:line="240" w:lineRule="auto"/>
            </w:pPr>
            <w:r>
              <w:rPr>
                <w:rFonts w:ascii="Arial" w:hAnsi="Arial"/>
                <w:color w:val="000000"/>
                <w:sz w:val="16"/>
              </w:rPr>
              <w:t>Eigener Flottentarif</w:t>
            </w:r>
          </w:p>
        </w:tc>
        <w:tc>
          <w:tcPr>
            <w:tcW w:type="dxa" w:w="4592"/>
            <w:vAlign w:val="center"/>
            <w:tcMar>
              <w:top w:w="95" w:type="dxa"/>
              <w:start w:w="110" w:type="dxa"/>
              <w:bottom w:w="95" w:type="dxa"/>
              <w:end w:w="110" w:type="dxa"/>
            </w:tcMar>
          </w:tcPr>
          <w:p>
            <w:pPr>
              <w:spacing w:after="0" w:line="240" w:lineRule="auto"/>
            </w:pPr>
            <w:r>
              <w:rPr>
                <w:rFonts w:ascii="Arial" w:hAnsi="Arial"/>
                <w:color w:val="000000"/>
                <w:sz w:val="16"/>
              </w:rPr>
              <w:t>Pflicht bei freigegebenem Batterieexport</w:t>
            </w:r>
          </w:p>
        </w:tc>
      </w:tr>
    </w:tbl>
    <w:p>
      <w:pPr>
        <w:spacing w:after="0"/>
      </w:pPr>
    </w:p>
    <w:p>
      <w:pPr>
        <w:pStyle w:val="Heading2"/>
      </w:pPr>
      <w:r>
        <w:t>CSV und Kalender</w:t>
      </w:r>
    </w:p>
    <w:p>
      <w:r>
        <w:rPr>
          <w:rFonts w:ascii="Arial" w:hAnsi="Arial"/>
          <w:color w:val="000000"/>
        </w:rPr>
        <w:t>Der bestehende Import ordnet Zeit und Wertspalten zu, verarbeitet Zeitzone, Intervalllage, Kodierung und Einheiten und normalisiert 15 oder 60 Minuten Werte auf Viertelstunden. Lücken, doppelte UTC Zeitstempel und nicht endliche Werte werden abgewiesen. Wird eine CSV Achse mit EPOS Modellwerten gemischt, muss der Nutzer die Kalenderzuordnung ausdrücklich bestätigen.</w:t>
      </w:r>
    </w:p>
    <w:p>
      <w:pPr>
        <w:pStyle w:val="Heading2"/>
      </w:pPr>
      <w:r>
        <w:t>Kosten je Einheit</w:t>
      </w:r>
    </w:p>
    <w:p>
      <w:r>
        <w:rPr>
          <w:rFonts w:ascii="Arial" w:hAnsi="Arial"/>
          <w:color w:val="000000"/>
        </w:rPr>
        <w:t>Spezifische Kosten aus dem Kostenmodul gelten für Einheiten ohne eigene Kostenvorgabe. Alternativ kann eine Einheit ihre vollständigen Kosten überschreiben. CAPEX umfasst Festbetrag, Euro je kWh und Euro je kW auf das Maximum von Lade und Entladeleistung. OPEX kann fest, kapazitätsbezogen, leistungsbezogen und als Durchsatzkosten je kWh AC Entladung eingehen. Ersatzkosten, Ersatzintervall und Restwert werden separat gepflegt.</w:t>
      </w:r>
    </w:p>
    <w:p>
      <w:r>
        <w:rPr>
          <w:rFonts w:ascii="Arial" w:hAnsi="Arial"/>
          <w:color w:val="000000"/>
        </w:rPr>
        <w:t>Referenz und Variante verwenden denselben Standortdatensatz und Tarif. Der jährliche Cashflow ist die Kostenersparnis gegenüber der Referenz abzüglich OPEX, Durchsatz und Ersatz zuzüglich bewerteter Endenergieänderung. Der Kapitalwert zieht CAPEX ab, diskontiert die Jahrescashflows und addiert den diskontierten Restwert.</w:t>
      </w:r>
    </w:p>
    <w:p>
      <w:pPr>
        <w:pStyle w:val="Heading2"/>
      </w:pPr>
      <w:r>
        <w:t>Endenergie und Projektjahre</w:t>
      </w:r>
    </w:p>
    <w:p>
      <w:pPr>
        <w:pStyle w:val="ListBullet"/>
      </w:pPr>
      <w:r>
        <w:rPr>
          <w:rFonts w:ascii="Arial" w:hAnsi="Arial"/>
          <w:color w:val="000000"/>
        </w:rPr>
        <w:t>Ohne harte Endenergiegleichheit ist ein expliziter Ausgleichswert erforderlich. So wird Anfangsenergie nicht als kostenloser Ertrag bewertet.</w:t>
      </w:r>
    </w:p>
    <w:p>
      <w:pPr>
        <w:pStyle w:val="ListBullet"/>
      </w:pPr>
      <w:r>
        <w:rPr>
          <w:rFonts w:ascii="Arial" w:hAnsi="Arial"/>
          <w:color w:val="000000"/>
        </w:rPr>
        <w:t>Tatsächliche Projektjahre werden als lückenlose vollständige JSON Reihen importiert und jeweils neu simuliert. Der End SoC jeder Einheit wird in das Folgejahr übernommen.</w:t>
      </w:r>
    </w:p>
    <w:p>
      <w:pPr>
        <w:pStyle w:val="ListBullet"/>
      </w:pPr>
      <w:r>
        <w:rPr>
          <w:rFonts w:ascii="Arial" w:hAnsi="Arial"/>
          <w:color w:val="000000"/>
        </w:rPr>
        <w:t>Ein Referenzjahr wird nur nach ausdrücklicher Wahl vervielfacht und im Ergebnis entsprechend gekennzeichnet. Teiljahre gelten nicht als vollständige Jahrescashflows.</w:t>
      </w:r>
    </w:p>
    <w:p>
      <w:r>
        <w:br w:type="page"/>
      </w:r>
    </w:p>
    <w:p>
      <w:pPr>
        <w:pStyle w:val="Heading1"/>
      </w:pPr>
      <w:r>
        <w:t>Größenoptimierung und Projektübernahme</w:t>
      </w:r>
    </w:p>
    <w:p>
      <w:r>
        <w:rPr>
          <w:rFonts w:ascii="Arial" w:hAnsi="Arial"/>
          <w:color w:val="000000"/>
        </w:rPr>
        <w:t>Jede aktive Suchachse gehört zu einer Vorlage und ersetzt über ihre Einheiten ID genau diese Einheit. Andere Einheiten bleiben fest. Die Anzahl darf null enthalten; damit kann die Nullvariante im Vergleich auftreten.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2948"/>
            <w:shd w:fill="17365D"/>
            <w:vAlign w:val="center"/>
            <w:tcMar>
              <w:top w:w="95" w:type="dxa"/>
              <w:start w:w="110" w:type="dxa"/>
              <w:bottom w:w="95" w:type="dxa"/>
              <w:end w:w="110" w:type="dxa"/>
            </w:tcMar>
          </w:tcPr>
          <w:p>
            <w:pPr>
              <w:spacing w:after="0"/>
              <w:jc w:val="left"/>
            </w:pPr>
            <w:r>
              <w:rPr>
                <w:rFonts w:ascii="Arial" w:hAnsi="Arial"/>
                <w:b/>
                <w:color w:val="FFFFFF"/>
                <w:sz w:val="17"/>
              </w:rPr>
              <w:t>Achsenmodus</w:t>
            </w:r>
          </w:p>
        </w:tc>
        <w:tc>
          <w:tcPr>
            <w:tcW w:type="dxa" w:w="3515"/>
            <w:shd w:fill="17365D"/>
            <w:vAlign w:val="center"/>
            <w:tcMar>
              <w:top w:w="95" w:type="dxa"/>
              <w:start w:w="110" w:type="dxa"/>
              <w:bottom w:w="95" w:type="dxa"/>
              <w:end w:w="110" w:type="dxa"/>
            </w:tcMar>
          </w:tcPr>
          <w:p>
            <w:pPr>
              <w:spacing w:after="0"/>
              <w:jc w:val="left"/>
            </w:pPr>
            <w:r>
              <w:rPr>
                <w:rFonts w:ascii="Arial" w:hAnsi="Arial"/>
                <w:b/>
                <w:color w:val="FFFFFF"/>
                <w:sz w:val="17"/>
              </w:rPr>
              <w:t>Freie Größen</w:t>
            </w:r>
          </w:p>
        </w:tc>
        <w:tc>
          <w:tcPr>
            <w:tcW w:type="dxa" w:w="3231"/>
            <w:shd w:fill="17365D"/>
            <w:vAlign w:val="center"/>
            <w:tcMar>
              <w:top w:w="95" w:type="dxa"/>
              <w:start w:w="110" w:type="dxa"/>
              <w:bottom w:w="95" w:type="dxa"/>
              <w:end w:w="110" w:type="dxa"/>
            </w:tcMar>
          </w:tcPr>
          <w:p>
            <w:pPr>
              <w:spacing w:after="0"/>
              <w:jc w:val="left"/>
            </w:pPr>
            <w:r>
              <w:rPr>
                <w:rFonts w:ascii="Arial" w:hAnsi="Arial"/>
                <w:b/>
                <w:color w:val="FFFFFF"/>
                <w:sz w:val="17"/>
              </w:rPr>
              <w:t>Abgeleitete Größe</w:t>
            </w:r>
          </w:p>
        </w:tc>
      </w:tr>
      <w:tr>
        <w:tc>
          <w:tcPr>
            <w:tcW w:type="dxa" w:w="2948"/>
            <w:vAlign w:val="center"/>
            <w:tcMar>
              <w:top w:w="95" w:type="dxa"/>
              <w:start w:w="110" w:type="dxa"/>
              <w:bottom w:w="95" w:type="dxa"/>
              <w:end w:w="110" w:type="dxa"/>
            </w:tcMar>
          </w:tcPr>
          <w:p>
            <w:pPr>
              <w:spacing w:after="0" w:line="240" w:lineRule="auto"/>
            </w:pPr>
            <w:r>
              <w:rPr>
                <w:rFonts w:ascii="Arial" w:hAnsi="Arial"/>
                <w:color w:val="000000"/>
                <w:sz w:val="16"/>
              </w:rPr>
              <w:t>Kapazität und Leistung</w:t>
            </w:r>
          </w:p>
        </w:tc>
        <w:tc>
          <w:tcPr>
            <w:tcW w:type="dxa" w:w="3515"/>
            <w:vAlign w:val="center"/>
            <w:tcMar>
              <w:top w:w="95" w:type="dxa"/>
              <w:start w:w="110" w:type="dxa"/>
              <w:bottom w:w="95" w:type="dxa"/>
              <w:end w:w="110" w:type="dxa"/>
            </w:tcMar>
          </w:tcPr>
          <w:p>
            <w:pPr>
              <w:spacing w:after="0" w:line="240" w:lineRule="auto"/>
            </w:pPr>
            <w:r>
              <w:rPr>
                <w:rFonts w:ascii="Arial" w:hAnsi="Arial"/>
                <w:color w:val="000000"/>
                <w:sz w:val="16"/>
              </w:rPr>
              <w:t>Kapazität und Leistung</w:t>
            </w:r>
          </w:p>
        </w:tc>
        <w:tc>
          <w:tcPr>
            <w:tcW w:type="dxa" w:w="3231"/>
            <w:vAlign w:val="center"/>
            <w:tcMar>
              <w:top w:w="95" w:type="dxa"/>
              <w:start w:w="110" w:type="dxa"/>
              <w:bottom w:w="95" w:type="dxa"/>
              <w:end w:w="110" w:type="dxa"/>
            </w:tcMar>
          </w:tcPr>
          <w:p>
            <w:pPr>
              <w:spacing w:after="0" w:line="240" w:lineRule="auto"/>
            </w:pPr>
            <w:r>
              <w:rPr>
                <w:rFonts w:ascii="Arial" w:hAnsi="Arial"/>
                <w:color w:val="000000"/>
                <w:sz w:val="16"/>
              </w:rPr>
              <w:t>C Rate aus P geteilt durch E</w:t>
            </w:r>
          </w:p>
        </w:tc>
      </w:tr>
      <w:tr>
        <w:tc>
          <w:tcPr>
            <w:tcW w:type="dxa" w:w="2948"/>
            <w:shd w:fill="EAF0F6"/>
            <w:vAlign w:val="center"/>
            <w:tcMar>
              <w:top w:w="95" w:type="dxa"/>
              <w:start w:w="110" w:type="dxa"/>
              <w:bottom w:w="95" w:type="dxa"/>
              <w:end w:w="110" w:type="dxa"/>
            </w:tcMar>
          </w:tcPr>
          <w:p>
            <w:pPr>
              <w:spacing w:after="0" w:line="240" w:lineRule="auto"/>
            </w:pPr>
            <w:r>
              <w:rPr>
                <w:rFonts w:ascii="Arial" w:hAnsi="Arial"/>
                <w:color w:val="000000"/>
                <w:sz w:val="16"/>
              </w:rPr>
              <w:t>Kapazität und C Rate</w:t>
            </w:r>
          </w:p>
        </w:tc>
        <w:tc>
          <w:tcPr>
            <w:tcW w:type="dxa" w:w="3515"/>
            <w:shd w:fill="EAF0F6"/>
            <w:vAlign w:val="center"/>
            <w:tcMar>
              <w:top w:w="95" w:type="dxa"/>
              <w:start w:w="110" w:type="dxa"/>
              <w:bottom w:w="95" w:type="dxa"/>
              <w:end w:w="110" w:type="dxa"/>
            </w:tcMar>
          </w:tcPr>
          <w:p>
            <w:pPr>
              <w:spacing w:after="0" w:line="240" w:lineRule="auto"/>
            </w:pPr>
            <w:r>
              <w:rPr>
                <w:rFonts w:ascii="Arial" w:hAnsi="Arial"/>
                <w:color w:val="000000"/>
                <w:sz w:val="16"/>
              </w:rPr>
              <w:t>Kapazität und C Rate</w:t>
            </w:r>
          </w:p>
        </w:tc>
        <w:tc>
          <w:tcPr>
            <w:tcW w:type="dxa" w:w="3231"/>
            <w:shd w:fill="EAF0F6"/>
            <w:vAlign w:val="center"/>
            <w:tcMar>
              <w:top w:w="95" w:type="dxa"/>
              <w:start w:w="110" w:type="dxa"/>
              <w:bottom w:w="95" w:type="dxa"/>
              <w:end w:w="110" w:type="dxa"/>
            </w:tcMar>
          </w:tcPr>
          <w:p>
            <w:pPr>
              <w:spacing w:after="0" w:line="240" w:lineRule="auto"/>
            </w:pPr>
            <w:r>
              <w:rPr>
                <w:rFonts w:ascii="Arial" w:hAnsi="Arial"/>
                <w:color w:val="000000"/>
                <w:sz w:val="16"/>
              </w:rPr>
              <w:t>Leistung P gleich E mal C</w:t>
            </w:r>
          </w:p>
        </w:tc>
      </w:tr>
      <w:tr>
        <w:tc>
          <w:tcPr>
            <w:tcW w:type="dxa" w:w="2948"/>
            <w:vAlign w:val="center"/>
            <w:tcMar>
              <w:top w:w="95" w:type="dxa"/>
              <w:start w:w="110" w:type="dxa"/>
              <w:bottom w:w="95" w:type="dxa"/>
              <w:end w:w="110" w:type="dxa"/>
            </w:tcMar>
          </w:tcPr>
          <w:p>
            <w:pPr>
              <w:spacing w:after="0" w:line="240" w:lineRule="auto"/>
            </w:pPr>
            <w:r>
              <w:rPr>
                <w:rFonts w:ascii="Arial" w:hAnsi="Arial"/>
                <w:color w:val="000000"/>
                <w:sz w:val="16"/>
              </w:rPr>
              <w:t>Leistung und C Rate</w:t>
            </w:r>
          </w:p>
        </w:tc>
        <w:tc>
          <w:tcPr>
            <w:tcW w:type="dxa" w:w="3515"/>
            <w:vAlign w:val="center"/>
            <w:tcMar>
              <w:top w:w="95" w:type="dxa"/>
              <w:start w:w="110" w:type="dxa"/>
              <w:bottom w:w="95" w:type="dxa"/>
              <w:end w:w="110" w:type="dxa"/>
            </w:tcMar>
          </w:tcPr>
          <w:p>
            <w:pPr>
              <w:spacing w:after="0" w:line="240" w:lineRule="auto"/>
            </w:pPr>
            <w:r>
              <w:rPr>
                <w:rFonts w:ascii="Arial" w:hAnsi="Arial"/>
                <w:color w:val="000000"/>
                <w:sz w:val="16"/>
              </w:rPr>
              <w:t>Leistung und C Rate</w:t>
            </w:r>
          </w:p>
        </w:tc>
        <w:tc>
          <w:tcPr>
            <w:tcW w:type="dxa" w:w="3231"/>
            <w:vAlign w:val="center"/>
            <w:tcMar>
              <w:top w:w="95" w:type="dxa"/>
              <w:start w:w="110" w:type="dxa"/>
              <w:bottom w:w="95" w:type="dxa"/>
              <w:end w:w="110" w:type="dxa"/>
            </w:tcMar>
          </w:tcPr>
          <w:p>
            <w:pPr>
              <w:spacing w:after="0" w:line="240" w:lineRule="auto"/>
            </w:pPr>
            <w:r>
              <w:rPr>
                <w:rFonts w:ascii="Arial" w:hAnsi="Arial"/>
                <w:color w:val="000000"/>
                <w:sz w:val="16"/>
              </w:rPr>
              <w:t>Kapazität E gleich P geteilt durch C</w:t>
            </w:r>
          </w:p>
        </w:tc>
      </w:tr>
    </w:tbl>
    <w:p>
      <w:pPr>
        <w:spacing w:after="0"/>
      </w:pPr>
    </w:p>
    <w:p>
      <w:r>
        <w:rPr>
          <w:rFonts w:ascii="Arial" w:hAnsi="Arial"/>
          <w:color w:val="000000"/>
        </w:rPr>
        <w:t>EPOS Plan bildet das vollständige endliche kartesische Raster aus Anzahl, Größenstufen und ausgewählten Betriebszielen. Überschreitet es die maximale Kandidatenzahl, wird der Suchlauf abgewiesen statt still gekürzt. Jeder Kandidat wird technisch geprüft und wirtschaftlich bewertet. Die Rangfolge verwendet den höchsten NPV unter technisch zulässigen Varianten und berücksichtigt die technisch zulässige Nullvariante mit NPV null.</w:t>
      </w:r>
    </w:p>
    <w:p>
      <w:r>
        <w:rPr>
          <w:rFonts w:ascii="Arial" w:hAnsi="Arial"/>
          <w:color w:val="000000"/>
        </w:rPr>
        <w:t>Ist die Referenz wegen einer harten Anschlussgrenze unzulässig, kann eine technisch notwendige Speicherflotte trotz negativem NPV gewinnen. Sind alle Rechnungen fachlich ungültig, entsteht ein Konfigurationsfehler. Das Ergebnis behauptet dann keine beste zulässige Flotte.</w:t>
      </w:r>
    </w:p>
    <w:p>
      <w:pPr>
        <w:pStyle w:val="Heading2"/>
      </w:pPr>
      <w:r>
        <w:t>In die Auslegung übernehmen</w:t>
      </w:r>
    </w:p>
    <w:p>
      <w:r>
        <w:rPr>
          <w:rFonts w:ascii="Arial" w:hAnsi="Arial"/>
          <w:color w:val="000000"/>
        </w:rPr>
        <w:t>Die beste zulässige Konfiguration kann als neue Arbeitskonfiguration übernommen werden. EPOS Plan entfernt dabei die alten Suchachsen, damit die bereits ausmultiplizierten Einheiten bei einem späteren Suchlauf nicht nochmals ergänzt werden. Die übernommene Konfiguration sollte vor weiteren Änderungen als benanntes Profil gespeichert werden.</w:t>
      </w:r>
    </w:p>
    <w:p>
      <w:pPr>
        <w:pStyle w:val="Heading2"/>
      </w:pPr>
      <w:r>
        <w:t>Für die Projektsimulation aktivieren</w:t>
      </w:r>
    </w:p>
    <w:p>
      <w:r>
        <w:rPr>
          <w:rFonts w:ascii="Arial" w:hAnsi="Arial"/>
          <w:color w:val="000000"/>
        </w:rPr>
        <w:t>Die Aktivierung prüft Erfolg, Zulässigkeit, vollständige Referenz und Variantenzeitreihen, Daten ID, Kandidaten ID und die zugehörige beste Konfiguration. Eine Nullvariante kann nicht als physische Projektflotte aktiviert werden. Der freigegebene Stand wird getrennt als Projektflotte gespeichert.</w:t>
      </w:r>
    </w:p>
    <w:p>
      <w:pPr>
        <w:pStyle w:val="ListBullet"/>
      </w:pPr>
      <w:r>
        <w:rPr>
          <w:rFonts w:ascii="Arial" w:hAnsi="Arial"/>
          <w:color w:val="000000"/>
        </w:rPr>
        <w:t>Für Last und PV sind im vollständigen Projektlauf nur EPOS Quellen zulässig; PV darf auch deaktiviert sein. Externe Last, PV oder Projektjahre dürfen den gesamten Projektstrom nicht still ersetzen.</w:t>
      </w:r>
    </w:p>
    <w:p>
      <w:pPr>
        <w:pStyle w:val="ListBullet"/>
      </w:pPr>
      <w:r>
        <w:rPr>
          <w:rFonts w:ascii="Arial" w:hAnsi="Arial"/>
          <w:color w:val="000000"/>
        </w:rPr>
        <w:t>Eine ausgerichtete Preis CSV ist mit ausdrücklicher EPOS Modelljahrzuordnung möglich.</w:t>
      </w:r>
    </w:p>
    <w:p>
      <w:pPr>
        <w:pStyle w:val="ListBullet"/>
      </w:pPr>
      <w:r>
        <w:rPr>
          <w:rFonts w:ascii="Arial" w:hAnsi="Arial"/>
          <w:color w:val="000000"/>
        </w:rPr>
        <w:t>Die Projektsimulation übernimmt den vollständigen vorzeichenbehafteten Netzfluss der Flotte. Positive Werte sind Bezug, negative Werte Einspeisung.</w:t>
      </w:r>
    </w:p>
    <w:p>
      <w:pPr>
        <w:pStyle w:val="ListBullet"/>
      </w:pPr>
      <w:r>
        <w:rPr>
          <w:rFonts w:ascii="Arial" w:hAnsi="Arial"/>
          <w:color w:val="000000"/>
        </w:rPr>
        <w:t>Nach Aktivierung oder Deaktivierung muss die gewöhnliche Projektsimulation neu berechnet werden. Vorherige Projektergebnisse gehören noch zum alten Stand.</w:t>
      </w:r>
    </w:p>
    <w:p>
      <w:r>
        <w:br w:type="page"/>
      </w:r>
    </w:p>
    <w:p>
      <w:pPr>
        <w:pStyle w:val="Heading1"/>
      </w:pPr>
      <w:r>
        <w:t>Ergebnisse Interpretation und Grenzen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7"/>
        <w:gridCol w:w="3307"/>
        <w:gridCol w:w="3307"/>
      </w:tblGrid>
      <w:tr>
        <w:trPr>
          <w:tblHeader w:val="true"/>
        </w:trPr>
        <w:tc>
          <w:tcPr>
            <w:tcW w:type="dxa" w:w="2324"/>
            <w:shd w:fill="17365D"/>
            <w:vAlign w:val="center"/>
            <w:tcMar>
              <w:top w:w="95" w:type="dxa"/>
              <w:start w:w="110" w:type="dxa"/>
              <w:bottom w:w="95" w:type="dxa"/>
              <w:end w:w="110" w:type="dxa"/>
            </w:tcMar>
          </w:tcPr>
          <w:p>
            <w:pPr>
              <w:spacing w:after="0"/>
              <w:jc w:val="left"/>
            </w:pPr>
            <w:r>
              <w:rPr>
                <w:rFonts w:ascii="Arial" w:hAnsi="Arial"/>
                <w:b/>
                <w:color w:val="FFFFFF"/>
                <w:sz w:val="17"/>
              </w:rPr>
              <w:t>Ergebnisbereich</w:t>
            </w:r>
          </w:p>
        </w:tc>
        <w:tc>
          <w:tcPr>
            <w:tcW w:type="dxa" w:w="4139"/>
            <w:shd w:fill="17365D"/>
            <w:vAlign w:val="center"/>
            <w:tcMar>
              <w:top w:w="95" w:type="dxa"/>
              <w:start w:w="110" w:type="dxa"/>
              <w:bottom w:w="95" w:type="dxa"/>
              <w:end w:w="110" w:type="dxa"/>
            </w:tcMar>
          </w:tcPr>
          <w:p>
            <w:pPr>
              <w:spacing w:after="0"/>
              <w:jc w:val="left"/>
            </w:pPr>
            <w:r>
              <w:rPr>
                <w:rFonts w:ascii="Arial" w:hAnsi="Arial"/>
                <w:b/>
                <w:color w:val="FFFFFF"/>
                <w:sz w:val="17"/>
              </w:rPr>
              <w:t>Interpretation</w:t>
            </w:r>
          </w:p>
        </w:tc>
        <w:tc>
          <w:tcPr>
            <w:tcW w:type="dxa" w:w="3231"/>
            <w:shd w:fill="17365D"/>
            <w:vAlign w:val="center"/>
            <w:tcMar>
              <w:top w:w="95" w:type="dxa"/>
              <w:start w:w="110" w:type="dxa"/>
              <w:bottom w:w="95" w:type="dxa"/>
              <w:end w:w="110" w:type="dxa"/>
            </w:tcMar>
          </w:tcPr>
          <w:p>
            <w:pPr>
              <w:spacing w:after="0"/>
              <w:jc w:val="left"/>
            </w:pPr>
            <w:r>
              <w:rPr>
                <w:rFonts w:ascii="Arial" w:hAnsi="Arial"/>
                <w:b/>
                <w:color w:val="FFFFFF"/>
                <w:sz w:val="17"/>
              </w:rPr>
              <w:t>Wichtige Einschränkung</w:t>
            </w:r>
          </w:p>
        </w:tc>
      </w:tr>
      <w:tr>
        <w:tc>
          <w:tcPr>
            <w:tcW w:type="dxa" w:w="2324"/>
            <w:vAlign w:val="center"/>
            <w:tcMar>
              <w:top w:w="95" w:type="dxa"/>
              <w:start w:w="110" w:type="dxa"/>
              <w:bottom w:w="95" w:type="dxa"/>
              <w:end w:w="110" w:type="dxa"/>
            </w:tcMar>
          </w:tcPr>
          <w:p>
            <w:pPr>
              <w:spacing w:after="0" w:line="240" w:lineRule="auto"/>
            </w:pPr>
            <w:r>
              <w:rPr>
                <w:rFonts w:ascii="Arial" w:hAnsi="Arial"/>
                <w:color w:val="000000"/>
                <w:sz w:val="16"/>
              </w:rPr>
              <w:t>Referenz und Variante</w:t>
            </w:r>
          </w:p>
        </w:tc>
        <w:tc>
          <w:tcPr>
            <w:tcW w:type="dxa" w:w="4139"/>
            <w:vAlign w:val="center"/>
            <w:tcMar>
              <w:top w:w="95" w:type="dxa"/>
              <w:start w:w="110" w:type="dxa"/>
              <w:bottom w:w="95" w:type="dxa"/>
              <w:end w:w="110" w:type="dxa"/>
            </w:tcMar>
          </w:tcPr>
          <w:p>
            <w:pPr>
              <w:spacing w:after="0" w:line="240" w:lineRule="auto"/>
            </w:pPr>
            <w:r>
              <w:rPr>
                <w:rFonts w:ascii="Arial" w:hAnsi="Arial"/>
                <w:color w:val="000000"/>
                <w:sz w:val="16"/>
              </w:rPr>
              <w:t>Netzbezug, Einspeisung, Abregelung, Verluste und Peak</w:t>
            </w:r>
          </w:p>
        </w:tc>
        <w:tc>
          <w:tcPr>
            <w:tcW w:type="dxa" w:w="3231"/>
            <w:vAlign w:val="center"/>
            <w:tcMar>
              <w:top w:w="95" w:type="dxa"/>
              <w:start w:w="110" w:type="dxa"/>
              <w:bottom w:w="95" w:type="dxa"/>
              <w:end w:w="110" w:type="dxa"/>
            </w:tcMar>
          </w:tcPr>
          <w:p>
            <w:pPr>
              <w:spacing w:after="0" w:line="240" w:lineRule="auto"/>
            </w:pPr>
            <w:r>
              <w:rPr>
                <w:rFonts w:ascii="Arial" w:hAnsi="Arial"/>
                <w:color w:val="000000"/>
                <w:sz w:val="16"/>
              </w:rPr>
              <w:t>Beide Seiten müssen denselben Daten und Tarifstand haben</w:t>
            </w:r>
          </w:p>
        </w:tc>
      </w:tr>
      <w:tr>
        <w:tc>
          <w:tcPr>
            <w:tcW w:type="dxa" w:w="2324"/>
            <w:shd w:fill="EAF0F6"/>
            <w:vAlign w:val="center"/>
            <w:tcMar>
              <w:top w:w="95" w:type="dxa"/>
              <w:start w:w="110" w:type="dxa"/>
              <w:bottom w:w="95" w:type="dxa"/>
              <w:end w:w="110" w:type="dxa"/>
            </w:tcMar>
          </w:tcPr>
          <w:p>
            <w:pPr>
              <w:spacing w:after="0" w:line="240" w:lineRule="auto"/>
            </w:pPr>
            <w:r>
              <w:rPr>
                <w:rFonts w:ascii="Arial" w:hAnsi="Arial"/>
                <w:color w:val="000000"/>
                <w:sz w:val="16"/>
              </w:rPr>
              <w:t>Speicherkennzahlen</w:t>
            </w:r>
          </w:p>
        </w:tc>
        <w:tc>
          <w:tcPr>
            <w:tcW w:type="dxa" w:w="4139"/>
            <w:shd w:fill="EAF0F6"/>
            <w:vAlign w:val="center"/>
            <w:tcMar>
              <w:top w:w="95" w:type="dxa"/>
              <w:start w:w="110" w:type="dxa"/>
              <w:bottom w:w="95" w:type="dxa"/>
              <w:end w:w="110" w:type="dxa"/>
            </w:tcMar>
          </w:tcPr>
          <w:p>
            <w:pPr>
              <w:spacing w:after="0" w:line="240" w:lineRule="auto"/>
            </w:pPr>
            <w:r>
              <w:rPr>
                <w:rFonts w:ascii="Arial" w:hAnsi="Arial"/>
                <w:color w:val="000000"/>
                <w:sz w:val="16"/>
              </w:rPr>
              <w:t>Anfang und Ende, Lade und Entladeenergie, SoC und Quellenanteile</w:t>
            </w:r>
          </w:p>
        </w:tc>
        <w:tc>
          <w:tcPr>
            <w:tcW w:type="dxa" w:w="3231"/>
            <w:shd w:fill="EAF0F6"/>
            <w:vAlign w:val="center"/>
            <w:tcMar>
              <w:top w:w="95" w:type="dxa"/>
              <w:start w:w="110" w:type="dxa"/>
              <w:bottom w:w="95" w:type="dxa"/>
              <w:end w:w="110" w:type="dxa"/>
            </w:tcMar>
          </w:tcPr>
          <w:p>
            <w:pPr>
              <w:spacing w:after="0" w:line="240" w:lineRule="auto"/>
            </w:pPr>
            <w:r>
              <w:rPr>
                <w:rFonts w:ascii="Arial" w:hAnsi="Arial"/>
                <w:color w:val="000000"/>
                <w:sz w:val="16"/>
              </w:rPr>
              <w:t>Im Speicher werden keine Herkunftsschichten fortgeführt</w:t>
            </w:r>
          </w:p>
        </w:tc>
      </w:tr>
      <w:tr>
        <w:tc>
          <w:tcPr>
            <w:tcW w:type="dxa" w:w="2324"/>
            <w:vAlign w:val="center"/>
            <w:tcMar>
              <w:top w:w="95" w:type="dxa"/>
              <w:start w:w="110" w:type="dxa"/>
              <w:bottom w:w="95" w:type="dxa"/>
              <w:end w:w="110" w:type="dxa"/>
            </w:tcMar>
          </w:tcPr>
          <w:p>
            <w:pPr>
              <w:spacing w:after="0" w:line="240" w:lineRule="auto"/>
            </w:pPr>
            <w:r>
              <w:rPr>
                <w:rFonts w:ascii="Arial" w:hAnsi="Arial"/>
                <w:color w:val="000000"/>
                <w:sz w:val="16"/>
              </w:rPr>
              <w:t>Wirtschaftlichkeit</w:t>
            </w:r>
          </w:p>
        </w:tc>
        <w:tc>
          <w:tcPr>
            <w:tcW w:type="dxa" w:w="4139"/>
            <w:vAlign w:val="center"/>
            <w:tcMar>
              <w:top w:w="95" w:type="dxa"/>
              <w:start w:w="110" w:type="dxa"/>
              <w:bottom w:w="95" w:type="dxa"/>
              <w:end w:w="110" w:type="dxa"/>
            </w:tcMar>
          </w:tcPr>
          <w:p>
            <w:pPr>
              <w:spacing w:after="0" w:line="240" w:lineRule="auto"/>
            </w:pPr>
            <w:r>
              <w:rPr>
                <w:rFonts w:ascii="Arial" w:hAnsi="Arial"/>
                <w:color w:val="000000"/>
                <w:sz w:val="16"/>
              </w:rPr>
              <w:t>CAPEX, Jahrescashflows, Ersatz, Restwert und NPV</w:t>
            </w:r>
          </w:p>
        </w:tc>
        <w:tc>
          <w:tcPr>
            <w:tcW w:type="dxa" w:w="3231"/>
            <w:vAlign w:val="center"/>
            <w:tcMar>
              <w:top w:w="95" w:type="dxa"/>
              <w:start w:w="110" w:type="dxa"/>
              <w:bottom w:w="95" w:type="dxa"/>
              <w:end w:w="110" w:type="dxa"/>
            </w:tcMar>
          </w:tcPr>
          <w:p>
            <w:pPr>
              <w:spacing w:after="0" w:line="240" w:lineRule="auto"/>
            </w:pPr>
            <w:r>
              <w:rPr>
                <w:rFonts w:ascii="Arial" w:hAnsi="Arial"/>
                <w:color w:val="000000"/>
                <w:sz w:val="16"/>
              </w:rPr>
              <w:t>Ohne Jahreskonto bleibt NPV unbekannt und wird als Strich gezeigt</w:t>
            </w:r>
          </w:p>
        </w:tc>
      </w:tr>
      <w:tr>
        <w:tc>
          <w:tcPr>
            <w:tcW w:type="dxa" w:w="2324"/>
            <w:shd w:fill="EAF0F6"/>
            <w:vAlign w:val="center"/>
            <w:tcMar>
              <w:top w:w="95" w:type="dxa"/>
              <w:start w:w="110" w:type="dxa"/>
              <w:bottom w:w="95" w:type="dxa"/>
              <w:end w:w="110" w:type="dxa"/>
            </w:tcMar>
          </w:tcPr>
          <w:p>
            <w:pPr>
              <w:spacing w:after="0" w:line="240" w:lineRule="auto"/>
            </w:pPr>
            <w:r>
              <w:rPr>
                <w:rFonts w:ascii="Arial" w:hAnsi="Arial"/>
                <w:color w:val="000000"/>
                <w:sz w:val="16"/>
              </w:rPr>
              <w:t>Rainflow</w:t>
            </w:r>
          </w:p>
        </w:tc>
        <w:tc>
          <w:tcPr>
            <w:tcW w:type="dxa" w:w="4139"/>
            <w:shd w:fill="EAF0F6"/>
            <w:vAlign w:val="center"/>
            <w:tcMar>
              <w:top w:w="95" w:type="dxa"/>
              <w:start w:w="110" w:type="dxa"/>
              <w:bottom w:w="95" w:type="dxa"/>
              <w:end w:w="110" w:type="dxa"/>
            </w:tcMar>
          </w:tcPr>
          <w:p>
            <w:pPr>
              <w:spacing w:after="0" w:line="240" w:lineRule="auto"/>
            </w:pPr>
            <w:r>
              <w:rPr>
                <w:rFonts w:ascii="Arial" w:hAnsi="Arial"/>
                <w:color w:val="000000"/>
                <w:sz w:val="16"/>
              </w:rPr>
              <w:t>Zyklen und Miner Schaden aus einer gelieferten Kennlinie</w:t>
            </w:r>
          </w:p>
        </w:tc>
        <w:tc>
          <w:tcPr>
            <w:tcW w:type="dxa" w:w="3231"/>
            <w:shd w:fill="EAF0F6"/>
            <w:vAlign w:val="center"/>
            <w:tcMar>
              <w:top w:w="95" w:type="dxa"/>
              <w:start w:w="110" w:type="dxa"/>
              <w:bottom w:w="95" w:type="dxa"/>
              <w:end w:w="110" w:type="dxa"/>
            </w:tcMar>
          </w:tcPr>
          <w:p>
            <w:pPr>
              <w:spacing w:after="0" w:line="240" w:lineRule="auto"/>
            </w:pPr>
            <w:r>
              <w:rPr>
                <w:rFonts w:ascii="Arial" w:hAnsi="Arial"/>
                <w:color w:val="000000"/>
                <w:sz w:val="16"/>
              </w:rPr>
              <w:t>Ohne Kennlinie bleibt Schaden unbekannt; keine Kalenderalterung</w:t>
            </w:r>
          </w:p>
        </w:tc>
      </w:tr>
      <w:tr>
        <w:tc>
          <w:tcPr>
            <w:tcW w:type="dxa" w:w="2324"/>
            <w:vAlign w:val="center"/>
            <w:tcMar>
              <w:top w:w="95" w:type="dxa"/>
              <w:start w:w="110" w:type="dxa"/>
              <w:bottom w:w="95" w:type="dxa"/>
              <w:end w:w="110" w:type="dxa"/>
            </w:tcMar>
          </w:tcPr>
          <w:p>
            <w:pPr>
              <w:spacing w:after="0" w:line="240" w:lineRule="auto"/>
            </w:pPr>
            <w:r>
              <w:rPr>
                <w:rFonts w:ascii="Arial" w:hAnsi="Arial"/>
                <w:color w:val="000000"/>
                <w:sz w:val="16"/>
              </w:rPr>
              <w:t>Auslegung</w:t>
            </w:r>
          </w:p>
        </w:tc>
        <w:tc>
          <w:tcPr>
            <w:tcW w:type="dxa" w:w="4139"/>
            <w:vAlign w:val="center"/>
            <w:tcMar>
              <w:top w:w="95" w:type="dxa"/>
              <w:start w:w="110" w:type="dxa"/>
              <w:bottom w:w="95" w:type="dxa"/>
              <w:end w:w="110" w:type="dxa"/>
            </w:tcMar>
          </w:tcPr>
          <w:p>
            <w:pPr>
              <w:spacing w:after="0" w:line="240" w:lineRule="auto"/>
            </w:pPr>
            <w:r>
              <w:rPr>
                <w:rFonts w:ascii="Arial" w:hAnsi="Arial"/>
                <w:color w:val="000000"/>
                <w:sz w:val="16"/>
              </w:rPr>
              <w:t>Geprüfte Kandidaten, Nullvariante und beste zulässige Konfiguration</w:t>
            </w:r>
          </w:p>
        </w:tc>
        <w:tc>
          <w:tcPr>
            <w:tcW w:type="dxa" w:w="3231"/>
            <w:vAlign w:val="center"/>
            <w:tcMar>
              <w:top w:w="95" w:type="dxa"/>
              <w:start w:w="110" w:type="dxa"/>
              <w:bottom w:w="95" w:type="dxa"/>
              <w:end w:w="110" w:type="dxa"/>
            </w:tcMar>
          </w:tcPr>
          <w:p>
            <w:pPr>
              <w:spacing w:after="0" w:line="240" w:lineRule="auto"/>
            </w:pPr>
            <w:r>
              <w:rPr>
                <w:rFonts w:ascii="Arial" w:hAnsi="Arial"/>
                <w:color w:val="000000"/>
                <w:sz w:val="16"/>
              </w:rPr>
              <w:t>Aussage gilt nur für das vorgegebene endliche Raster</w:t>
            </w:r>
          </w:p>
        </w:tc>
      </w:tr>
    </w:tbl>
    <w:p>
      <w:pPr>
        <w:spacing w:after="0"/>
      </w:pPr>
    </w:p>
    <w:p>
      <w:pPr>
        <w:pStyle w:val="Heading2"/>
      </w:pPr>
      <w:r>
        <w:t>Plausibilitätsprüfung vor einer Entscheidung</w:t>
      </w:r>
    </w:p>
    <w:p>
      <w:pPr>
        <w:spacing w:after="50"/>
        <w:ind w:left="369" w:hanging="255"/>
      </w:pPr>
      <w:r>
        <w:rPr>
          <w:rFonts w:ascii="Arial" w:hAnsi="Arial"/>
          <w:color w:val="000000"/>
          <w:sz w:val="18"/>
        </w:rPr>
        <w:t>1.  Prüfen, ob Last, PV, Preise und Kalender denselben Standort und Zeitraum beschreiben.</w:t>
      </w:r>
    </w:p>
    <w:p>
      <w:pPr>
        <w:spacing w:after="50"/>
        <w:ind w:left="369" w:hanging="255"/>
      </w:pPr>
      <w:r>
        <w:rPr>
          <w:rFonts w:ascii="Arial" w:hAnsi="Arial"/>
          <w:color w:val="000000"/>
          <w:sz w:val="18"/>
        </w:rPr>
        <w:t>2.  Harte Anschlussgrenzen und das wirtschaftliche Peak Ziel getrennt beurteilen. Unzulässigkeitsgründe dürfen nicht durch reine NPV Betrachtung übergangen werden.</w:t>
      </w:r>
    </w:p>
    <w:p>
      <w:pPr>
        <w:spacing w:after="50"/>
        <w:ind w:left="369" w:hanging="255"/>
      </w:pPr>
      <w:r>
        <w:rPr>
          <w:rFonts w:ascii="Arial" w:hAnsi="Arial"/>
          <w:color w:val="000000"/>
          <w:sz w:val="18"/>
        </w:rPr>
        <w:t>3.  Bei planenden Zielen den Informationsstand lesen. Oracle Ergebnisse nur als optimistische Vergleichsgrenze verwenden.</w:t>
      </w:r>
    </w:p>
    <w:p>
      <w:pPr>
        <w:spacing w:after="50"/>
        <w:ind w:left="369" w:hanging="255"/>
      </w:pPr>
      <w:r>
        <w:rPr>
          <w:rFonts w:ascii="Arial" w:hAnsi="Arial"/>
          <w:color w:val="000000"/>
          <w:sz w:val="18"/>
        </w:rPr>
        <w:t>4.  End SoC und Endenergiebewertung prüfen, besonders bei kurzen Ausschnitten und Arbitrage.</w:t>
      </w:r>
    </w:p>
    <w:p>
      <w:pPr>
        <w:spacing w:after="50"/>
        <w:ind w:left="369" w:hanging="255"/>
      </w:pPr>
      <w:r>
        <w:rPr>
          <w:rFonts w:ascii="Arial" w:hAnsi="Arial"/>
          <w:color w:val="000000"/>
          <w:sz w:val="18"/>
        </w:rPr>
        <w:t>5.  Kostenherkunft, eigene Kosten je Einheit, Ersatzannahmen und Restwert dokumentieren.</w:t>
      </w:r>
    </w:p>
    <w:p>
      <w:pPr>
        <w:spacing w:after="50"/>
        <w:ind w:left="369" w:hanging="255"/>
      </w:pPr>
      <w:r>
        <w:rPr>
          <w:rFonts w:ascii="Arial" w:hAnsi="Arial"/>
          <w:color w:val="000000"/>
          <w:sz w:val="18"/>
        </w:rPr>
        <w:t>6.  Vor Projektaktivierung sicherstellen, dass das Ergebnis aktuell ist und die gewählte Flotte tatsächlich die gewünschte Konfiguration enthält.</w:t>
      </w:r>
    </w:p>
    <w:p>
      <w:pPr>
        <w:pStyle w:val="Heading2"/>
      </w:pPr>
      <w:r>
        <w:t>Prüfstand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1"/>
        <w:gridCol w:w="4961"/>
      </w:tblGrid>
      <w:tr>
        <w:trPr>
          <w:tblHeader w:val="true"/>
        </w:trPr>
        <w:tc>
          <w:tcPr>
            <w:tcW w:type="dxa" w:w="2835"/>
            <w:shd w:fill="17365D"/>
            <w:vAlign w:val="center"/>
            <w:tcMar>
              <w:top w:w="95" w:type="dxa"/>
              <w:start w:w="110" w:type="dxa"/>
              <w:bottom w:w="95" w:type="dxa"/>
              <w:end w:w="110" w:type="dxa"/>
            </w:tcMar>
          </w:tcPr>
          <w:p>
            <w:pPr>
              <w:spacing w:after="0"/>
              <w:jc w:val="left"/>
            </w:pPr>
            <w:r>
              <w:rPr>
                <w:rFonts w:ascii="Arial" w:hAnsi="Arial"/>
                <w:b/>
                <w:color w:val="FFFFFF"/>
                <w:sz w:val="17"/>
              </w:rPr>
              <w:t>Prüfebene</w:t>
            </w:r>
          </w:p>
        </w:tc>
        <w:tc>
          <w:tcPr>
            <w:tcW w:type="dxa" w:w="6860"/>
            <w:shd w:fill="17365D"/>
            <w:vAlign w:val="center"/>
            <w:tcMar>
              <w:top w:w="95" w:type="dxa"/>
              <w:start w:w="110" w:type="dxa"/>
              <w:bottom w:w="95" w:type="dxa"/>
              <w:end w:w="110" w:type="dxa"/>
            </w:tcMar>
          </w:tcPr>
          <w:p>
            <w:pPr>
              <w:spacing w:after="0"/>
              <w:jc w:val="left"/>
            </w:pPr>
            <w:r>
              <w:rPr>
                <w:rFonts w:ascii="Arial" w:hAnsi="Arial"/>
                <w:b/>
                <w:color w:val="FFFFFF"/>
                <w:sz w:val="17"/>
              </w:rPr>
              <w:t>Bestätigter Stand am 11 September 2026</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SpeicherEngine</w:t>
            </w:r>
          </w:p>
        </w:tc>
        <w:tc>
          <w:tcPr>
            <w:tcW w:type="dxa" w:w="6860"/>
            <w:vAlign w:val="center"/>
            <w:tcMar>
              <w:top w:w="95" w:type="dxa"/>
              <w:start w:w="110" w:type="dxa"/>
              <w:bottom w:w="95" w:type="dxa"/>
              <w:end w:w="110" w:type="dxa"/>
            </w:tcMar>
          </w:tcPr>
          <w:p>
            <w:pPr>
              <w:spacing w:after="0" w:line="240" w:lineRule="auto"/>
            </w:pPr>
            <w:r>
              <w:rPr>
                <w:rFonts w:ascii="Arial" w:hAnsi="Arial"/>
                <w:color w:val="000000"/>
                <w:sz w:val="16"/>
              </w:rPr>
              <w:t>382 von 382 Tests bestanden</w:t>
            </w:r>
          </w:p>
        </w:tc>
      </w:tr>
      <w:tr>
        <w:tc>
          <w:tcPr>
            <w:tcW w:type="dxa" w:w="2835"/>
            <w:shd w:fill="EAF0F6"/>
            <w:vAlign w:val="center"/>
            <w:tcMar>
              <w:top w:w="95" w:type="dxa"/>
              <w:start w:w="110" w:type="dxa"/>
              <w:bottom w:w="95" w:type="dxa"/>
              <w:end w:w="110" w:type="dxa"/>
            </w:tcMar>
          </w:tcPr>
          <w:p>
            <w:pPr>
              <w:spacing w:after="0" w:line="240" w:lineRule="auto"/>
            </w:pPr>
            <w:r>
              <w:rPr>
                <w:rFonts w:ascii="Arial" w:hAnsi="Arial"/>
                <w:color w:val="000000"/>
                <w:sz w:val="16"/>
              </w:rPr>
              <w:t>SpeicherPlanung</w:t>
            </w:r>
          </w:p>
        </w:tc>
        <w:tc>
          <w:tcPr>
            <w:tcW w:type="dxa" w:w="6860"/>
            <w:shd w:fill="EAF0F6"/>
            <w:vAlign w:val="center"/>
            <w:tcMar>
              <w:top w:w="95" w:type="dxa"/>
              <w:start w:w="110" w:type="dxa"/>
              <w:bottom w:w="95" w:type="dxa"/>
              <w:end w:w="110" w:type="dxa"/>
            </w:tcMar>
          </w:tcPr>
          <w:p>
            <w:pPr>
              <w:spacing w:after="0" w:line="240" w:lineRule="auto"/>
            </w:pPr>
            <w:r>
              <w:rPr>
                <w:rFonts w:ascii="Arial" w:hAnsi="Arial"/>
                <w:color w:val="000000"/>
                <w:sz w:val="16"/>
              </w:rPr>
              <w:t>27 Tests bestanden; ein manueller Langzeittest bleibt übersprungen</w:t>
            </w:r>
          </w:p>
        </w:tc>
      </w:tr>
      <w:tr>
        <w:tc>
          <w:tcPr>
            <w:tcW w:type="dxa" w:w="2835"/>
            <w:vAlign w:val="center"/>
            <w:tcMar>
              <w:top w:w="95" w:type="dxa"/>
              <w:start w:w="110" w:type="dxa"/>
              <w:bottom w:w="95" w:type="dxa"/>
              <w:end w:w="110" w:type="dxa"/>
            </w:tcMar>
          </w:tcPr>
          <w:p>
            <w:pPr>
              <w:spacing w:after="0" w:line="240" w:lineRule="auto"/>
            </w:pPr>
            <w:r>
              <w:rPr>
                <w:rFonts w:ascii="Arial" w:hAnsi="Arial"/>
                <w:color w:val="000000"/>
                <w:sz w:val="16"/>
              </w:rPr>
              <w:t>EPOS Kern</w:t>
            </w:r>
          </w:p>
        </w:tc>
        <w:tc>
          <w:tcPr>
            <w:tcW w:type="dxa" w:w="6860"/>
            <w:vAlign w:val="center"/>
            <w:tcMar>
              <w:top w:w="95" w:type="dxa"/>
              <w:start w:w="110" w:type="dxa"/>
              <w:bottom w:w="95" w:type="dxa"/>
              <w:end w:w="110" w:type="dxa"/>
            </w:tcMar>
          </w:tcPr>
          <w:p>
            <w:pPr>
              <w:spacing w:after="0" w:line="240" w:lineRule="auto"/>
            </w:pPr>
            <w:r>
              <w:rPr>
                <w:rFonts w:ascii="Arial" w:hAnsi="Arial"/>
                <w:color w:val="000000"/>
                <w:sz w:val="16"/>
              </w:rPr>
              <w:t>2 395 Tests bestanden; danach 33 fokussierte Tests nach der späten Kostenkorrektur bestanden</w:t>
            </w:r>
          </w:p>
        </w:tc>
      </w:tr>
    </w:tbl>
    <w:p>
      <w:pPr>
        <w:spacing w:after="0"/>
      </w:pPr>
    </w:p>
    <w:p>
      <w:pPr>
        <w:pStyle w:val="Heading2"/>
      </w:pPr>
      <w:r>
        <w:t>Modellgrenzen</w:t>
      </w:r>
    </w:p>
    <w:p>
      <w:pPr>
        <w:pStyle w:val="ListBullet"/>
      </w:pPr>
      <w:r>
        <w:rPr>
          <w:rFonts w:ascii="Arial" w:hAnsi="Arial"/>
          <w:color w:val="000000"/>
        </w:rPr>
        <w:t>Ein vollständiger Oracle Jahreslauf mit langem Horizont ist hinsichtlich Laufzeit und Dialogtauglichkeit nicht bestätigt.</w:t>
      </w:r>
    </w:p>
    <w:p>
      <w:pPr>
        <w:pStyle w:val="ListBullet"/>
      </w:pPr>
      <w:r>
        <w:rPr>
          <w:rFonts w:ascii="Arial" w:hAnsi="Arial"/>
          <w:color w:val="000000"/>
        </w:rPr>
        <w:t>Rainflow liefert Miner Schaden innerhalb der eingegebenen Kennlinie. Automatische Kapazitäts oder Leistungsalterung, Kalenderalterung, Temperaturwirkung, Ausfall, Reparatur und selbsttätiger Ersatz sind nicht enthalten.</w:t>
      </w:r>
    </w:p>
    <w:p>
      <w:pPr>
        <w:pStyle w:val="ListBullet"/>
      </w:pPr>
      <w:r>
        <w:rPr>
          <w:rFonts w:ascii="Arial" w:hAnsi="Arial"/>
          <w:color w:val="000000"/>
        </w:rPr>
        <w:t>Monatspeaks, Tarifstaffeln, Steuern und mehrere Abrechnungsperioden werden nicht modelliert.</w:t>
      </w:r>
    </w:p>
    <w:p>
      <w:pPr>
        <w:pStyle w:val="ListBullet"/>
      </w:pPr>
      <w:r>
        <w:rPr>
          <w:rFonts w:ascii="Arial" w:hAnsi="Arial"/>
          <w:color w:val="000000"/>
        </w:rPr>
        <w:t>Elektrische Zusatzlast und BHKW Fahrplan sind Eingaben. Eine gemeinsame Wärme und Strom Optimierung ist nicht enthalten.</w:t>
      </w:r>
    </w:p>
    <w:p>
      <w:pPr>
        <w:pStyle w:val="ListBullet"/>
      </w:pPr>
      <w:r>
        <w:rPr>
          <w:rFonts w:ascii="Arial" w:hAnsi="Arial"/>
          <w:color w:val="000000"/>
        </w:rPr>
        <w:t>Die Flottenstudie bewertet ihre Variante. Sie schreibt nicht automatisch sämtliche Kostenpositionen des übrigen EPOS Projekts um.</w:t>
      </w:r>
    </w:p>
    <w:p>
      <w:r>
        <w:rPr>
          <w:rFonts w:ascii="Arial" w:hAnsi="Arial"/>
          <w:color w:val="000000"/>
        </w:rPr>
        <w:t>Technische Grundlage: Doku Mehrspeicher Konzept und Umsetzung im EPOS Plan Repository, Stand 11 September 2026. Das vorhandene Grundlagendokument zur Speichersimulation bleibt unverändert und beschreibt die allgemeinen Simulationsgrundlagen.</w:t>
      </w:r>
    </w:p>
    <w:sectPr w:rsidR="00FC693F" w:rsidRPr="0006063C" w:rsidSect="00034616">
      <w:headerReference w:type="default" r:id="rId9"/>
      <w:footerReference w:type="default" r:id="rId10"/>
      <w:pgSz w:w="11906" w:h="16838"/>
      <w:pgMar w:top="935"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EPOS Plan  Mehrspeicherbetrieb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Mehrspeicherbetrieb in EPOS Plan</dc:title>
  <dc:subject>Handbuchergänzung zur Speichersimulation</dc:subject>
  <dc:creator>EPOS Plan</dc:creator>
  <cp:keywords>EPOS Plan, Mehrspeicher, Speicherflotte, Simulation, Auslegung</cp:keywords>
  <dc:description>Stand 11.09.2026</dc:description>
  <cp:lastModifiedBy/>
  <cp:revision>1</cp:revision>
  <dcterms:created xsi:type="dcterms:W3CDTF">2013-12-23T23:15:00Z</dcterms:created>
  <dcterms:modified xsi:type="dcterms:W3CDTF">2013-12-23T23:15:00Z</dcterms:modified>
  <cp:category/>
</cp:coreProperties>
</file>