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rPr>
          <w:noProof/>
        </w:rPr>
        <w:t xml:space="preserve">{{#wenn nicht hat.kaelte.dezentral}}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hat.kaelte.dezentral}}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decken die Anlage und die dezentralen Split-Geräte </w:t>
      </w:r>
      <w:r>
        <w:rPr>
          <w:noProof/>
        </w:rPr>
        <w:t xml:space="preserve">{{stamm.kennzahl.kaelte.deckungsgrad_gesamt}}</w:t>
      </w:r>
      <w:r>
        <w:t xml:space="preserve">, davon die Kältefolge </w:t>
      </w:r>
      <w:r>
        <w:rPr>
          <w:noProof/>
        </w:rPr>
        <w:t xml:space="preserve">{{stamm.kennzahl.kaelte.deckungsgrad_kaeltefolge}}</w:t>
      </w:r>
      <w:r>
        <w:t xml:space="preserve"> des zentral zu deckenden Kältebedarfs.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Vorheizzeit </w:t>
      </w:r>
      <w:r>
        <w:rPr>
          <w:noProof/>
        </w:rPr>
        <w:t xml:space="preserve">{{gebaeude.ergebnis.vorheizzeit}}</w:t>
      </w:r>
      <w:r>
        <w:t xml:space="preserve">, Vorheizleistung </w:t>
      </w:r>
      <w:r>
        <w:rPr>
          <w:noProof/>
        </w:rPr>
        <w:t xml:space="preserve">{{gebaeude.ergebnis.vorheizleistung}}</w:t>
      </w:r>
      <w:r>
        <w:t xml:space="preserve">, Tage ohne Ankunft </w:t>
      </w:r>
      <w:r>
        <w:rPr>
          <w:noProof/>
        </w:rPr>
        <w:t xml:space="preserve">{{gebaeude.ergebnis.vorheiz_tage_verfehlt}}</w:t>
      </w:r>
      <w:r>
        <w:t xml:space="preserve">, Mehrwärme des Vorheizens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  <w:p>
      <w:r>
        <w:t xml:space="preserve">Darin wählen {{#wenn nicht hat.kaelte.dezentral}} und {{#wenn hat.kaelte.dezentral}} den Satz: Deckt eine Kältebedarfszeile dezentral über Split-Geräte, nennt er den Deckungsgrad samt Split-Geräten und davon den Anteil der Kältefolge.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 Mit vorgegebener oder berechneter Vorheizzeit folgt ({{#wenn hat.vorheizen}}) ein Satz mit Verfahren, Vorheizzeit, Vorheizleistung, Tagen ohne Ankunft und Mehrwärme; mit wirksamer Schnellaufheizung endet er mit „, mit Schnellaufheizung (+2,0 K)“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23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