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Systemarchitektur und elektrotechnische Auslegung von Photovoltaikanlagen: Module, Stränge und Wechselrichter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Einleitung und konzeptionelle Grundlagen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korrekte Auslegung von Photovoltaik-(PV)-Stromversorgungssystemen stellt eine komplexe, interdisziplinäre ingenieurtechnische Aufgabe dar. Sie erfordert ein tiefgreifendes Verständnis der physikalischen Eigenschaften von Halbleitern unter wechselnden klimatischen Bedingungen, der Topologie von Leistungselektronik in Wechselrichtern sowie der strikten Anwendung nationaler und internationaler Normen. Mit Stand vom 08.09.2026 bildet die technische Prüfung und Auslegung der Konfiguration zwischen PV-Modulen, DC-Strängen und MPP-Trackern (Maximum Power Point) den Kern einer jeden sicheren und ertragreichen Anlagenplanung.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nachfolgende Dokumentation analysiert die physikalischen, regulatorischen und softwaretechnischen Zusammenhänge bei der Zusammenstellung von Modulen und Wechselrichtern. Grundlage dieser Betrachtung ist die Systemlogik, wie sie in fortschrittlichen computergestützten Planungswerkzeugen (beispielsweise implementiert in den C#-Modulen EPOS.Kern/Allgemein/Import/StrangPlausibilitaet.cs für die Prüfung und EPOS.Kern/Allgemein/Import/StrangAuslegung.cs für die Auslegungshilfe) realisiert wird. Ziel ist es, ein umfassendes, tiefgründiges Verständnis für die acht zentralen Auslegungsregeln, das dazugehörige Meldungswesen, die Softwarearchitektur der Validierung und die Methodik zur proaktiven Unterstützung der passenden Komponentenauswahl zu vermitteln. Dabei werden die statischen Auslegungsregeln in den Kontext dynamischer Umwelteinflüsse und aktueller Normen, wie der DIN VDE 0100-712 und der novellierten VDE-AR-N 4105:2026-03, gesetzt.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Die Begriffswelt und topologische Struktur der Systemauslegung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die Interaktion der Komponenten auf physikalischer und logischer Ebene präzise zu beschreiben, ist eine exakte Definition der verwendeten Parameter unerlässlich. Diese Definitionen bilden das semantische Fundament für die nachfolgenden mathematischen und logischen Verifikationsschritte.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Begriff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und elektrotechnische Bedeutung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Systemische Implikation in der Software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kleinste zusammenhängende Stromerzeugungseinheit. Ein Katalogmodul wird durch Werte unter Standard-Testbedingungen (STC: 1.000 W/m², 25 °C Zelltemperatur, Air Mass 1,5) definiert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Liefert die Basisparameter </w:t>
            </w:r>
            <w:r w:rsidDel="00000000" w:rsidR="00000000" w:rsidRPr="00000000">
              <w:rPr>
                <w:rFonts w:ascii="Google Sans" w:cs="Google Sans" w:eastAsia="Google Sans" w:hAnsi="Google Sans"/>
                <w:color w:val="1f1f1f"/>
              </w:rPr>
              <w:drawing>
                <wp:inline distB="19050" distT="19050" distL="19050" distR="19050">
                  <wp:extent cx="269378" cy="253052"/>
                  <wp:effectExtent b="0" l="0" r="0" t="0"/>
                  <wp:docPr id="61"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269378" cy="2530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(Leerlaufspannung), </w:t>
            </w:r>
            <w:r w:rsidDel="00000000" w:rsidR="00000000" w:rsidRPr="00000000">
              <w:rPr>
                <w:rFonts w:ascii="Google Sans" w:cs="Google Sans" w:eastAsia="Google Sans" w:hAnsi="Google Sans"/>
                <w:color w:val="1f1f1f"/>
              </w:rPr>
              <w:drawing>
                <wp:inline distB="19050" distT="19050" distL="19050" distR="19050">
                  <wp:extent cx="401836" cy="249138"/>
                  <wp:effectExtent b="0" l="0" r="0" t="0"/>
                  <wp:docPr id="6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1836"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(Spannung im optimalen Arbeitspunkt), </w:t>
            </w:r>
            <w:r w:rsidDel="00000000" w:rsidR="00000000" w:rsidRPr="00000000">
              <w:rPr>
                <w:rFonts w:ascii="Google Sans" w:cs="Google Sans" w:eastAsia="Google Sans" w:hAnsi="Google Sans"/>
                <w:color w:val="1f1f1f"/>
              </w:rPr>
              <w:drawing>
                <wp:inline distB="19050" distT="19050" distL="19050" distR="19050">
                  <wp:extent cx="219522" cy="252043"/>
                  <wp:effectExtent b="0" l="0" r="0" t="0"/>
                  <wp:docPr id="6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19522" cy="252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(Kurzschlussstrom), </w:t>
            </w:r>
            <w:r w:rsidDel="00000000" w:rsidR="00000000" w:rsidRPr="00000000">
              <w:rPr>
                <w:rFonts w:ascii="Google Sans" w:cs="Google Sans" w:eastAsia="Google Sans" w:hAnsi="Google Sans"/>
                <w:color w:val="1f1f1f"/>
              </w:rPr>
              <w:drawing>
                <wp:inline distB="19050" distT="19050" distL="19050" distR="19050">
                  <wp:extent cx="333127" cy="245880"/>
                  <wp:effectExtent b="0" l="0" r="0" t="0"/>
                  <wp:docPr id="6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3127" cy="245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(Temperaturkoeffizient Spannung), </w:t>
            </w:r>
            <w:r w:rsidDel="00000000" w:rsidR="00000000" w:rsidRPr="00000000">
              <w:rPr>
                <w:rFonts w:ascii="Google Sans" w:cs="Google Sans" w:eastAsia="Google Sans" w:hAnsi="Google Sans"/>
                <w:color w:val="1f1f1f"/>
              </w:rPr>
              <w:drawing>
                <wp:inline distB="19050" distT="19050" distL="19050" distR="19050">
                  <wp:extent cx="326926" cy="253367"/>
                  <wp:effectExtent b="0" l="0" r="0" t="0"/>
                  <wp:docPr id="6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6926" cy="253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(Temperaturkoeffizient Strom) und </w:t>
            </w:r>
            <w:r w:rsidDel="00000000" w:rsidR="00000000" w:rsidRPr="00000000">
              <w:rPr>
                <w:rFonts w:ascii="Google Sans" w:cs="Google Sans" w:eastAsia="Google Sans" w:hAnsi="Google Sans"/>
                <w:color w:val="1f1f1f"/>
              </w:rPr>
              <w:drawing>
                <wp:inline distB="19050" distT="19050" distL="19050" distR="19050">
                  <wp:extent cx="407541" cy="247721"/>
                  <wp:effectExtent b="0" l="0" r="0" t="0"/>
                  <wp:docPr id="6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07541" cy="24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(Nennleistung).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Strang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Eine Reihenschaltung von </w:t>
            </w:r>
            <w:r w:rsidDel="00000000" w:rsidR="00000000" w:rsidRPr="00000000">
              <w:rPr>
                <w:rFonts w:ascii="Google Sans" w:cs="Google Sans" w:eastAsia="Google Sans" w:hAnsi="Google Sans"/>
                <w:color w:val="1f1f1f"/>
              </w:rPr>
              <w:drawing>
                <wp:inline distB="19050" distT="19050" distL="19050" distR="19050">
                  <wp:extent cx="117575" cy="260344"/>
                  <wp:effectExtent b="0" l="0" r="0" t="0"/>
                  <wp:docPr id="6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17575" cy="260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Solarmodulen. In dieser Verschaltung addieren sich die Einzelspannungen der Module zu einer Gesamtspannung, während der Strom durch das Glied mit dem geringsten Stromfluss (bzw. durch Baugleichheit) limitiert bleibt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Bestimmt die maximale Systemspannung und die Eingangsspannung am Wechselrichter. Wird in der Strangtabelle des PV-Dialogs als Parameter </w:t>
            </w:r>
            <w:r w:rsidDel="00000000" w:rsidR="00000000" w:rsidRPr="00000000">
              <w:rPr>
                <w:rFonts w:ascii="Google Sans" w:cs="Google Sans" w:eastAsia="Google Sans" w:hAnsi="Google Sans"/>
                <w:color w:val="1f1f1f"/>
              </w:rPr>
              <w:drawing>
                <wp:inline distB="19050" distT="19050" distL="19050" distR="19050">
                  <wp:extent cx="117575" cy="260344"/>
                  <wp:effectExtent b="0" l="0" r="0" t="0"/>
                  <wp:docPr id="6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17575" cy="260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erfasst.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Parallele Stränge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8599" cy="254714"/>
                  <wp:effectExtent b="0" l="0" r="0" t="0"/>
                  <wp:docPr id="6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98599" cy="254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physikalisch getrennte, jedoch identisch konfigurierte Stränge, die parallel auf denselben Leistungseingang geschaltet werden. Hier addieren sich die Ströme, während die Spannung konstant bleibt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Kritisch für die Auslegung der Stromtragfähigkeit und des Kurzschlussstroms (</w:t>
            </w:r>
            <w:r w:rsidDel="00000000" w:rsidR="00000000" w:rsidRPr="00000000">
              <w:rPr>
                <w:rFonts w:ascii="Google Sans" w:cs="Google Sans" w:eastAsia="Google Sans" w:hAnsi="Google Sans"/>
                <w:color w:val="1f1f1f"/>
              </w:rPr>
              <w:drawing>
                <wp:inline distB="19050" distT="19050" distL="19050" distR="19050">
                  <wp:extent cx="219522" cy="252043"/>
                  <wp:effectExtent b="0" l="0" r="0" t="0"/>
                  <wp:docPr id="7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19522" cy="252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 Eingang des Wechselrichters.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MPPT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Power Point Tracker. Eine leistungselektronische Regelschleife im Wechselrichter, die Strom und Spannung kontinuierlich anpasst, um das maximale Leistungsprodukt abzugreifen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Jeder MPPT besitzt ein hardwarespezifisches Betriebsfenster (</w:t>
            </w:r>
            <w:r w:rsidDel="00000000" w:rsidR="00000000" w:rsidRPr="00000000">
              <w:rPr>
                <w:rFonts w:ascii="Google Sans" w:cs="Google Sans" w:eastAsia="Google Sans" w:hAnsi="Google Sans"/>
                <w:color w:val="1f1f1f"/>
              </w:rPr>
              <w:drawing>
                <wp:inline distB="19050" distT="19050" distL="19050" distR="19050">
                  <wp:extent cx="764356" cy="246823"/>
                  <wp:effectExtent b="0" l="0" r="0" t="0"/>
                  <wp:docPr id="7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64356" cy="246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bis </w:t>
            </w:r>
            <w:r w:rsidDel="00000000" w:rsidR="00000000" w:rsidRPr="00000000">
              <w:rPr>
                <w:rFonts w:ascii="Google Sans" w:cs="Google Sans" w:eastAsia="Google Sans" w:hAnsi="Google Sans"/>
                <w:color w:val="1f1f1f"/>
              </w:rPr>
              <w:drawing>
                <wp:inline distB="19050" distT="19050" distL="19050" distR="19050">
                  <wp:extent cx="785813" cy="246063"/>
                  <wp:effectExtent b="0" l="0" r="0" t="0"/>
                  <wp:docPr id="71"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785813" cy="246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sowie eine absolute Stromgrenze, die nicht überschritten werden darf.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Gerät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physischer Wechselrichter, der Gleichstrom in netzkonformen Wechselstrom wandelt.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Identifiziert durch eine Gerätenummer. Stränge mit derselben Nummer nutzen die Gesamtkapazität desselben Geräts. Bei Mehrfachbelegung teilen sich die Stränge die AC-Nennleistung.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DC/AC-Verhältnis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Quotient aus der summierten DC-Nennleistung (</w:t>
            </w:r>
            <w:r w:rsidDel="00000000" w:rsidR="00000000" w:rsidRPr="00000000">
              <w:rPr>
                <w:rFonts w:ascii="Google Sans" w:cs="Google Sans" w:eastAsia="Google Sans" w:hAnsi="Google Sans"/>
                <w:color w:val="1f1f1f"/>
              </w:rPr>
              <w:drawing>
                <wp:inline distB="19050" distT="19050" distL="19050" distR="19050">
                  <wp:extent cx="407541" cy="247721"/>
                  <wp:effectExtent b="0" l="0" r="0" t="0"/>
                  <wp:docPr id="7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07541" cy="24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angeschlossenen Module und der maximalen AC-Ausgangsleistung des Geräts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Indikator für die Überdimensionierung (Overpaneling) des PV-Generators, entscheidend für die Wirtschaftlichkeit und das Inverter Clipping.</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Thermische Modellierung und Umwelteinflüsse auf Halbleiter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in Datenblättern deklarierten Nennwerte basieren auf den Standard-Testbedingungen (STC), die in der realen Umgebung nahezu nie eintreten. Ein Einstrahlungswert von 1.000 W/m² geht im Freifeld mit einer signifikanten Aufheizung des Moduls einher, wodurch die reale Zelltemperatur weit über den geforderten 25 °C liegt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Für die ingenieurtechnische Anlagenplanung ist es daher zwingend erforderlich, das Verhalten des Silizium-Halbleiters unter extremen Temperaturbedingungen zu simulieren.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Dynamische Temperaturmodelle versus statische Grenzwerte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der wissenschaftlichen Leistungsmodellierung existieren komplexe Modelle zur Vorhersage der exakten Zelltemperatur. Das Nominal Operating Cell Temperature (NOCT) Modell definiert beispielsweise realistischere Referenzbedingungen (800 W/m², 20 °C Lufttemperatur, 1 m/s Windgeschwindigkeit), bei denen typische Zelltemperaturen von etwa 45 °C erreicht werden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Noch präziser arbeiten empirische Wärmeverlustmodelle wie das Faiman-Modell oder das Sandia-Temperaturmodell, welche die Umwelteinflüsse detailliert aufschlüsseln. Beim </w:t>
      </w:r>
      <w:r w:rsidDel="00000000" w:rsidR="00000000" w:rsidRPr="00000000">
        <w:rPr>
          <w:rFonts w:ascii="Google Sans" w:cs="Google Sans" w:eastAsia="Google Sans" w:hAnsi="Google Sans"/>
          <w:b w:val="1"/>
          <w:bCs w:val="1"/>
          <w:color w:val="1f1f1f"/>
          <w:rtl w:val="0"/>
        </w:rPr>
        <w:t xml:space="preserve">Faiman-Modell</w:t>
      </w:r>
      <w:r w:rsidDel="00000000" w:rsidR="00000000" w:rsidRPr="00000000">
        <w:rPr>
          <w:rFonts w:ascii="Google Sans" w:cs="Google Sans" w:eastAsia="Google Sans" w:hAnsi="Google Sans"/>
          <w:color w:val="1f1f1f"/>
          <w:rtl w:val="0"/>
        </w:rPr>
        <w:t xml:space="preserve"> wird die Modultemperatur (</w:t>
      </w:r>
      <w:r w:rsidDel="00000000" w:rsidR="00000000" w:rsidRPr="00000000">
        <w:rPr>
          <w:rFonts w:ascii="Google Sans" w:cs="Google Sans" w:eastAsia="Google Sans" w:hAnsi="Google Sans"/>
          <w:color w:val="1f1f1f"/>
        </w:rPr>
        <w:drawing>
          <wp:inline distB="19050" distT="19050" distL="19050" distR="19050">
            <wp:extent cx="244574" cy="244574"/>
            <wp:effectExtent b="0" l="0" r="0" t="0"/>
            <wp:docPr id="7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244574" cy="2445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mithilfe der Formel </w:t>
      </w:r>
      <w:r w:rsidDel="00000000" w:rsidR="00000000" w:rsidRPr="00000000">
        <w:rPr>
          <w:rFonts w:ascii="Google Sans" w:cs="Google Sans" w:eastAsia="Google Sans" w:hAnsi="Google Sans"/>
          <w:color w:val="1f1f1f"/>
        </w:rPr>
        <w:drawing>
          <wp:inline distB="19050" distT="19050" distL="19050" distR="19050">
            <wp:extent cx="2737695" cy="246711"/>
            <wp:effectExtent b="0" l="0" r="0" t="0"/>
            <wp:docPr id="7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2737695" cy="246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ermittelt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Die Berechnung integriert folgende fundamentale physikalische Parameter:</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6701" cy="243909"/>
            <wp:effectExtent b="0" l="0" r="0" t="0"/>
            <wp:docPr id="7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96701" cy="2439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(Ambient Air Temperature):</w:t>
      </w:r>
      <w:r w:rsidDel="00000000" w:rsidR="00000000" w:rsidRPr="00000000">
        <w:rPr>
          <w:rFonts w:ascii="Google Sans" w:cs="Google Sans" w:eastAsia="Google Sans" w:hAnsi="Google Sans"/>
          <w:color w:val="1f1f1f"/>
          <w:rtl w:val="0"/>
        </w:rPr>
        <w:t xml:space="preserve"> Die Umgebungslufttemperatur in °C.</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53430" cy="246602"/>
            <wp:effectExtent b="0" l="0" r="0" t="0"/>
            <wp:docPr id="7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3430" cy="24660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(Plane of Array Irradiance):</w:t>
      </w:r>
      <w:r w:rsidDel="00000000" w:rsidR="00000000" w:rsidRPr="00000000">
        <w:rPr>
          <w:rFonts w:ascii="Google Sans" w:cs="Google Sans" w:eastAsia="Google Sans" w:hAnsi="Google Sans"/>
          <w:color w:val="1f1f1f"/>
          <w:rtl w:val="0"/>
        </w:rPr>
        <w:t xml:space="preserve"> Die spezifische solare Bestrahlungsstärke, die unter Berücksichtigung des Aufstellwinkels exakt auf die Moduloberfläche trifft (in W/m²).</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12080" cy="252864"/>
            <wp:effectExtent b="0" l="0" r="0" t="0"/>
            <wp:docPr id="7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12080" cy="2528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Ein konstanter Wärmeübergangskoeffizient, der die windunabhängige Wärmeabstrahlung und thermische Konvektion des Moduls beschreibt (in W/(m²K)).</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12080" cy="252864"/>
            <wp:effectExtent b="0" l="0" r="0" t="0"/>
            <wp:docPr id="79"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212080" cy="2528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Der konvektive Wärmeübergangskoeffizient, der die Effizienz der Modulkühlung durch Luftströmungen abbildet (in W/(m³sK)).</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86618" cy="246810"/>
            <wp:effectExtent b="0" l="0" r="0" t="0"/>
            <wp:docPr id="80"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86618" cy="2468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(Wind Speed):</w:t>
      </w:r>
      <w:r w:rsidDel="00000000" w:rsidR="00000000" w:rsidRPr="00000000">
        <w:rPr>
          <w:rFonts w:ascii="Google Sans" w:cs="Google Sans" w:eastAsia="Google Sans" w:hAnsi="Google Sans"/>
          <w:color w:val="1f1f1f"/>
          <w:rtl w:val="0"/>
        </w:rPr>
        <w:t xml:space="preserve"> Die lokale Windgeschwindigkeit in m/s, welche die konvektive Kühlung dynamisch skaliert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w:t>
      </w:r>
      <w:r w:rsidDel="00000000" w:rsidR="00000000" w:rsidRPr="00000000">
        <w:rPr>
          <w:rFonts w:ascii="Google Sans" w:cs="Google Sans" w:eastAsia="Google Sans" w:hAnsi="Google Sans"/>
          <w:b w:val="1"/>
          <w:bCs w:val="1"/>
          <w:color w:val="1f1f1f"/>
          <w:rtl w:val="0"/>
        </w:rPr>
        <w:t xml:space="preserve">Sandia-Modell</w:t>
      </w:r>
      <w:r w:rsidDel="00000000" w:rsidR="00000000" w:rsidRPr="00000000">
        <w:rPr>
          <w:rFonts w:ascii="Google Sans" w:cs="Google Sans" w:eastAsia="Google Sans" w:hAnsi="Google Sans"/>
          <w:color w:val="1f1f1f"/>
          <w:rtl w:val="0"/>
        </w:rPr>
        <w:t xml:space="preserve"> baut auf empirischen Messungen auf und berechnet zunächst die Modultemperatur über ähnliche Umweltdaten. Im Anschluss wird die tatsächliche Zelltemperatur (</w:t>
      </w:r>
      <w:r w:rsidDel="00000000" w:rsidR="00000000" w:rsidRPr="00000000">
        <w:rPr>
          <w:rFonts w:ascii="Google Sans" w:cs="Google Sans" w:eastAsia="Google Sans" w:hAnsi="Google Sans"/>
          <w:color w:val="1f1f1f"/>
        </w:rPr>
        <w:drawing>
          <wp:inline distB="19050" distT="19050" distL="19050" distR="19050">
            <wp:extent cx="183554" cy="258645"/>
            <wp:effectExtent b="0" l="0" r="0" t="0"/>
            <wp:docPr id="51"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183554" cy="2586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abgeleitet, indem ein empirischer Temperaturdifferenzparameter (</w:t>
      </w:r>
      <w:r w:rsidDel="00000000" w:rsidR="00000000" w:rsidRPr="00000000">
        <w:rPr>
          <w:rFonts w:ascii="Google Sans" w:cs="Google Sans" w:eastAsia="Google Sans" w:hAnsi="Google Sans"/>
          <w:color w:val="1f1f1f"/>
        </w:rPr>
        <w:drawing>
          <wp:inline distB="19050" distT="19050" distL="19050" distR="19050">
            <wp:extent cx="304850" cy="248693"/>
            <wp:effectExtent b="0" l="0" r="0" t="0"/>
            <wp:docPr id="5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04850" cy="248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 die Einstrahlung (</w:t>
      </w:r>
      <w:r w:rsidDel="00000000" w:rsidR="00000000" w:rsidRPr="00000000">
        <w:rPr>
          <w:rFonts w:ascii="Google Sans" w:cs="Google Sans" w:eastAsia="Google Sans" w:hAnsi="Google Sans"/>
          <w:color w:val="1f1f1f"/>
        </w:rPr>
        <w:drawing>
          <wp:inline distB="19050" distT="19050" distL="19050" distR="19050">
            <wp:extent cx="453430" cy="246602"/>
            <wp:effectExtent b="0" l="0" r="0" t="0"/>
            <wp:docPr id="5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3430" cy="246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mit einer Referenzeinstrahlung (</w:t>
      </w:r>
      <w:r w:rsidDel="00000000" w:rsidR="00000000" w:rsidRPr="00000000">
        <w:rPr>
          <w:rFonts w:ascii="Google Sans" w:cs="Google Sans" w:eastAsia="Google Sans" w:hAnsi="Google Sans"/>
          <w:color w:val="1f1f1f"/>
        </w:rPr>
        <w:drawing>
          <wp:inline distB="19050" distT="19050" distL="19050" distR="19050">
            <wp:extent cx="222870" cy="255887"/>
            <wp:effectExtent b="0" l="0" r="0" t="0"/>
            <wp:docPr id="5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222870" cy="255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von 1.000 W/m²) ins Verhältnis gesetzt werden: </w:t>
      </w:r>
      <w:r w:rsidDel="00000000" w:rsidR="00000000" w:rsidRPr="00000000">
        <w:rPr>
          <w:rFonts w:ascii="Google Sans" w:cs="Google Sans" w:eastAsia="Google Sans" w:hAnsi="Google Sans"/>
          <w:color w:val="1f1f1f"/>
        </w:rPr>
        <w:drawing>
          <wp:inline distB="19050" distT="19050" distL="19050" distR="19050">
            <wp:extent cx="2302002" cy="246076"/>
            <wp:effectExtent b="0" l="0" r="0" t="0"/>
            <wp:docPr id="5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2302002" cy="24607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Neuere Forschungsansätze berücksichtigen zudem den radiativen Wärmeverlust an den kalten Himmel, um die Präzision dynamischer Simulationen weiter zu steigern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Für die statische Grenzwertermittlung im </w:t>
      </w:r>
      <w:r w:rsidDel="00000000" w:rsidR="00000000" w:rsidRPr="00000000">
        <w:rPr>
          <w:rFonts w:ascii="Google Sans" w:cs="Google Sans" w:eastAsia="Google Sans" w:hAnsi="Google Sans"/>
          <w:b w:val="1"/>
          <w:bCs w:val="1"/>
          <w:color w:val="1f1f1f"/>
          <w:rtl w:val="0"/>
        </w:rPr>
        <w:t xml:space="preserve">Auslegungsstadium (Dimensionierung der Hardware)</w:t>
      </w:r>
      <w:r w:rsidDel="00000000" w:rsidR="00000000" w:rsidRPr="00000000">
        <w:rPr>
          <w:rFonts w:ascii="Google Sans" w:cs="Google Sans" w:eastAsia="Google Sans" w:hAnsi="Google Sans"/>
          <w:color w:val="1f1f1f"/>
          <w:rtl w:val="0"/>
        </w:rPr>
        <w:t xml:space="preserve"> sind solche flüchtigen, zeitaufgelösten Modelle (</w:t>
      </w:r>
      <w:r w:rsidDel="00000000" w:rsidR="00000000" w:rsidRPr="00000000">
        <w:rPr>
          <w:rFonts w:ascii="Google Sans" w:cs="Google Sans" w:eastAsia="Google Sans" w:hAnsi="Google Sans"/>
          <w:color w:val="1f1f1f"/>
        </w:rPr>
        <w:drawing>
          <wp:inline distB="19050" distT="19050" distL="19050" distR="19050">
            <wp:extent cx="286618" cy="246810"/>
            <wp:effectExtent b="0" l="0" r="0" t="0"/>
            <wp:docPr id="5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86618" cy="246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701" cy="243909"/>
            <wp:effectExtent b="0" l="0" r="0" t="0"/>
            <wp:docPr id="5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96701" cy="243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53430" cy="246602"/>
            <wp:effectExtent b="0" l="0" r="0" t="0"/>
            <wp:docPr id="5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3430" cy="246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jedoch zu komplex und im Sinne der Anlagensicherheit nicht konservativ genug. Es bedarf statischer Hüllkurven, die deterministische Worst-Case-Szenarien ohne Berücksichtigung kühlender Faktoren absichern. Die internationale Praxis (beispielsweise verankert in der IEC 62548 und der DIN VDE 0100-712) definiert hierzu feste Auslegungstemperaturen für die Berechnung der Spannungsgrenzen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 kalte Fall (-10 °C Zelltemperatur):</w:t>
      </w:r>
      <w:r w:rsidDel="00000000" w:rsidR="00000000" w:rsidRPr="00000000">
        <w:rPr>
          <w:rFonts w:ascii="Google Sans" w:cs="Google Sans" w:eastAsia="Google Sans" w:hAnsi="Google Sans"/>
          <w:color w:val="1f1f1f"/>
          <w:rtl w:val="0"/>
        </w:rPr>
        <w:t xml:space="preserve"> Bei sinkenden Temperaturen verringert sich die Eigenleitungsdichte des Halbleiters, was den internen Leckstrom minimiert und die Spannung an den Klemmen drastisch ansteigen lässt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Dieser Zustand tritt typischerweise an kalten, klaren Wintermorgen auf. Die Leerlaufspannung (</w:t>
      </w:r>
      <w:r w:rsidDel="00000000" w:rsidR="00000000" w:rsidRPr="00000000">
        <w:rPr>
          <w:rFonts w:ascii="Google Sans" w:cs="Google Sans" w:eastAsia="Google Sans" w:hAnsi="Google Sans"/>
          <w:color w:val="1f1f1f"/>
        </w:rPr>
        <w:drawing>
          <wp:inline distB="19050" distT="19050" distL="19050" distR="19050">
            <wp:extent cx="269378" cy="253052"/>
            <wp:effectExtent b="0" l="0" r="0" t="0"/>
            <wp:docPr id="59"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269378" cy="2530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erreicht hier ihr absolutes Maximum, was die Isolationsfestigkeit und die Bauteiltoleranzen des Wechselrichters herausfordert.</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 heiße Fall (+70 °C Zelltemperatur):</w:t>
      </w:r>
      <w:r w:rsidDel="00000000" w:rsidR="00000000" w:rsidRPr="00000000">
        <w:rPr>
          <w:rFonts w:ascii="Google Sans" w:cs="Google Sans" w:eastAsia="Google Sans" w:hAnsi="Google Sans"/>
          <w:color w:val="1f1f1f"/>
          <w:rtl w:val="0"/>
        </w:rPr>
        <w:t xml:space="preserve"> Im Hochsommer können PV-Module durch die absorbierte Strahlung (</w:t>
      </w:r>
      <w:r w:rsidDel="00000000" w:rsidR="00000000" w:rsidRPr="00000000">
        <w:rPr>
          <w:rFonts w:ascii="Google Sans" w:cs="Google Sans" w:eastAsia="Google Sans" w:hAnsi="Google Sans"/>
          <w:color w:val="1f1f1f"/>
        </w:rPr>
        <w:drawing>
          <wp:inline distB="19050" distT="19050" distL="19050" distR="19050">
            <wp:extent cx="453430" cy="246602"/>
            <wp:effectExtent b="0" l="0" r="0" t="0"/>
            <wp:docPr id="6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3430" cy="246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 mangelnde Hinterlüftung Temperaturen von 70 °C oder mehr erreichen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Die thermische Energie regt vermehrt Elektronen an, was den Strom minimal ansteigen lässt, jedoch die Spannung massiv absinken lässt. Dies ist der kritische Zustand für den Ertragsverlust, da die Systemspannung unter das Tracking-Fenster des Wechselrichters fallen kann.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Die Anwendung von Temperaturkoeffizienten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diese statischen Extremwerte mathematisch zu greifen, werden materialspezifische Temperaturkoeffizienten herangezogen, die im Datenblatt eines jeden PV-Moduls ausgewiesen sein müssen. Der Koeffizient </w:t>
      </w:r>
      <w:r w:rsidDel="00000000" w:rsidR="00000000" w:rsidRPr="00000000">
        <w:rPr>
          <w:rFonts w:ascii="Google Sans" w:cs="Google Sans" w:eastAsia="Google Sans" w:hAnsi="Google Sans"/>
          <w:color w:val="1f1f1f"/>
        </w:rPr>
        <w:drawing>
          <wp:inline distB="19050" distT="19050" distL="19050" distR="19050">
            <wp:extent cx="333127" cy="24588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3127" cy="245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beschreibt die prozentuale Spannungsänderung pro Grad Celsius Abweichung von den 25 °C der STC-Bedingungen. Bei kristallinem Silizium ist dieser Wert stets negativ (typischerweise -0,25 %/°C bis -0,35 %/°C)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Der Koeffizient </w:t>
      </w:r>
      <w:r w:rsidDel="00000000" w:rsidR="00000000" w:rsidRPr="00000000">
        <w:rPr>
          <w:rFonts w:ascii="Google Sans" w:cs="Google Sans" w:eastAsia="Google Sans" w:hAnsi="Google Sans"/>
          <w:color w:val="1f1f1f"/>
        </w:rPr>
        <w:drawing>
          <wp:inline distB="19050" distT="19050" distL="19050" distR="19050">
            <wp:extent cx="326926" cy="253367"/>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6926" cy="253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für den Kurzschlussstrom ist leicht positiv (ca. +0,04 %/°C bis +0,06 %/°C)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der Praxis führt nicht jeder Hersteller einen spezifischen Koeffizienten für die Spannung im optimalen Arbeitspunkt (</w:t>
      </w:r>
      <w:r w:rsidDel="00000000" w:rsidR="00000000" w:rsidRPr="00000000">
        <w:rPr>
          <w:rFonts w:ascii="Google Sans" w:cs="Google Sans" w:eastAsia="Google Sans" w:hAnsi="Google Sans"/>
          <w:color w:val="1f1f1f"/>
        </w:rPr>
        <w:drawing>
          <wp:inline distB="19050" distT="19050" distL="19050" distR="19050">
            <wp:extent cx="401836" cy="249138"/>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1836"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Softwaresystemen wie EPOS-Plan wird daher konservativ genähert, indem der Koeffizient der Leerlaufspannung (</w:t>
      </w:r>
      <w:r w:rsidDel="00000000" w:rsidR="00000000" w:rsidRPr="00000000">
        <w:rPr>
          <w:rFonts w:ascii="Google Sans" w:cs="Google Sans" w:eastAsia="Google Sans" w:hAnsi="Google Sans"/>
          <w:color w:val="1f1f1f"/>
        </w:rPr>
        <w:drawing>
          <wp:inline distB="19050" distT="19050" distL="19050" distR="19050">
            <wp:extent cx="333127" cy="245880"/>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3127" cy="245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auch für die Kalkulation der MPP-Spannung herangezogen wird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Diese Näherung hat sich als verlässlich erwiesen und wird in der UI in den Werkzeugtipps transparent kommuniziert.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Normative Rahmenbedingungen der Auslegung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mathematische Prüfung der Modul-Wechselrichter-Kombination existiert nicht im luftleeren Raum, sondern ist die direkte informationstechnische Übersetzung verbindlicher elektrotechnischer Normenkreise. Zwei Normen sind hier für die Logik der Auslegungsprüfung von entscheidender Bedeutung.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Die DIN VDE 0100-712: Sicherheit und Grenzwerte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DIN VDE 0100-712 regelt die Errichtung von Niederspannungsanlagen mit besonderem Fokus auf Photovoltaik-Stromversorgungssysteme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Sie definiert die zwingenden Anforderungen an den Schutz gegen elektrischen Schlag, den Brandschutz und die Dimensionierung von Leitungen. Ein zentraler Aspekt der Norm, der in der Plausibilitätsprüfung (Regel P1 und P4) verankert ist, ist das Verfahren zur Berechnung der maximalen Systemspannung und des maximalen Stroms im Anhang B</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Die Norm begrenzt die Systemspannung im privaten und gewerblichen Niederspannungsbereich rigoros auf 1.000 V DC (in Großanlagen bis 1.500 V DC)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Zusätzlich fordert die Norm für den Schutz gegen Kurzschlüsse (relevant für die Stromgrenzen des MPPT), dass die Belastbarkeit der Systemkomponenten und Leitungen auf den 1,25-fachen Kurzschlussstrom (</w:t>
      </w:r>
      <w:r w:rsidDel="00000000" w:rsidR="00000000" w:rsidRPr="00000000">
        <w:rPr>
          <w:rFonts w:ascii="Google Sans" w:cs="Google Sans" w:eastAsia="Google Sans" w:hAnsi="Google Sans"/>
          <w:color w:val="1f1f1f"/>
        </w:rPr>
        <w:drawing>
          <wp:inline distB="19050" distT="19050" distL="19050" distR="19050">
            <wp:extent cx="219522" cy="252043"/>
            <wp:effectExtent b="0" l="0" r="0" t="0"/>
            <wp:docPr id="1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19522" cy="252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unter STC ausgelegt sein muss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Dieser Korrekturfaktor (</w:t>
      </w:r>
      <w:r w:rsidDel="00000000" w:rsidR="00000000" w:rsidRPr="00000000">
        <w:rPr>
          <w:rFonts w:ascii="Google Sans" w:cs="Google Sans" w:eastAsia="Google Sans" w:hAnsi="Google Sans"/>
          <w:color w:val="1f1f1f"/>
        </w:rPr>
        <w:drawing>
          <wp:inline distB="19050" distT="19050" distL="19050" distR="19050">
            <wp:extent cx="247179" cy="247179"/>
            <wp:effectExtent b="0" l="0" r="0" t="0"/>
            <wp:docPr id="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247179" cy="247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berücksichtigt das Phänomen, dass durch Wolkenrandeffekte (Linseneffekte, bei denen diffuses und direktes Licht zeitgleich auf das Modul treffen) oder hohe Reflexionsgrade (Albedo durch Schnee) die Einstrahlung kurzfristig weit über die 1.000 W/m² der STC-Bedingungen ansteigen kann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Dieser Sicherheitsfaktor ist in der Softwarelogik der Stromprüfung als impliziter Bestandteil der thermischen Korrektur zu verstehen, um Überlastungen der Wechselrichter-Eingangsstufen auszuschließen. Ferner schreibt die Norm den zwingenden Einbau eines DC-seitigen Überspannungsschutzes (SPD Typ 2 oder Typ 1+2 Kombiableiter) zum Schutz des Wechselrichters vor transienten Spannungsspitzen (z. B. durch indirekte Blitzeinschläge) vor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Die VDE-AR-N 4105:2026-03: Netzanschluss und Wirkleistungsbegrenzung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am 1. März 2026 in Kraft getretene Neufassung der VDE-AR-N 4105 ("Erzeugungsanlagen am Niederspannungsnetz") hat fundamentale Auswirkungen auf das Verständnis des DC/AC-Verhältnisses (Regel P6) in der Auslegungssoftware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Die Norm regelt das Zusammenspiel von PV-Anlage und öffentlichem Netz und definiert klare Systemgrenzen.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gravierendste Neuerung betrifft Kleinsterzeugungsanlagen, für die nun ein stark vereinfachtes Anmeldeverfahren etabliert wurde. Die Norm stellt klar, dass sich die Grenze von 800 VA (Voltampere) für solche laienbedienbaren Steckersolargeräte ausschließlich auf die AC-seitige Einspeiseleistung des Wechselrichters bezieht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Gleichzeitig wird die DC-seitige Modulleistung auf maximal 2.000 Wp (Watt Peak) begrenzt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Für den Anschluss über eine klassische Schutzkontaktsteckdose (Schuko) greift zudem in Kombination mit der Produktnorm DIN VDE V 0126-95 ein Limit von 960 Wp; alles darüber erfordert eine spezielle Energiesteckvorrichtung (z. B. Wieland)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Für die Softwareauslegung bedeutet dies einen Paradigmenwechsel: Eine massive Überdimensionierung der DC-Seite (Overpaneling) ist normativ nicht nur geduldet, sondern wird im Bereich kleiner Anlagen zum Standard. Ein Balkonkraftwerk mit 2.000 Wp Modulleistung an einem auf 800 VA gedrosselten Wechselrichter entspricht einem DC/AC-Verhältnis von 2,5. Dies ermöglicht es dem Anlagenbetreiber, die 800 VA-Einspeisegrenze schon in den frühen Morgenstunden und bis spät in den Abend voll auszuschöpfen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Der Wechselrichter kappt die überschüssige DC-Leistung in der Mittagszeit (Inverter Clipping)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Auch für größere Hausdachanlagen fördert die Norm das Konzept der Überdimensionierung, wenngleich hier ab 2.000 Wp die Involvierung einer Elektrofachkraft und die Integration eines zertifizierten Netz- und Anlagenschutzes (NA-Schutz) obligatorisch werden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Die Regel P6 der Software muss diese normative Toleranz gegenüber hohem DC/AC-Ratio durch eine entsprechend weiche Parametrisierung (Gelbe Warnung, kein harter Fehler) abbilden.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Die acht Kernregeln der algorithmischen Plausibilitätsprüfung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Sicherstellung der elektrischen Kompatibilität zwischen PV-Generator und Wechselrichter basiert auf einem strikten mathematischen Regelwerk. Ein fehlender Katalogwert führt in der Prüflogik (StrangPlausibilitaet.cs) stets zu einem "Gelben" Indikator. Eine "Fail-Safe"-Philosophie verbietet es, eine nicht prüfbare Konfiguration fälschlicherweise als sicher (Grün) zu deklarieren. Sind alle Parameter vorhanden, durchlaufen die Komponenten die folgenden acht Prüfungen.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P1: Leerlaufspannung im kalten Fall (Sicherheitskritisch – ROT)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37014" cy="245950"/>
            <wp:effectExtent b="0" l="0" r="0" t="0"/>
            <wp:docPr id="1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3237014" cy="2459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Erläuterung der Variablen:</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117575" cy="260344"/>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17575" cy="260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Anzahl der in Reihe geschalteten Module im Strang.</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69378" cy="253052"/>
            <wp:effectExtent b="0" l="0" r="0" t="0"/>
            <wp:docPr id="19"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269378" cy="2530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(Open Circuit Voltage): Die Leerlaufspannung eines einzelnen Moduls unter STC. Das ist die maximale Spannung, die anliegt, wenn kein Strom fließt (z.B. bevor der Wechselrichter morgens zuschaltet).</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33127" cy="245880"/>
            <wp:effectExtent b="0" l="0" r="0" t="0"/>
            <wp:docPr id="2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3127" cy="245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Temperaturkoeffizient der Spannung. Er gibt an, um wie viel Prozent sich die Spannung pro Grad Temperaturabweichung verändert (ein negativer Wert, da Kälte die Spannung erhöht).</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87710" cy="247895"/>
            <wp:effectExtent b="0" l="0" r="0" t="0"/>
            <wp:docPr id="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87710" cy="247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absolute maximale Eingangsspannung, die der Wechselrichter verarbeiten kann.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Diese Prüfung stellt die absolute Lebensversicherung für die Hardware dar. Die auf -10 °C temperaturkorrigierte Leerlaufspannung des seriell verschalteten Strangs darf die maximale Eingangsspannung (</w:t>
      </w:r>
      <w:r w:rsidDel="00000000" w:rsidR="00000000" w:rsidRPr="00000000">
        <w:rPr>
          <w:rFonts w:ascii="Google Sans" w:cs="Google Sans" w:eastAsia="Google Sans" w:hAnsi="Google Sans"/>
          <w:color w:val="1f1f1f"/>
        </w:rPr>
        <w:drawing>
          <wp:inline distB="19050" distT="19050" distL="19050" distR="19050">
            <wp:extent cx="687710" cy="247895"/>
            <wp:effectExtent b="0" l="0" r="0" t="0"/>
            <wp:docPr id="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87710" cy="247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 Wechselrichters niemals überschreiten. Eine Überschreitung dieser Grenze führt unweigerlich zur Zerstörung der Leistungselektronik (IGBTs)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Die Nichtbeachtung führt zudem zum sofortigen Erlöschen jeglicher Herstellergarantien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Wird diese Regel verletzt, meldet das System einen kritischen Fehler (</w:t>
      </w:r>
      <w:r w:rsidDel="00000000" w:rsidR="00000000" w:rsidRPr="00000000">
        <w:rPr>
          <w:rFonts w:ascii="Google Sans" w:cs="Google Sans" w:eastAsia="Google Sans" w:hAnsi="Google Sans"/>
          <w:b w:val="1"/>
          <w:bCs w:val="1"/>
          <w:color w:val="1f1f1f"/>
          <w:rtl w:val="0"/>
        </w:rPr>
        <w:t xml:space="preserve">ROT</w:t>
      </w:r>
      <w:r w:rsidDel="00000000" w:rsidR="00000000" w:rsidRPr="00000000">
        <w:rPr>
          <w:rFonts w:ascii="Google Sans" w:cs="Google Sans" w:eastAsia="Google Sans" w:hAnsi="Google Sans"/>
          <w:color w:val="1f1f1f"/>
          <w:rtl w:val="0"/>
        </w:rPr>
        <w:t xml:space="preserve">: „der Wechselrichter kann bei Frost und Sonne Schaden nehmen“).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P2: MPP-Fenster im heißen Fall (Ertragskritisch – ROT)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93688" cy="246035"/>
            <wp:effectExtent b="0" l="0" r="0" t="0"/>
            <wp:docPr id="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3293688" cy="24603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Erläuterung der Variablen:</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401836" cy="249138"/>
            <wp:effectExtent b="0" l="0" r="0" t="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1836"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(Maximum Power Point Voltage): Die Modulspannung, bei der das Produkt aus Strom und Spannung (also die Leistung) unter Standardtestbedingungen am größten ist. Dies ist die reguläre Arbeitsspannung.</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64356" cy="246823"/>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64356" cy="246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untere Schwellenspannung des MPP-Trackers des Wechselrichters. Sinkt die Eingangsspannung darunter, kann der Arbeitspunkt nicht mehr nachgeführt werden.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Bei extremen sommerlichen Bedingungen (hohe Umgebungstemperatur </w:t>
      </w:r>
      <w:r w:rsidDel="00000000" w:rsidR="00000000" w:rsidRPr="00000000">
        <w:rPr>
          <w:rFonts w:ascii="Google Sans" w:cs="Google Sans" w:eastAsia="Google Sans" w:hAnsi="Google Sans"/>
          <w:color w:val="1f1f1f"/>
        </w:rPr>
        <w:drawing>
          <wp:inline distB="19050" distT="19050" distL="19050" distR="19050">
            <wp:extent cx="196701" cy="243909"/>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96701" cy="243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starke Einstrahlung </w:t>
      </w:r>
      <w:r w:rsidDel="00000000" w:rsidR="00000000" w:rsidRPr="00000000">
        <w:rPr>
          <w:rFonts w:ascii="Google Sans" w:cs="Google Sans" w:eastAsia="Google Sans" w:hAnsi="Google Sans"/>
          <w:color w:val="1f1f1f"/>
        </w:rPr>
        <w:drawing>
          <wp:inline distB="19050" distT="19050" distL="19050" distR="19050">
            <wp:extent cx="453430" cy="246602"/>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3430" cy="246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 Windstille </w:t>
      </w:r>
      <w:r w:rsidDel="00000000" w:rsidR="00000000" w:rsidRPr="00000000">
        <w:rPr>
          <w:rFonts w:ascii="Google Sans" w:cs="Google Sans" w:eastAsia="Google Sans" w:hAnsi="Google Sans"/>
          <w:color w:val="1f1f1f"/>
        </w:rPr>
        <w:drawing>
          <wp:inline distB="19050" distT="19050" distL="19050" distR="19050">
            <wp:extent cx="645666" cy="247107"/>
            <wp:effectExtent b="0" l="0" r="0" t="0"/>
            <wp:docPr id="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45666" cy="247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können Modultemperaturen im Hochsommer auf 70 °C ansteigen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Da Wärme den Halbleiterwiderstand verändert, fällt die Betriebsspannung (</w:t>
      </w:r>
      <w:r w:rsidDel="00000000" w:rsidR="00000000" w:rsidRPr="00000000">
        <w:rPr>
          <w:rFonts w:ascii="Google Sans" w:cs="Google Sans" w:eastAsia="Google Sans" w:hAnsi="Google Sans"/>
          <w:color w:val="1f1f1f"/>
        </w:rPr>
        <w:drawing>
          <wp:inline distB="19050" distT="19050" distL="19050" distR="19050">
            <wp:extent cx="401836" cy="249138"/>
            <wp:effectExtent b="0" l="0" r="0" t="0"/>
            <wp:docPr id="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1836"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signifikant ab. Unterschreitet die kumulierte Strangspannung die untere Grenze des MPPT-Arbeitsfensters (</w:t>
      </w:r>
      <w:r w:rsidDel="00000000" w:rsidR="00000000" w:rsidRPr="00000000">
        <w:rPr>
          <w:rFonts w:ascii="Google Sans" w:cs="Google Sans" w:eastAsia="Google Sans" w:hAnsi="Google Sans"/>
          <w:color w:val="1f1f1f"/>
        </w:rPr>
        <w:drawing>
          <wp:inline distB="19050" distT="19050" distL="19050" distR="19050">
            <wp:extent cx="764356" cy="246823"/>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64356" cy="246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kann der MPP-Tracker den optimalen Leistungspunkt nicht mehr finden. Der Wechselrichter ist gezwungen, den Strom zu drosseln oder die Einspeisung vollständig einzustellen (Drop-out)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Da dieser Effekt in den ertragsstärksten Sommermonaten auftritt, wird die Verletzung dieser Untergrenze kritisch eingestuft (</w:t>
      </w:r>
      <w:r w:rsidDel="00000000" w:rsidR="00000000" w:rsidRPr="00000000">
        <w:rPr>
          <w:rFonts w:ascii="Google Sans" w:cs="Google Sans" w:eastAsia="Google Sans" w:hAnsi="Google Sans"/>
          <w:b w:val="1"/>
          <w:bCs w:val="1"/>
          <w:color w:val="1f1f1f"/>
          <w:rtl w:val="0"/>
        </w:rPr>
        <w:t xml:space="preserve">ROT</w:t>
      </w:r>
      <w:r w:rsidDel="00000000" w:rsidR="00000000" w:rsidRPr="00000000">
        <w:rPr>
          <w:rFonts w:ascii="Google Sans" w:cs="Google Sans" w:eastAsia="Google Sans" w:hAnsi="Google Sans"/>
          <w:color w:val="1f1f1f"/>
          <w:rtl w:val="0"/>
        </w:rPr>
        <w:t xml:space="preserve">: „der Strang regelt im Sommer ab“).</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P3: MPP-Fenster im kalten Fall (Effizienzkritisch – GELB)</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67567" cy="246547"/>
            <wp:effectExtent b="0" l="0" r="0" t="0"/>
            <wp:docPr id="33"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3467567" cy="24654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Erläuterung der Variablen:</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785813" cy="246063"/>
            <wp:effectExtent b="0" l="0" r="0" t="0"/>
            <wp:docPr id="3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785813" cy="246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vom Hersteller festgelegte obere Spannungsgrenze des MPP-Trackers, bis zu der eine optimale Regelung des Arbeitspunktes garantiert wird.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An einem klaren, kalten Wintertag steigt die reguläre Betriebsspannung (</w:t>
      </w:r>
      <w:r w:rsidDel="00000000" w:rsidR="00000000" w:rsidRPr="00000000">
        <w:rPr>
          <w:rFonts w:ascii="Google Sans" w:cs="Google Sans" w:eastAsia="Google Sans" w:hAnsi="Google Sans"/>
          <w:color w:val="1f1f1f"/>
        </w:rPr>
        <w:drawing>
          <wp:inline distB="19050" distT="19050" distL="19050" distR="19050">
            <wp:extent cx="401836" cy="249138"/>
            <wp:effectExtent b="0" l="0" r="0" t="0"/>
            <wp:docPr id="3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1836"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Überschreitet diese die obere Grenze des optimalen MPP-Bereichs (</w:t>
      </w:r>
      <w:r w:rsidDel="00000000" w:rsidR="00000000" w:rsidRPr="00000000">
        <w:rPr>
          <w:rFonts w:ascii="Google Sans" w:cs="Google Sans" w:eastAsia="Google Sans" w:hAnsi="Google Sans"/>
          <w:color w:val="1f1f1f"/>
        </w:rPr>
        <w:drawing>
          <wp:inline distB="19050" distT="19050" distL="19050" distR="19050">
            <wp:extent cx="785813" cy="246063"/>
            <wp:effectExtent b="0" l="0" r="0" t="0"/>
            <wp:docPr id="36"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785813" cy="246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jedoch ohne die Zerstörungsgrenze </w:t>
      </w:r>
      <w:r w:rsidDel="00000000" w:rsidR="00000000" w:rsidRPr="00000000">
        <w:rPr>
          <w:rFonts w:ascii="Google Sans" w:cs="Google Sans" w:eastAsia="Google Sans" w:hAnsi="Google Sans"/>
          <w:color w:val="1f1f1f"/>
        </w:rPr>
        <w:drawing>
          <wp:inline distB="19050" distT="19050" distL="19050" distR="19050">
            <wp:extent cx="687710" cy="247895"/>
            <wp:effectExtent b="0" l="0" r="0" t="0"/>
            <wp:docPr id="3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87710" cy="247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aus Regel P1 zu verletzen, arbeitet das System weiterhin elektrotechnisch sicher. Der Wechselrichter regelt den Arbeitspunkt jedoch künstlich ab oder betreibt die Wandlerbrücken in einem ineffizienten Teillastbereich. Dies resultiert lediglich in einer Warnung (</w:t>
      </w:r>
      <w:r w:rsidDel="00000000" w:rsidR="00000000" w:rsidRPr="00000000">
        <w:rPr>
          <w:rFonts w:ascii="Google Sans" w:cs="Google Sans" w:eastAsia="Google Sans" w:hAnsi="Google Sans"/>
          <w:b w:val="1"/>
          <w:bCs w:val="1"/>
          <w:color w:val="1f1f1f"/>
          <w:rtl w:val="0"/>
        </w:rPr>
        <w:t xml:space="preserve">GELB</w:t>
      </w:r>
      <w:r w:rsidDel="00000000" w:rsidR="00000000" w:rsidRPr="00000000">
        <w:rPr>
          <w:rFonts w:ascii="Google Sans" w:cs="Google Sans" w:eastAsia="Google Sans" w:hAnsi="Google Sans"/>
          <w:color w:val="1f1f1f"/>
          <w:rtl w:val="0"/>
        </w:rPr>
        <w:t xml:space="preserve">: „das Gerät regelt an der Grenze“).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P4: Eingangsstrom je MPPT (Brand- und Auslegungskritisch – ROT)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01419" cy="246263"/>
            <wp:effectExtent b="0" l="0" r="0" t="0"/>
            <wp:docPr id="38"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3201419" cy="2462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Erläuterung der Variablen:</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98599" cy="254714"/>
            <wp:effectExtent b="0" l="0" r="0" t="0"/>
            <wp:docPr id="3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98599" cy="254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Anzahl der Stränge, die parallel auf denselben physischen MPP-Tracker geschaltet werden.</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19522" cy="252043"/>
            <wp:effectExtent b="0" l="0" r="0" t="0"/>
            <wp:docPr id="4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19522" cy="252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(Short Circuit Current): Der Kurzschlussstrom eines Einzelmoduls (der maximale Stromfluss im Fehlerfall).</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26926" cy="253367"/>
            <wp:effectExtent b="0" l="0" r="0" t="0"/>
            <wp:docPr id="4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6926" cy="253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Temperaturkoeffizient für den Strom. Anders als bei der Spannung ist dieser Wert leicht positiv, Strom steigt bei Wärme.</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40085" cy="248033"/>
            <wp:effectExtent b="0" l="0" r="0" t="0"/>
            <wp:docPr id="4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40085" cy="248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maximale zulässige Eingangsstrom des Trackers.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Die Summe der Kurzschlussströme aller an einem MPP-Tracker parallel geschalteten Stränge wird auf die höchste zu erwartende Temperatur (70 °C) extrapoliert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Dieser extrapolierte Maximalstrom darf die Stromgrenze des Trackers (</w:t>
      </w:r>
      <w:r w:rsidDel="00000000" w:rsidR="00000000" w:rsidRPr="00000000">
        <w:rPr>
          <w:rFonts w:ascii="Google Sans" w:cs="Google Sans" w:eastAsia="Google Sans" w:hAnsi="Google Sans"/>
          <w:color w:val="1f1f1f"/>
        </w:rPr>
        <w:drawing>
          <wp:inline distB="19050" distT="19050" distL="19050" distR="19050">
            <wp:extent cx="640085" cy="248033"/>
            <wp:effectExtent b="0" l="0" r="0" t="0"/>
            <wp:docPr id="3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40085" cy="248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nicht überschreiten. Werden die physikalischen Stromgrenzen überschritten, kommt es zu thermischer Überlastung der internen Leiterbahnen und damit zu akuter Brandgefahr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Ein Verstoß wird daher streng geahndet (</w:t>
      </w:r>
      <w:r w:rsidDel="00000000" w:rsidR="00000000" w:rsidRPr="00000000">
        <w:rPr>
          <w:rFonts w:ascii="Google Sans" w:cs="Google Sans" w:eastAsia="Google Sans" w:hAnsi="Google Sans"/>
          <w:b w:val="1"/>
          <w:bCs w:val="1"/>
          <w:color w:val="1f1f1f"/>
          <w:rtl w:val="0"/>
        </w:rPr>
        <w:t xml:space="preserve">ROT</w:t>
      </w:r>
      <w:r w:rsidDel="00000000" w:rsidR="00000000" w:rsidRPr="00000000">
        <w:rPr>
          <w:rFonts w:ascii="Google Sans" w:cs="Google Sans" w:eastAsia="Google Sans" w:hAnsi="Google Sans"/>
          <w:color w:val="1f1f1f"/>
          <w:rtl w:val="0"/>
        </w:rPr>
        <w:t xml:space="preserve">: „I ... A &gt; ... A am MPPT 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P5: Strangzahl je MPPT (Topologiekritisch – GELB)</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183682" cy="247059"/>
            <wp:effectExtent b="0" l="0" r="0" t="0"/>
            <wp:docPr id="23"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2183682" cy="24705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Erläuterung der Variablen:</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1584522" cy="238873"/>
            <wp:effectExtent b="0" l="0" r="0" t="0"/>
            <wp:docPr id="2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584522" cy="238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Anzahl der am Wechselrichter physisch vorhandenen Anschlussklemmen (z.B. MC4-Steckplätze) pro Tracker.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Diese Prüfung validiert die physische Konfiguration. Eine rechnerische Überschreitung erfordert in der Baupraxis externe Parallelverschaltungen (z.B. Y-Adapterstecker), die ohne zusätzliche Rückstromsicherungen in vielen Fällen normativ unzulässig sind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Das System gibt daher eine Warnung aus (</w:t>
      </w:r>
      <w:r w:rsidDel="00000000" w:rsidR="00000000" w:rsidRPr="00000000">
        <w:rPr>
          <w:rFonts w:ascii="Google Sans" w:cs="Google Sans" w:eastAsia="Google Sans" w:hAnsi="Google Sans"/>
          <w:b w:val="1"/>
          <w:bCs w:val="1"/>
          <w:color w:val="1f1f1f"/>
          <w:rtl w:val="0"/>
        </w:rPr>
        <w:t xml:space="preserve">GELB</w:t>
      </w:r>
      <w:r w:rsidDel="00000000" w:rsidR="00000000" w:rsidRPr="00000000">
        <w:rPr>
          <w:rFonts w:ascii="Google Sans" w:cs="Google Sans" w:eastAsia="Google Sans" w:hAnsi="Google Sans"/>
          <w:color w:val="1f1f1f"/>
          <w:rtl w:val="0"/>
        </w:rPr>
        <w:t xml:space="preserve">: „3 Stränge am MPPT 1, zulässig sind 2“).</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P6: DC/AC-Verhältnis (Wirtschaftlichkeitskritisch – GELB)</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87963" cy="310522"/>
            <wp:effectExtent b="0" l="0" r="0" t="0"/>
            <wp:docPr id="25"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1687963" cy="31052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Erläuterung der Variablen:</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407541" cy="247721"/>
            <wp:effectExtent b="0" l="0" r="0" t="0"/>
            <wp:docPr id="2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07541" cy="24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Nennleistung der Module in Kilowatt-Peak (kWp) unter Laborbedingungen.</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72170" cy="246776"/>
            <wp:effectExtent b="0" l="0" r="0" t="0"/>
            <wp:docPr id="27"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772170" cy="246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nominelle Wechselstrom-Ausgangsleistung des Wechselrichters, die ins Netz eingespeist wird.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Das Inverter Load Ratio (ILR). Ein Verhältnis unter 1,0 bedeutet Überdimensionierung des Wechselrichters (viel AC-Kapazität, wenige Module), was technisch unbedenklich, aber oft unwirtschaftlich ist. Ein Verhältnis über 1,5 führt zu starkem "Inverter Clipping" (der Wechselrichter muss hohe DC-Produktionsspitzen als Verlust in Wärme umwandeln)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Ein moderates Übersteuern (1,1 bis 1,3) wird branchenweit als Ideal angesehen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Abweichungen von diesem optimalen Band erzeugen eine Warnung (</w:t>
      </w:r>
      <w:r w:rsidDel="00000000" w:rsidR="00000000" w:rsidRPr="00000000">
        <w:rPr>
          <w:rFonts w:ascii="Google Sans" w:cs="Google Sans" w:eastAsia="Google Sans" w:hAnsi="Google Sans"/>
          <w:b w:val="1"/>
          <w:bCs w:val="1"/>
          <w:color w:val="1f1f1f"/>
          <w:rtl w:val="0"/>
        </w:rPr>
        <w:t xml:space="preserve">GELB</w:t>
      </w:r>
      <w:r w:rsidDel="00000000" w:rsidR="00000000" w:rsidRPr="00000000">
        <w:rPr>
          <w:rFonts w:ascii="Google Sans" w:cs="Google Sans" w:eastAsia="Google Sans" w:hAnsi="Google Sans"/>
          <w:color w:val="1f1f1f"/>
          <w:rtl w:val="0"/>
        </w:rPr>
        <w:t xml:space="preserve">: „DC/AC 0,88 liegt außerhalb 1,0…1,5“).</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P7: DC-Eingangsleistung (Grenzwertermittlung – GELB)</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87875" cy="246121"/>
            <wp:effectExtent b="0" l="0" r="0" t="0"/>
            <wp:docPr id="28"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1587875" cy="24612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Erläuterung der Variablen:</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679773" cy="247917"/>
            <wp:effectExtent b="0" l="0" r="0" t="0"/>
            <wp:docPr id="29"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679773" cy="247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vom Wechselrichterhersteller definierte absolute Obergrenze für die gesamte angeschlossene Modul-Gleichstromleistung (DC).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Hersteller definieren oft eine absolute maximale DC-Anschlussleistung, um die thermische Dauerbelastung des Invertergehäuses durch Clipping-Verluste zu limitieren. Ein Überschreiten führt häufig zum Garantieverlust, wird in der UI aus elektrischer Sicht (da P1 und P4 greifen) aber als Warnung deklariert (</w:t>
      </w:r>
      <w:r w:rsidDel="00000000" w:rsidR="00000000" w:rsidRPr="00000000">
        <w:rPr>
          <w:rFonts w:ascii="Google Sans" w:cs="Google Sans" w:eastAsia="Google Sans" w:hAnsi="Google Sans"/>
          <w:b w:val="1"/>
          <w:bCs w:val="1"/>
          <w:color w:val="1f1f1f"/>
          <w:rtl w:val="0"/>
        </w:rPr>
        <w:t xml:space="preserve">GELB</w:t>
      </w:r>
      <w:r w:rsidDel="00000000" w:rsidR="00000000" w:rsidRPr="00000000">
        <w:rPr>
          <w:rFonts w:ascii="Google Sans" w:cs="Google Sans" w:eastAsia="Google Sans" w:hAnsi="Google Sans"/>
          <w:color w:val="1f1f1f"/>
          <w:rtl w:val="0"/>
        </w:rPr>
        <w:t xml:space="preserve">: „[X] kWp über der DC-Eingangsgrenze [Y] kW“).</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P8: Modulsumme (Konsistenzprüfung – GELB)</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Mathematische Formulierung: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32175" cy="246792"/>
            <wp:effectExtent b="0" l="0" r="0" t="0"/>
            <wp:docPr id="30"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3232175" cy="24679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Ingenieurtechnischer Hintergrund:</w:t>
      </w:r>
      <w:r w:rsidDel="00000000" w:rsidR="00000000" w:rsidRPr="00000000">
        <w:rPr>
          <w:rFonts w:ascii="Google Sans" w:cs="Google Sans" w:eastAsia="Google Sans" w:hAnsi="Google Sans"/>
          <w:color w:val="1f1f1f"/>
          <w:rtl w:val="0"/>
        </w:rPr>
        <w:t xml:space="preserve"> Stellt sicher, dass die in der Strangtabelle projektierten Modulreihen (</w:t>
      </w:r>
      <w:r w:rsidDel="00000000" w:rsidR="00000000" w:rsidRPr="00000000">
        <w:rPr>
          <w:rFonts w:ascii="Google Sans" w:cs="Google Sans" w:eastAsia="Google Sans" w:hAnsi="Google Sans"/>
          <w:color w:val="1f1f1f"/>
        </w:rPr>
        <w:drawing>
          <wp:inline distB="19050" distT="19050" distL="19050" distR="19050">
            <wp:extent cx="117575" cy="260344"/>
            <wp:effectExtent b="0" l="0" r="0" t="0"/>
            <wp:docPr id="3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17575" cy="260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multipliziert mit den Strängen (</w:t>
      </w:r>
      <w:r w:rsidDel="00000000" w:rsidR="00000000" w:rsidRPr="00000000">
        <w:rPr>
          <w:rFonts w:ascii="Google Sans" w:cs="Google Sans" w:eastAsia="Google Sans" w:hAnsi="Google Sans"/>
          <w:color w:val="1f1f1f"/>
        </w:rPr>
        <w:drawing>
          <wp:inline distB="19050" distT="19050" distL="19050" distR="19050">
            <wp:extent cx="98599" cy="254714"/>
            <wp:effectExtent b="0" l="0" r="0" t="0"/>
            <wp:docPr id="2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98599" cy="254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Summe exakt der Modulmenge entsprechen, die global für das Gesamtprojekt deklariert wurde (</w:t>
      </w:r>
      <w:r w:rsidDel="00000000" w:rsidR="00000000" w:rsidRPr="00000000">
        <w:rPr>
          <w:rFonts w:ascii="Google Sans" w:cs="Google Sans" w:eastAsia="Google Sans" w:hAnsi="Google Sans"/>
          <w:b w:val="1"/>
          <w:bCs w:val="1"/>
          <w:color w:val="1f1f1f"/>
          <w:rtl w:val="0"/>
        </w:rPr>
        <w:t xml:space="preserve">GELB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Architektur der Validierung: Software-technische Umsetzung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informationstechnische Abbildung dieser vielschichtigen Auslegungsregeln in der C#-Umgebung (EPOS.Kern/Allgemein/Import/StrangPlausibilitaet.cs) stellt besondere Anforderungen an die Softwarearchitektur. Eine monolithische Implementierung, bestehend aus endlosen if-else-Kaskaden, wäre hochgradig fehleranfällig und schwer wartbar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modernen Unternehmensanwendungen, die dem Paradigma des Domain-Driven Design (DDD) folgen, wird für derart komplexe Validierungslogiken das </w:t>
      </w:r>
      <w:r w:rsidDel="00000000" w:rsidR="00000000" w:rsidRPr="00000000">
        <w:rPr>
          <w:rFonts w:ascii="Google Sans" w:cs="Google Sans" w:eastAsia="Google Sans" w:hAnsi="Google Sans"/>
          <w:i w:val="1"/>
          <w:iCs w:val="1"/>
          <w:color w:val="1f1f1f"/>
          <w:rtl w:val="0"/>
        </w:rPr>
        <w:t xml:space="preserve">Rules Engine Pattern</w:t>
      </w:r>
      <w:r w:rsidDel="00000000" w:rsidR="00000000" w:rsidRPr="00000000">
        <w:rPr>
          <w:rFonts w:ascii="Google Sans" w:cs="Google Sans" w:eastAsia="Google Sans" w:hAnsi="Google Sans"/>
          <w:color w:val="1f1f1f"/>
          <w:rtl w:val="0"/>
        </w:rPr>
        <w:t xml:space="preserve"> oder das </w:t>
      </w:r>
      <w:r w:rsidDel="00000000" w:rsidR="00000000" w:rsidRPr="00000000">
        <w:rPr>
          <w:rFonts w:ascii="Google Sans" w:cs="Google Sans" w:eastAsia="Google Sans" w:hAnsi="Google Sans"/>
          <w:i w:val="1"/>
          <w:iCs w:val="1"/>
          <w:color w:val="1f1f1f"/>
          <w:rtl w:val="0"/>
        </w:rPr>
        <w:t xml:space="preserve">Specification Pattern</w:t>
      </w:r>
      <w:r w:rsidDel="00000000" w:rsidR="00000000" w:rsidRPr="00000000">
        <w:rPr>
          <w:rFonts w:ascii="Google Sans" w:cs="Google Sans" w:eastAsia="Google Sans" w:hAnsi="Google Sans"/>
          <w:color w:val="1f1f1f"/>
          <w:rtl w:val="0"/>
        </w:rPr>
        <w:t xml:space="preserve"> angewandt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Ein reines DDD-Modell würde jeden inkonsistenten Zustand sofort blockieren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Für ein interaktives CAD- und Planungswerkzeug ist dies jedoch dysfunktional. Der Planer muss während des Designprozesses in der Lage sein, Stränge provisorisch zuzuweisen, wodurch das System temporär in einen inkonsistenten Zustand gerät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Architektur greift daher auf "Deferred Validation" (Verzögerte Validierung) zurück</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Jede der acht Regeln wird als separate, testbare Klasse implementiert, die ein generisches Interface IRule&lt;T&gt; besitzt. Die Methode Evaluate(Context) gibt ein ValidationResult zurück</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Diese entkoppelte Architektur ermöglicht ein flüssiges User Experience und erlaubt das einfache Hinzufügen künftiger Regeln (Open/Closed Principle)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Das Meldungswesen und die Diagnostik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Transparenz der Systemprüfung gegenüber dem Anwender wird durch ein kontextbezogenes Meldungswesen realisiert.</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Strang-spezifische Diagnostik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Auf der Ebene der einzelnen Stränge gibt die Software granulare Rückmeldung über die Spannungsverhältnisse:</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 Idealzustand:</w:t>
      </w:r>
      <w:r w:rsidDel="00000000" w:rsidR="00000000" w:rsidRPr="00000000">
        <w:rPr>
          <w:rFonts w:ascii="Google Sans" w:cs="Google Sans" w:eastAsia="Google Sans" w:hAnsi="Google Sans"/>
          <w:color w:val="1f1f1f"/>
          <w:rtl w:val="0"/>
        </w:rPr>
        <w:t xml:space="preserve"> z.B. U_oc(-10 °C) 537 V &lt;= 600 V (P1).</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Kritische Fehler (Rot):</w:t>
      </w:r>
      <w:r w:rsidDel="00000000" w:rsidR="00000000" w:rsidRPr="00000000">
        <w:rPr>
          <w:rFonts w:ascii="Google Sans" w:cs="Google Sans" w:eastAsia="Google Sans" w:hAnsi="Google Sans"/>
          <w:color w:val="1f1f1f"/>
          <w:rtl w:val="0"/>
        </w:rPr>
        <w:t xml:space="preserve"> U_oc(-10 °C) 750 V &gt; 600 V — der Wechselrichter kann bei Frost und Sonne Schaden nehmen.</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Ertragswarnungen (Rot/Gelb):</w:t>
      </w:r>
      <w:r w:rsidDel="00000000" w:rsidR="00000000" w:rsidRPr="00000000">
        <w:rPr>
          <w:rFonts w:ascii="Google Sans" w:cs="Google Sans" w:eastAsia="Google Sans" w:hAnsi="Google Sans"/>
          <w:color w:val="1f1f1f"/>
          <w:rtl w:val="0"/>
        </w:rPr>
        <w:t xml:space="preserve"> MPP im Sommer 190 V &lt; 210 V — der Strang regelt ab.</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Datenlücken:</w:t>
      </w:r>
      <w:r w:rsidDel="00000000" w:rsidR="00000000" w:rsidRPr="00000000">
        <w:rPr>
          <w:rFonts w:ascii="Google Sans" w:cs="Google Sans" w:eastAsia="Google Sans" w:hAnsi="Google Sans"/>
          <w:color w:val="1f1f1f"/>
          <w:rtl w:val="0"/>
        </w:rPr>
        <w:t xml:space="preserve"> Werte fehlen: Leerlaufspannung oder beta_OC des Moduls.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Tritt ein Fehler auf, fügt die Auslegungshilfe einen Lösungsraum an: passend wären 4…14 Module in Reihe.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Geräte-spezifische Diagnostik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Fokussiert auf Ströme und Leistungsverhältnisse:</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Stromprüfung:</w:t>
      </w:r>
      <w:r w:rsidDel="00000000" w:rsidR="00000000" w:rsidRPr="00000000">
        <w:rPr>
          <w:rFonts w:ascii="Google Sans" w:cs="Google Sans" w:eastAsia="Google Sans" w:hAnsi="Google Sans"/>
          <w:color w:val="1f1f1f"/>
          <w:rtl w:val="0"/>
        </w:rPr>
        <w:t xml:space="preserve"> I 32,5 A &gt; 30,0 A am MPPT 1.</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Wirtschaftlichkeitsprüfung:</w:t>
      </w:r>
      <w:r w:rsidDel="00000000" w:rsidR="00000000" w:rsidRPr="00000000">
        <w:rPr>
          <w:rFonts w:ascii="Google Sans" w:cs="Google Sans" w:eastAsia="Google Sans" w:hAnsi="Google Sans"/>
          <w:color w:val="1f1f1f"/>
          <w:rtl w:val="0"/>
        </w:rPr>
        <w:t xml:space="preserve"> DC/AC 1,77 liegt außerhalb 1,0…1,5.</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Das System rät adaptiv: passend wären 10…13 Module je Gerät.</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Methodik der Auslegungshilfe (StrangAuslegung)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proaktive Baustein der Software, implementiert in EPOS.Kern/Allgemein/Import/StrangAuslegung.cs, invertiert die Mathematik der Prüfregeln.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Mathematische Ermittlung der Lösungskorridore</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Methode Reihe(modul, geraet):</w:t>
      </w:r>
    </w:p>
    <w:p w:rsidR="00000000" w:rsidDel="00000000" w:rsidP="00000000" w:rsidRDefault="00000000" w:rsidRPr="00000000" w14:paraId="0000007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Minimum (Sommer-Ertragsfall P2): </w:t>
      </w:r>
      <w:r w:rsidDel="00000000" w:rsidR="00000000" w:rsidRPr="00000000">
        <w:rPr>
          <w:rFonts w:ascii="Google Sans" w:cs="Google Sans" w:eastAsia="Google Sans" w:hAnsi="Google Sans"/>
          <w:color w:val="1f1f1f"/>
        </w:rPr>
        <w:drawing>
          <wp:inline distB="19050" distT="19050" distL="19050" distR="19050">
            <wp:extent cx="3139154" cy="245742"/>
            <wp:effectExtent b="0" l="0" r="0" t="0"/>
            <wp:docPr id="22"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3139154" cy="245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Maximum (Kalt-Zerstörung P1/P3): </w:t>
      </w:r>
      <w:r w:rsidDel="00000000" w:rsidR="00000000" w:rsidRPr="00000000">
        <w:rPr>
          <w:rFonts w:ascii="Google Sans" w:cs="Google Sans" w:eastAsia="Google Sans" w:hAnsi="Google Sans"/>
          <w:color w:val="1f1f1f"/>
        </w:rPr>
        <w:drawing>
          <wp:inline distB="19050" distT="19050" distL="19050" distR="19050">
            <wp:extent cx="5905500" cy="235612"/>
            <wp:effectExtent b="0" l="0" r="0" t="0"/>
            <wp:docPr id="43"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905500" cy="235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Methode ParallelJeMppt(modul, geraet):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828973" cy="246343"/>
            <wp:effectExtent b="0" l="0" r="0" t="0"/>
            <wp:docPr id="44"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2828973" cy="246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Methode ModuleJeGeraet(modul, geraet):</w:t>
      </w:r>
      <w:r w:rsidDel="00000000" w:rsidR="00000000" w:rsidRPr="00000000">
        <w:rPr>
          <w:rFonts w:ascii="Google Sans" w:cs="Google Sans" w:eastAsia="Google Sans" w:hAnsi="Google Sans"/>
          <w:color w:val="1f1f1f"/>
          <w:rtl w:val="0"/>
        </w:rPr>
        <w:t xml:space="preserve"> Überführt DC/AC-Verhältnisse (P6) und DC-Grenzen (P7) in konkrete Modulspannen.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Heuristische Algorithmen zur Systemautomation</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GeraeteBewerten(modul, anzahlModule, katalog):</w:t>
      </w:r>
      <w:r w:rsidDel="00000000" w:rsidR="00000000" w:rsidRPr="00000000">
        <w:rPr>
          <w:rFonts w:ascii="Google Sans" w:cs="Google Sans" w:eastAsia="Google Sans" w:hAnsi="Google Sans"/>
          <w:color w:val="1f1f1f"/>
          <w:rtl w:val="0"/>
        </w:rPr>
        <w:t xml:space="preserve"> Filtert den Wechselrichterkatalog nach Kompatibilität und sortiert passgenaue DC/AC-Verhältnisse (nahe 1,25) nach oben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Vorschlagen(modul, geraet, anzahlModule):</w:t>
      </w:r>
      <w:r w:rsidDel="00000000" w:rsidR="00000000" w:rsidRPr="00000000">
        <w:rPr>
          <w:rFonts w:ascii="Google Sans" w:cs="Google Sans" w:eastAsia="Google Sans" w:hAnsi="Google Sans"/>
          <w:color w:val="1f1f1f"/>
          <w:rtl w:val="0"/>
        </w:rPr>
        <w:t xml:space="preserve"> Generiert iterativ eine valide Verschaltungstopologie (lange Strings für effiziente DC-Spannungen, symmetrische Parallelstränge).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Praxisbeispiel und Edge-Cases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Ausgangslage:</w:t>
      </w:r>
      <w:r w:rsidDel="00000000" w:rsidR="00000000" w:rsidRPr="00000000">
        <w:rPr>
          <w:rFonts w:ascii="Google Sans" w:cs="Google Sans" w:eastAsia="Google Sans" w:hAnsi="Google Sans"/>
          <w:color w:val="1f1f1f"/>
          <w:rtl w:val="0"/>
        </w:rPr>
        <w:t xml:space="preserve"> Eine PV-Anlage mit 20 Modulen (Philadelphia Solar 530 W, ca. 10,6 kWp).</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Szenario 1: Überbelegung eines SMA Sunny Boy 6.0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Module an einem SMA Sunny Boy 6.0 (AC-Nennleistung: 6,0 kW). P6 (DC/AC-Verhältnis): 10,6 kWp / 6,0 kW = 1,77. P7 (Leistungsgrenze): 10,616 kWp überschreiten die 9,0 kW</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System meldet </w:t>
      </w:r>
      <w:r w:rsidDel="00000000" w:rsidR="00000000" w:rsidRPr="00000000">
        <w:rPr>
          <w:rFonts w:ascii="Google Sans" w:cs="Google Sans" w:eastAsia="Google Sans" w:hAnsi="Google Sans"/>
          <w:b w:val="1"/>
          <w:bCs w:val="1"/>
          <w:color w:val="1f1f1f"/>
          <w:rtl w:val="0"/>
        </w:rPr>
        <w:t xml:space="preserve">GELB</w:t>
      </w:r>
      <w:r w:rsidDel="00000000" w:rsidR="00000000" w:rsidRPr="00000000">
        <w:rPr>
          <w:rFonts w:ascii="Google Sans" w:cs="Google Sans" w:eastAsia="Google Sans" w:hAnsi="Google Sans"/>
          <w:color w:val="1f1f1f"/>
          <w:rtl w:val="0"/>
        </w:rPr>
        <w:t xml:space="preserve">. Lösung der Auslegungshilfe: Zwei Geräte desselben Typs mit je 10 Modulen (Spalte „Gerät“ = 1 und 2). Das DC/AC-Verhältnis fällt auf sichere 0,88.</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Szenario 2: Spannungsprüfung der 10er-Stränge am Sunny Boy 6.0</w:t>
      </w:r>
      <w:r w:rsidDel="00000000" w:rsidR="00000000" w:rsidRPr="00000000">
        <w:rPr>
          <w:rFonts w:ascii="Google Sans" w:cs="Google Sans" w:eastAsia="Google Sans" w:hAnsi="Google Sans"/>
          <w:color w:val="1f1f1f"/>
          <w:rtl w:val="0"/>
        </w:rPr>
        <w:t xml:space="preserve"> Für 10 Module in Reihe (</w:t>
      </w:r>
      <w:r w:rsidDel="00000000" w:rsidR="00000000" w:rsidRPr="00000000">
        <w:rPr>
          <w:rFonts w:ascii="Google Sans" w:cs="Google Sans" w:eastAsia="Google Sans" w:hAnsi="Google Sans"/>
          <w:color w:val="1f1f1f"/>
        </w:rPr>
        <w:drawing>
          <wp:inline distB="19050" distT="19050" distL="19050" distR="19050">
            <wp:extent cx="687710" cy="247895"/>
            <wp:effectExtent b="0" l="0" r="0" t="0"/>
            <wp:docPr id="4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87710" cy="247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600 V, </w:t>
      </w:r>
      <w:r w:rsidDel="00000000" w:rsidR="00000000" w:rsidRPr="00000000">
        <w:rPr>
          <w:rFonts w:ascii="Google Sans" w:cs="Google Sans" w:eastAsia="Google Sans" w:hAnsi="Google Sans"/>
          <w:color w:val="1f1f1f"/>
        </w:rPr>
        <w:drawing>
          <wp:inline distB="19050" distT="19050" distL="19050" distR="19050">
            <wp:extent cx="983752" cy="247937"/>
            <wp:effectExtent b="0" l="0" r="0" t="0"/>
            <wp:docPr id="46"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983752" cy="247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210…500 V):</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Kälte extrapolierte Leerlaufspannung: 537 V (unter 600 V, P1 = </w:t>
      </w:r>
      <w:r w:rsidDel="00000000" w:rsidR="00000000" w:rsidRPr="00000000">
        <w:rPr>
          <w:rFonts w:ascii="Google Sans" w:cs="Google Sans" w:eastAsia="Google Sans" w:hAnsi="Google Sans"/>
          <w:b w:val="1"/>
          <w:bCs w:val="1"/>
          <w:color w:val="1f1f1f"/>
          <w:rtl w:val="0"/>
        </w:rPr>
        <w:t xml:space="preserve">GRÜN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Sommerliches MPP-Band: 357…460 V (im Regelbereich, P2/P3 = </w:t>
      </w:r>
      <w:r w:rsidDel="00000000" w:rsidR="00000000" w:rsidRPr="00000000">
        <w:rPr>
          <w:rFonts w:ascii="Google Sans" w:cs="Google Sans" w:eastAsia="Google Sans" w:hAnsi="Google Sans"/>
          <w:b w:val="1"/>
          <w:bCs w:val="1"/>
          <w:color w:val="1f1f1f"/>
          <w:rtl w:val="0"/>
        </w:rPr>
        <w:t xml:space="preserve">GRÜN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Szenario 3: Fehlerhafte Wahl eines Zentralwechselrichters (SMA PEAK3 SHP100)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56, 57]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SMA Sunny Highpower PEAK3 SHP100 (100 kW AC)</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Das Arbeitsfenster beginnt physikalisch erst bei 590 V</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10 Module liefern bei 70 °C jedoch nur 357 V. System meldet </w:t>
      </w:r>
      <w:r w:rsidDel="00000000" w:rsidR="00000000" w:rsidRPr="00000000">
        <w:rPr>
          <w:rFonts w:ascii="Google Sans" w:cs="Google Sans" w:eastAsia="Google Sans" w:hAnsi="Google Sans"/>
          <w:b w:val="1"/>
          <w:bCs w:val="1"/>
          <w:color w:val="1f1f1f"/>
          <w:rtl w:val="0"/>
        </w:rPr>
        <w:t xml:space="preserve">ROT</w:t>
      </w:r>
      <w:r w:rsidDel="00000000" w:rsidR="00000000" w:rsidRPr="00000000">
        <w:rPr>
          <w:rFonts w:ascii="Google Sans" w:cs="Google Sans" w:eastAsia="Google Sans" w:hAnsi="Google Sans"/>
          <w:color w:val="1f1f1f"/>
          <w:rtl w:val="0"/>
        </w:rPr>
        <w:t xml:space="preserve"> (MPP im Sommer 357 V &lt; 590 V — der Strang regelt ab). Die Hilfe rät ab.</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Systemgrenzen des statischen Auslegungsmodells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statische Hüllkurven-Prüfung schützt vor elektrotechnischem Versagen, ist jedoch kein Ersatz für eine dynamische Ertragssimulation. Die Einflüsse dynamischer Faktoren (</w:t>
      </w:r>
      <w:r w:rsidDel="00000000" w:rsidR="00000000" w:rsidRPr="00000000">
        <w:rPr>
          <w:rFonts w:ascii="Google Sans" w:cs="Google Sans" w:eastAsia="Google Sans" w:hAnsi="Google Sans"/>
          <w:color w:val="1f1f1f"/>
        </w:rPr>
        <w:drawing>
          <wp:inline distB="19050" distT="19050" distL="19050" distR="19050">
            <wp:extent cx="286618" cy="246810"/>
            <wp:effectExtent b="0" l="0" r="0" t="0"/>
            <wp:docPr id="4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86618" cy="246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701" cy="243909"/>
            <wp:effectExtent b="0" l="0" r="0" t="0"/>
            <wp:docPr id="4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96701" cy="243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53430" cy="246602"/>
            <wp:effectExtent b="0" l="0" r="0" t="0"/>
            <wp:docPr id="4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3430" cy="246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aus den Modellen nach Faiman oder Sandia) werden bewusst durch absolute worst-case Festwerte ausgeblendet.</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Abstraktion von Teilverschattungen:</w:t>
      </w:r>
      <w:r w:rsidDel="00000000" w:rsidR="00000000" w:rsidRPr="00000000">
        <w:rPr>
          <w:rFonts w:ascii="Google Sans" w:cs="Google Sans" w:eastAsia="Google Sans" w:hAnsi="Google Sans"/>
          <w:color w:val="1f1f1f"/>
          <w:rtl w:val="0"/>
        </w:rPr>
        <w:t xml:space="preserve"> Die Prüfung geht von ideal bestrahlten PV-Generatoren aus. Fällt Schatten auf Module, aktivieren sich deren interne Bypass-Dioden, und die Strangspannung sinkt abrupt ab</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Das statische Modell (P2) kann solche räumlich-zeitlichen Schwankungen der Einstrahlung (</w:t>
      </w:r>
      <w:r w:rsidDel="00000000" w:rsidR="00000000" w:rsidRPr="00000000">
        <w:rPr>
          <w:rFonts w:ascii="Google Sans" w:cs="Google Sans" w:eastAsia="Google Sans" w:hAnsi="Google Sans"/>
          <w:color w:val="1f1f1f"/>
        </w:rPr>
        <w:drawing>
          <wp:inline distB="19050" distT="19050" distL="19050" distR="19050">
            <wp:extent cx="453430" cy="246602"/>
            <wp:effectExtent b="0" l="0" r="0" t="0"/>
            <wp:docPr id="5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3430" cy="246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nicht abbilden.</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Kabel- und Übergangsverluste:</w:t>
      </w:r>
      <w:r w:rsidDel="00000000" w:rsidR="00000000" w:rsidRPr="00000000">
        <w:rPr>
          <w:rFonts w:ascii="Google Sans" w:cs="Google Sans" w:eastAsia="Google Sans" w:hAnsi="Google Sans"/>
          <w:color w:val="1f1f1f"/>
          <w:rtl w:val="0"/>
        </w:rPr>
        <w:t xml:space="preserve"> Der ohmsche Widerstand langer DC-Kabel führt zu einem Spannungsabfall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weshalb Anlagen an der unteren Grenze von P2 in der Realität schneller abregeln könnten.</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Mischtopologien an einem Tracker (Polystring):</w:t>
      </w:r>
      <w:r w:rsidDel="00000000" w:rsidR="00000000" w:rsidRPr="00000000">
        <w:rPr>
          <w:rFonts w:ascii="Google Sans" w:cs="Google Sans" w:eastAsia="Google Sans" w:hAnsi="Google Sans"/>
          <w:color w:val="1f1f1f"/>
          <w:rtl w:val="0"/>
        </w:rPr>
        <w:t xml:space="preserve"> Ost/West-Stränge summieren sich nicht exakt, da die direkte Einstrahlung niemals zeitgleich auf beide Dachhälften trifft</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Die konservative Berechnung von P4 schützt die Anlage zuverlässig, wertet in der Praxis aber oft thermisch harmlose Verschaltungen ab.</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Modul-Mixing in einer Reihenschaltung:</w:t>
      </w:r>
      <w:r w:rsidDel="00000000" w:rsidR="00000000" w:rsidRPr="00000000">
        <w:rPr>
          <w:rFonts w:ascii="Google Sans" w:cs="Google Sans" w:eastAsia="Google Sans" w:hAnsi="Google Sans"/>
          <w:color w:val="1f1f1f"/>
          <w:rtl w:val="0"/>
        </w:rPr>
        <w:t xml:space="preserve"> Mismatch-Verluste bei abweichenden Modulnennströmen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werden nicht explizit isoliert.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Für die präzise Analyse von Verschattungen oder komplexen Polystring-Erzeugungsprofilen verweist die Software daher auf das nachgeschaltete dynamische Rechenmodell der Anlage.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Fazit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im Rahmen von EPOS-Plan etablierte Systematik zur Strangplausibilität und Auslegungshilfe bildet ein unverzichtbares Instrument zur Überbrückung der Kluft zwischen der physikalischen Theorie der Halbleitertechnik und der normativen Realität der Gebäudeinstallation. Durch die strikte Implementierung der acht Kernregeln (P1 bis P8) wird sichergestellt, dass temperaturinduzierte Spannungsspitzen den Wechselrichter nicht zerstören und hitzebedingte Spannungsabfälle keine Ertragseinbrüche verursachen. Die Integration moderner Softwarearchitekturen sichert zudem die normative Konformität nach VDE-AR-N 4105:2026-03 und den Schutzrichtlinien der DIN VDE 0100-712.</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Kann ich Solarmodule an einen Wechselrichter anschließen, die, </w:t>
      </w:r>
      <w:hyperlink r:id="rId46">
        <w:r w:rsidDel="00000000" w:rsidR="00000000" w:rsidRPr="00000000">
          <w:rPr>
            <w:rFonts w:ascii="Google Sans" w:cs="Google Sans" w:eastAsia="Google Sans" w:hAnsi="Google Sans"/>
            <w:color w:val="0000ee"/>
            <w:sz w:val="24"/>
            <w:szCs w:val="24"/>
            <w:u w:val="single"/>
            <w:rtl w:val="0"/>
          </w:rPr>
          <w:t xml:space="preserve">https://powmr.com/de/blogs/news/oversizing-solar-panels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NOCT - Standardtemperatur unter Normalbedingungen - Photovoltaik, </w:t>
      </w:r>
      <w:hyperlink r:id="rId47">
        <w:r w:rsidDel="00000000" w:rsidR="00000000" w:rsidRPr="00000000">
          <w:rPr>
            <w:rFonts w:ascii="Google Sans" w:cs="Google Sans" w:eastAsia="Google Sans" w:hAnsi="Google Sans"/>
            <w:color w:val="0000ee"/>
            <w:sz w:val="24"/>
            <w:szCs w:val="24"/>
            <w:u w:val="single"/>
            <w:rtl w:val="0"/>
          </w:rPr>
          <w:t xml:space="preserve">https://photovoltaiksolarstrom.com/photovoltaiklexikon/noct/</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Temperaturkoeffizient für PV &amp; Solarmodule (2026) - Solar.red, </w:t>
      </w:r>
      <w:hyperlink r:id="rId48">
        <w:r w:rsidDel="00000000" w:rsidR="00000000" w:rsidRPr="00000000">
          <w:rPr>
            <w:rFonts w:ascii="Google Sans" w:cs="Google Sans" w:eastAsia="Google Sans" w:hAnsi="Google Sans"/>
            <w:color w:val="0000ee"/>
            <w:sz w:val="24"/>
            <w:szCs w:val="24"/>
            <w:u w:val="single"/>
            <w:rtl w:val="0"/>
          </w:rPr>
          <w:t xml:space="preserve">https://solar.red/temperaturkoeffizient/</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Solarmodule parallel schalten: Anleitung und Grenzwerte, </w:t>
      </w:r>
      <w:hyperlink r:id="rId49">
        <w:r w:rsidDel="00000000" w:rsidR="00000000" w:rsidRPr="00000000">
          <w:rPr>
            <w:rFonts w:ascii="Google Sans" w:cs="Google Sans" w:eastAsia="Google Sans" w:hAnsi="Google Sans"/>
            <w:color w:val="0000ee"/>
            <w:sz w:val="24"/>
            <w:szCs w:val="24"/>
            <w:u w:val="single"/>
            <w:rtl w:val="0"/>
          </w:rPr>
          <w:t xml:space="preserve">https://gruenes.haus/solarmodule-parallel-schalten/</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Solarmodule in Reihe schalten: Spannung und Anzahl, </w:t>
      </w:r>
      <w:hyperlink r:id="rId50">
        <w:r w:rsidDel="00000000" w:rsidR="00000000" w:rsidRPr="00000000">
          <w:rPr>
            <w:rFonts w:ascii="Google Sans" w:cs="Google Sans" w:eastAsia="Google Sans" w:hAnsi="Google Sans"/>
            <w:color w:val="0000ee"/>
            <w:sz w:val="24"/>
            <w:szCs w:val="24"/>
            <w:u w:val="single"/>
            <w:rtl w:val="0"/>
          </w:rPr>
          <w:t xml:space="preserve">https://www.energiefluss24.de/photovoltaik/solarmodule-in-reihe-schalten</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MPP-Tracker – Maximum Power Point erklärt - Reimer Elektrotechnik, </w:t>
      </w:r>
      <w:hyperlink r:id="rId51">
        <w:r w:rsidDel="00000000" w:rsidR="00000000" w:rsidRPr="00000000">
          <w:rPr>
            <w:rFonts w:ascii="Google Sans" w:cs="Google Sans" w:eastAsia="Google Sans" w:hAnsi="Google Sans"/>
            <w:color w:val="0000ee"/>
            <w:sz w:val="24"/>
            <w:szCs w:val="24"/>
            <w:u w:val="single"/>
            <w:rtl w:val="0"/>
          </w:rPr>
          <w:t xml:space="preserve">https://www.elektro-reimer.com/mpp-tracker-ulm/</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MPP-Tracker: maximale Leistung für PV-Anlagen - Zolar, </w:t>
      </w:r>
      <w:hyperlink r:id="rId52">
        <w:r w:rsidDel="00000000" w:rsidR="00000000" w:rsidRPr="00000000">
          <w:rPr>
            <w:rFonts w:ascii="Google Sans" w:cs="Google Sans" w:eastAsia="Google Sans" w:hAnsi="Google Sans"/>
            <w:color w:val="0000ee"/>
            <w:sz w:val="24"/>
            <w:szCs w:val="24"/>
            <w:u w:val="single"/>
            <w:rtl w:val="0"/>
          </w:rPr>
          <w:t xml:space="preserve">https://zolar.de/blog/maximum-power-point-tracker</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MPP-Tracker: Alles, was Sie wissen müssen - Reonic, </w:t>
      </w:r>
      <w:hyperlink r:id="rId53">
        <w:r w:rsidDel="00000000" w:rsidR="00000000" w:rsidRPr="00000000">
          <w:rPr>
            <w:rFonts w:ascii="Google Sans" w:cs="Google Sans" w:eastAsia="Google Sans" w:hAnsi="Google Sans"/>
            <w:color w:val="0000ee"/>
            <w:sz w:val="24"/>
            <w:szCs w:val="24"/>
            <w:u w:val="single"/>
            <w:rtl w:val="0"/>
          </w:rPr>
          <w:t xml:space="preserve">https://reonic.com/de-de/blog/mpp-tracker/</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Überdimensionierung von Solaranlagen und Wechselrichtern, </w:t>
      </w:r>
      <w:hyperlink r:id="rId54">
        <w:r w:rsidDel="00000000" w:rsidR="00000000" w:rsidRPr="00000000">
          <w:rPr>
            <w:rFonts w:ascii="Google Sans" w:cs="Google Sans" w:eastAsia="Google Sans" w:hAnsi="Google Sans"/>
            <w:color w:val="0000ee"/>
            <w:sz w:val="24"/>
            <w:szCs w:val="24"/>
            <w:u w:val="single"/>
            <w:rtl w:val="0"/>
          </w:rPr>
          <w:t xml:space="preserve">https://voltmax.lu/de/uberdimensionierung-von-paneelen-und-wechselrichtern/</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r/solar on Reddit: Kann mir jemand Clipping erklären? Und kann mir, </w:t>
      </w:r>
      <w:hyperlink r:id="rId55">
        <w:r w:rsidDel="00000000" w:rsidR="00000000" w:rsidRPr="00000000">
          <w:rPr>
            <w:rFonts w:ascii="Google Sans" w:cs="Google Sans" w:eastAsia="Google Sans" w:hAnsi="Google Sans"/>
            <w:color w:val="0000ee"/>
            <w:sz w:val="24"/>
            <w:szCs w:val="24"/>
            <w:u w:val="single"/>
            <w:rtl w:val="0"/>
          </w:rPr>
          <w:t xml:space="preserve">https://www.reddit.com/r/solar/comments/12fdpe6/can_someone_explain_clipping_and_eli5_inverter/?tl=de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Wechselrichter-Clipping erklärt: Maximieren Sie Ihren Solarertrag, </w:t>
      </w:r>
      <w:hyperlink r:id="rId56">
        <w:r w:rsidDel="00000000" w:rsidR="00000000" w:rsidRPr="00000000">
          <w:rPr>
            <w:rFonts w:ascii="Google Sans" w:cs="Google Sans" w:eastAsia="Google Sans" w:hAnsi="Google Sans"/>
            <w:color w:val="0000ee"/>
            <w:sz w:val="24"/>
            <w:szCs w:val="24"/>
            <w:u w:val="single"/>
            <w:rtl w:val="0"/>
          </w:rPr>
          <w:t xml:space="preserve">https://www.aforenergy.com/de/inverter-clipping-explained-maximize-your-solar-output/</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NOCT Cell Temperature, </w:t>
      </w:r>
      <w:hyperlink r:id="rId57">
        <w:r w:rsidDel="00000000" w:rsidR="00000000" w:rsidRPr="00000000">
          <w:rPr>
            <w:rFonts w:ascii="Google Sans" w:cs="Google Sans" w:eastAsia="Google Sans" w:hAnsi="Google Sans"/>
            <w:color w:val="0000ee"/>
            <w:sz w:val="24"/>
            <w:szCs w:val="24"/>
            <w:u w:val="single"/>
            <w:rtl w:val="0"/>
          </w:rPr>
          <w:t xml:space="preserve">https://pvpmc.sandia.gov/modeling-guide/2-dc-module-iv/cell-temperature/noct-cell-temperature/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NOCT – Solar-Glossar | Solantiq PV-Rechner, </w:t>
      </w:r>
      <w:hyperlink r:id="rId58">
        <w:r w:rsidDel="00000000" w:rsidR="00000000" w:rsidRPr="00000000">
          <w:rPr>
            <w:rFonts w:ascii="Google Sans" w:cs="Google Sans" w:eastAsia="Google Sans" w:hAnsi="Google Sans"/>
            <w:color w:val="0000ee"/>
            <w:sz w:val="24"/>
            <w:szCs w:val="24"/>
            <w:u w:val="single"/>
            <w:rtl w:val="0"/>
          </w:rPr>
          <w:t xml:space="preserve">https://solantiq.com/glossar/noct/</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Faiman Module Temperature Model, </w:t>
      </w:r>
      <w:hyperlink r:id="rId59">
        <w:r w:rsidDel="00000000" w:rsidR="00000000" w:rsidRPr="00000000">
          <w:rPr>
            <w:rFonts w:ascii="Google Sans" w:cs="Google Sans" w:eastAsia="Google Sans" w:hAnsi="Google Sans"/>
            <w:color w:val="0000ee"/>
            <w:sz w:val="24"/>
            <w:szCs w:val="24"/>
            <w:u w:val="single"/>
            <w:rtl w:val="0"/>
          </w:rPr>
          <w:t xml:space="preserve">https://pvpmc.sandia.gov/modeling-guide/2-dc-module-iv/module-temperature/faiman-module-temperature-model/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modeling for floating PV - pvlib python - Read the Docs, </w:t>
      </w:r>
      <w:hyperlink r:id="rId60">
        <w:r w:rsidDel="00000000" w:rsidR="00000000" w:rsidRPr="00000000">
          <w:rPr>
            <w:rFonts w:ascii="Google Sans" w:cs="Google Sans" w:eastAsia="Google Sans" w:hAnsi="Google Sans"/>
            <w:color w:val="0000ee"/>
            <w:sz w:val="24"/>
            <w:szCs w:val="24"/>
            <w:u w:val="single"/>
            <w:rtl w:val="0"/>
          </w:rPr>
          <w:t xml:space="preserve">https://pvlib-python.readthedocs.io/en/latest/gallery/floating-pv/plot_floating_pv_cell_temperature.html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Sandia Cell Temperature Model, </w:t>
      </w:r>
      <w:hyperlink r:id="rId61">
        <w:r w:rsidDel="00000000" w:rsidR="00000000" w:rsidRPr="00000000">
          <w:rPr>
            <w:rFonts w:ascii="Google Sans" w:cs="Google Sans" w:eastAsia="Google Sans" w:hAnsi="Google Sans"/>
            <w:color w:val="0000ee"/>
            <w:sz w:val="24"/>
            <w:szCs w:val="24"/>
            <w:u w:val="single"/>
            <w:rtl w:val="0"/>
          </w:rPr>
          <w:t xml:space="preserve">https://pvpmc.sandia.gov/modeling-guide/2-dc-module-iv/cell-temperature/sandia-cell-temperature-model/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Improving Common PV Module Temperature Models by,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https://www.researchgate.net/publication/363405815_Improving_Common_PV_Module_Temperature_Models_by_Incorporating_Radiative_Losses_to_the_Sky</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methods to improve photovoltaic thermal models at, </w:t>
      </w:r>
      <w:hyperlink r:id="rId63">
        <w:r w:rsidDel="00000000" w:rsidR="00000000" w:rsidRPr="00000000">
          <w:rPr>
            <w:rFonts w:ascii="Google Sans" w:cs="Google Sans" w:eastAsia="Google Sans" w:hAnsi="Google Sans"/>
            <w:color w:val="0000ee"/>
            <w:sz w:val="24"/>
            <w:szCs w:val="24"/>
            <w:u w:val="single"/>
            <w:rtl w:val="0"/>
          </w:rPr>
          <w:t xml:space="preserve">https://arxiv.org/pdf/2211.11593</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62548 - Google Groups, </w:t>
      </w:r>
      <w:hyperlink r:id="rId64">
        <w:r w:rsidDel="00000000" w:rsidR="00000000" w:rsidRPr="00000000">
          <w:rPr>
            <w:rFonts w:ascii="Google Sans" w:cs="Google Sans" w:eastAsia="Google Sans" w:hAnsi="Google Sans"/>
            <w:color w:val="0000ee"/>
            <w:sz w:val="24"/>
            <w:szCs w:val="24"/>
            <w:u w:val="single"/>
            <w:rtl w:val="0"/>
          </w:rPr>
          <w:t xml:space="preserve">https://16557801101891546621.googlegroups.com/attach/26b831f2f3c9/IEC%2062548_2016%20-%20Photovoltaic%20(PV)%20arrays%20-%20Design%20requirement.pdf?part=0.3&amp;vt=ANaJVrF857odSZAZ5xgwoJmNm1e7g0PfjbRix_iPg7ExzEcXsj_MIsn5s8bU4FZ-ZUpzYzOE07yVygdrBovlSeaALODoYrL-uO3IpnSWlHcZ_vIhUxbictE</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coefficients and real-world PV yield - Solar Ledger, </w:t>
      </w:r>
      <w:hyperlink r:id="rId65">
        <w:r w:rsidDel="00000000" w:rsidR="00000000" w:rsidRPr="00000000">
          <w:rPr>
            <w:rFonts w:ascii="Google Sans" w:cs="Google Sans" w:eastAsia="Google Sans" w:hAnsi="Google Sans"/>
            <w:color w:val="0000ee"/>
            <w:sz w:val="24"/>
            <w:szCs w:val="24"/>
            <w:u w:val="single"/>
            <w:rtl w:val="0"/>
          </w:rPr>
          <w:t xml:space="preserve">https://askas5.lovable.app/blog/temperature-coefficients-and-real-world-yield</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62548 Explained: Complete PV Array Design Guide, </w:t>
      </w:r>
      <w:hyperlink r:id="rId66">
        <w:r w:rsidDel="00000000" w:rsidR="00000000" w:rsidRPr="00000000">
          <w:rPr>
            <w:rFonts w:ascii="Google Sans" w:cs="Google Sans" w:eastAsia="Google Sans" w:hAnsi="Google Sans"/>
            <w:color w:val="0000ee"/>
            <w:sz w:val="24"/>
            <w:szCs w:val="24"/>
            <w:u w:val="single"/>
            <w:rtl w:val="0"/>
          </w:rPr>
          <w:t xml:space="preserve">https://cnkuangya.com/blog/iec-62548-explained/</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Update: How to Calculate PV String Size - Mayfield Renewables, </w:t>
      </w:r>
      <w:hyperlink r:id="rId67">
        <w:r w:rsidDel="00000000" w:rsidR="00000000" w:rsidRPr="00000000">
          <w:rPr>
            <w:rFonts w:ascii="Google Sans" w:cs="Google Sans" w:eastAsia="Google Sans" w:hAnsi="Google Sans"/>
            <w:color w:val="0000ee"/>
            <w:sz w:val="24"/>
            <w:szCs w:val="24"/>
            <w:u w:val="single"/>
            <w:rtl w:val="0"/>
          </w:rPr>
          <w:t xml:space="preserve">https://www.mayfield.energy/technical-articles/2023-update-how-to-calculate-pv-string-size/</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String Sizing Explained: Voc Correction, MPPT Limits &amp; Safe, </w:t>
      </w:r>
      <w:hyperlink r:id="rId68">
        <w:r w:rsidDel="00000000" w:rsidR="00000000" w:rsidRPr="00000000">
          <w:rPr>
            <w:rFonts w:ascii="Google Sans" w:cs="Google Sans" w:eastAsia="Google Sans" w:hAnsi="Google Sans"/>
            <w:color w:val="0000ee"/>
            <w:sz w:val="24"/>
            <w:szCs w:val="24"/>
            <w:u w:val="single"/>
            <w:rtl w:val="0"/>
          </w:rPr>
          <w:t xml:space="preserve">https://medium.com/@amrit.mandal0191/how-to-calculate-solar-pv-string-sizing-temperature-corrected-voc-mppt-range-and-the-four-ab76a2fb021b</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Solarmodulen: Temperaturkoeffizient einfach erklärt - priwatt, </w:t>
      </w:r>
      <w:hyperlink r:id="rId69">
        <w:r w:rsidDel="00000000" w:rsidR="00000000" w:rsidRPr="00000000">
          <w:rPr>
            <w:rFonts w:ascii="Google Sans" w:cs="Google Sans" w:eastAsia="Google Sans" w:hAnsi="Google Sans"/>
            <w:color w:val="0000ee"/>
            <w:sz w:val="24"/>
            <w:szCs w:val="24"/>
            <w:u w:val="single"/>
            <w:rtl w:val="0"/>
          </w:rPr>
          <w:t xml:space="preserve">https://priwatt.de/blog/temperaturkoeffizient-einfach-erklaert/</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kWp: Was bedeutet Kilowatt Peak? - Heizung.de, </w:t>
      </w:r>
      <w:hyperlink r:id="rId70">
        <w:r w:rsidDel="00000000" w:rsidR="00000000" w:rsidRPr="00000000">
          <w:rPr>
            <w:rFonts w:ascii="Google Sans" w:cs="Google Sans" w:eastAsia="Google Sans" w:hAnsi="Google Sans"/>
            <w:color w:val="0000ee"/>
            <w:sz w:val="24"/>
            <w:szCs w:val="24"/>
            <w:u w:val="single"/>
            <w:rtl w:val="0"/>
          </w:rPr>
          <w:t xml:space="preserve">https://www.heizung.de/photovoltaik/wissen/kwp-wofuer-steht-kilowatt-peak.html</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 Array String Configuration Calculator - solvebility.com, </w:t>
      </w:r>
      <w:hyperlink r:id="rId71">
        <w:r w:rsidDel="00000000" w:rsidR="00000000" w:rsidRPr="00000000">
          <w:rPr>
            <w:rFonts w:ascii="Google Sans" w:cs="Google Sans" w:eastAsia="Google Sans" w:hAnsi="Google Sans"/>
            <w:color w:val="0000ee"/>
            <w:sz w:val="24"/>
            <w:szCs w:val="24"/>
            <w:u w:val="single"/>
            <w:rtl w:val="0"/>
          </w:rPr>
          <w:t xml:space="preserve">https://solvebility.com/pv-array-string-configuration-calculator/</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 VDE 0100-712 - Vorgaben für PV-Anlagen - DEHN, </w:t>
      </w:r>
      <w:hyperlink r:id="rId72">
        <w:r w:rsidDel="00000000" w:rsidR="00000000" w:rsidRPr="00000000">
          <w:rPr>
            <w:rFonts w:ascii="Google Sans" w:cs="Google Sans" w:eastAsia="Google Sans" w:hAnsi="Google Sans"/>
            <w:color w:val="0000ee"/>
            <w:sz w:val="24"/>
            <w:szCs w:val="24"/>
            <w:u w:val="single"/>
            <w:rtl w:val="0"/>
          </w:rPr>
          <w:t xml:space="preserve">https://www.dehn.de/de/wissen/normen/din-vde-0100-712</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 VDE 0100-712 (VDE 0100-712):2016-10 - DKE, </w:t>
      </w:r>
      <w:hyperlink r:id="rId73">
        <w:r w:rsidDel="00000000" w:rsidR="00000000" w:rsidRPr="00000000">
          <w:rPr>
            <w:rFonts w:ascii="Google Sans" w:cs="Google Sans" w:eastAsia="Google Sans" w:hAnsi="Google Sans"/>
            <w:color w:val="0000ee"/>
            <w:sz w:val="24"/>
            <w:szCs w:val="24"/>
            <w:u w:val="single"/>
            <w:rtl w:val="0"/>
          </w:rPr>
          <w:t xml:space="preserve">https://www.dke.de/de/normen-standards/dokument?id=7080146&amp;type=dke%7Cdokument</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Seite 2 – Sachverständiger | Fachautor | Dozent - Marc Fengel, </w:t>
      </w:r>
      <w:hyperlink r:id="rId74">
        <w:r w:rsidDel="00000000" w:rsidR="00000000" w:rsidRPr="00000000">
          <w:rPr>
            <w:rFonts w:ascii="Google Sans" w:cs="Google Sans" w:eastAsia="Google Sans" w:hAnsi="Google Sans"/>
            <w:color w:val="0000ee"/>
            <w:sz w:val="24"/>
            <w:szCs w:val="24"/>
            <w:u w:val="single"/>
            <w:rtl w:val="0"/>
          </w:rPr>
          <w:t xml:space="preserve">https://marcfengel.de/page/2</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Photovoltaikanlagen normkonform errichten - elektrofachkraft.de, </w:t>
      </w:r>
      <w:hyperlink r:id="rId75">
        <w:r w:rsidDel="00000000" w:rsidR="00000000" w:rsidRPr="00000000">
          <w:rPr>
            <w:rFonts w:ascii="Google Sans" w:cs="Google Sans" w:eastAsia="Google Sans" w:hAnsi="Google Sans"/>
            <w:color w:val="0000ee"/>
            <w:sz w:val="24"/>
            <w:szCs w:val="24"/>
            <w:u w:val="single"/>
            <w:rtl w:val="0"/>
          </w:rPr>
          <w:t xml:space="preserve">https://www.elektrofachkraft.de/sicheres-arbeiten/e-books/e-book-photovoltaikanlagen-normkonform-errichten?file=files/userdata_EFK/Downloads/e-books/leseprobe-photovoltaikanlagen-normkonform-errichten.pdf&amp;cid=33952</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vorschriftsmäßige Elektroinstallation Photovoltaik Leerlaufspannung, </w:t>
      </w:r>
      <w:hyperlink r:id="rId76">
        <w:r w:rsidDel="00000000" w:rsidR="00000000" w:rsidRPr="00000000">
          <w:rPr>
            <w:rFonts w:ascii="Google Sans" w:cs="Google Sans" w:eastAsia="Google Sans" w:hAnsi="Google Sans"/>
            <w:color w:val="0000ee"/>
            <w:sz w:val="24"/>
            <w:szCs w:val="24"/>
            <w:u w:val="single"/>
            <w:rtl w:val="0"/>
          </w:rPr>
          <w:t xml:space="preserve">https://marcfengel.de/tag/vorschriftsmaessige-elektroinstallation-photovoltaik-leerlaufspannung</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 VDE 0100-712 – Anforderungen an Photovoltaik ... - Forum Verlag, </w:t>
      </w:r>
      <w:hyperlink r:id="rId77">
        <w:r w:rsidDel="00000000" w:rsidR="00000000" w:rsidRPr="00000000">
          <w:rPr>
            <w:rFonts w:ascii="Google Sans" w:cs="Google Sans" w:eastAsia="Google Sans" w:hAnsi="Google Sans"/>
            <w:color w:val="0000ee"/>
            <w:sz w:val="24"/>
            <w:szCs w:val="24"/>
            <w:u w:val="single"/>
            <w:rtl w:val="0"/>
          </w:rPr>
          <w:t xml:space="preserve">https://www.forum-verlag.com/fachwissen/elektrosicherheit-und-elektrotechnik/din-vde-0100-712/</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Leitungsquerschnitt berechnen: PV-Kabel richtig auslegen - Reonic, </w:t>
      </w:r>
      <w:hyperlink r:id="rId78">
        <w:r w:rsidDel="00000000" w:rsidR="00000000" w:rsidRPr="00000000">
          <w:rPr>
            <w:rFonts w:ascii="Google Sans" w:cs="Google Sans" w:eastAsia="Google Sans" w:hAnsi="Google Sans"/>
            <w:color w:val="0000ee"/>
            <w:sz w:val="24"/>
            <w:szCs w:val="24"/>
            <w:u w:val="single"/>
            <w:rtl w:val="0"/>
          </w:rPr>
          <w:t xml:space="preserve">https://reonic.com/de-de/blog/leitungsquerschnitt-berechnen-pv-anlagen/</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ÜBERSPANNUNGSSCHUTZ - Photovoltaik4all, </w:t>
      </w:r>
      <w:hyperlink r:id="rId79">
        <w:r w:rsidDel="00000000" w:rsidR="00000000" w:rsidRPr="00000000">
          <w:rPr>
            <w:rFonts w:ascii="Google Sans" w:cs="Google Sans" w:eastAsia="Google Sans" w:hAnsi="Google Sans"/>
            <w:color w:val="0000ee"/>
            <w:sz w:val="24"/>
            <w:szCs w:val="24"/>
            <w:u w:val="single"/>
            <w:rtl w:val="0"/>
          </w:rPr>
          <w:t xml:space="preserve">https://www.photovoltaik4all.de/media/84/bc/4d/1707489728/Citel_Photovoltaikanlagen_V5.1.1_GER_XL.pdf?ts=1707489728</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Wie ein DC-Überspannungsschutz PV-Anlage Solarsysteme, </w:t>
      </w:r>
      <w:hyperlink r:id="rId80">
        <w:r w:rsidDel="00000000" w:rsidR="00000000" w:rsidRPr="00000000">
          <w:rPr>
            <w:rFonts w:ascii="Google Sans" w:cs="Google Sans" w:eastAsia="Google Sans" w:hAnsi="Google Sans"/>
            <w:color w:val="0000ee"/>
            <w:sz w:val="24"/>
            <w:szCs w:val="24"/>
            <w:u w:val="single"/>
            <w:rtl w:val="0"/>
          </w:rPr>
          <w:t xml:space="preserve">https://energy.ecoflow.com/de/blog/uberspannungsschutz-pv-anlage</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Mehr als 2.000 Watt? Was die neue VDE-Norm 2026 wirklich erlaubt, </w:t>
      </w:r>
      <w:hyperlink r:id="rId81">
        <w:r w:rsidDel="00000000" w:rsidR="00000000" w:rsidRPr="00000000">
          <w:rPr>
            <w:rFonts w:ascii="Google Sans" w:cs="Google Sans" w:eastAsia="Google Sans" w:hAnsi="Google Sans"/>
            <w:color w:val="0000ee"/>
            <w:sz w:val="24"/>
            <w:szCs w:val="24"/>
            <w:u w:val="single"/>
            <w:rtl w:val="0"/>
          </w:rPr>
          <w:t xml:space="preserve">https://myvoltaics.de/blogs/news-blog/mehr-als-2-000-watt-was-die-neue-vde-norm-2026-fur-balkonkraftwerke-wirklich-erlaubt</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 ultimative Leitfaden zur VDE-AR-N 4105 (2026) - SolarMars, </w:t>
      </w:r>
      <w:hyperlink r:id="rId82">
        <w:r w:rsidDel="00000000" w:rsidR="00000000" w:rsidRPr="00000000">
          <w:rPr>
            <w:rFonts w:ascii="Google Sans" w:cs="Google Sans" w:eastAsia="Google Sans" w:hAnsi="Google Sans"/>
            <w:color w:val="0000ee"/>
            <w:sz w:val="24"/>
            <w:szCs w:val="24"/>
            <w:u w:val="single"/>
            <w:rtl w:val="0"/>
          </w:rPr>
          <w:t xml:space="preserve">https://solarmars.de/blogs/installation-rechtliches/balkonkraftwerk-vde-ar-n-4105-2026</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VDE-AR-N 4105: Anforderungen für Erzeugungsanlagen - priwatt, </w:t>
      </w:r>
      <w:hyperlink r:id="rId83">
        <w:r w:rsidDel="00000000" w:rsidR="00000000" w:rsidRPr="00000000">
          <w:rPr>
            <w:rFonts w:ascii="Google Sans" w:cs="Google Sans" w:eastAsia="Google Sans" w:hAnsi="Google Sans"/>
            <w:color w:val="0000ee"/>
            <w:sz w:val="24"/>
            <w:szCs w:val="24"/>
            <w:u w:val="single"/>
            <w:rtl w:val="0"/>
          </w:rPr>
          <w:t xml:space="preserve">https://priwatt.de/blog/vde-ar-n-4105/</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Neue VDE-Richtlinie bringt Durchbruch: Experte klärt auf!, </w:t>
      </w:r>
      <w:hyperlink r:id="rId84">
        <w:r w:rsidDel="00000000" w:rsidR="00000000" w:rsidRPr="00000000">
          <w:rPr>
            <w:rFonts w:ascii="Google Sans" w:cs="Google Sans" w:eastAsia="Google Sans" w:hAnsi="Google Sans"/>
            <w:color w:val="0000ee"/>
            <w:sz w:val="24"/>
            <w:szCs w:val="24"/>
            <w:u w:val="single"/>
            <w:rtl w:val="0"/>
          </w:rPr>
          <w:t xml:space="preserve">https://kleineskraftwerk.de/blogs/magazin/neue-vde-richtlinie-bringt-durchbruch</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Balkonkraftwerk 7000 Watt? Was laut Gesetz und Normen erlaubt ist, </w:t>
      </w:r>
      <w:hyperlink r:id="rId85">
        <w:r w:rsidDel="00000000" w:rsidR="00000000" w:rsidRPr="00000000">
          <w:rPr>
            <w:rFonts w:ascii="Google Sans" w:cs="Google Sans" w:eastAsia="Google Sans" w:hAnsi="Google Sans"/>
            <w:color w:val="0000ee"/>
            <w:sz w:val="24"/>
            <w:szCs w:val="24"/>
            <w:u w:val="single"/>
            <w:rtl w:val="0"/>
          </w:rPr>
          <w:t xml:space="preserve">https://solago.de/blogs/news/balkonkraftwerk-7000-watt-was-laut-gesetz-erlaubt-ist</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Technische Anschlussregeln Erzeugungsanlagen am ... - VDE, </w:t>
      </w:r>
      <w:hyperlink r:id="rId86">
        <w:r w:rsidDel="00000000" w:rsidR="00000000" w:rsidRPr="00000000">
          <w:rPr>
            <w:rFonts w:ascii="Google Sans" w:cs="Google Sans" w:eastAsia="Google Sans" w:hAnsi="Google Sans"/>
            <w:color w:val="0000ee"/>
            <w:sz w:val="24"/>
            <w:szCs w:val="24"/>
            <w:u w:val="single"/>
            <w:rtl w:val="0"/>
          </w:rPr>
          <w:t xml:space="preserve">https://www.vde.com/de/fnn/themen/tar/tar-niederspannung/erzeugungsanlagen-am-niederspannungsnetz-vde-ar-n-4105-2018</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Neue VDE-AR-N - 4105:2026-03 im Überblick - ziehl, </w:t>
      </w:r>
      <w:hyperlink r:id="rId87">
        <w:r w:rsidDel="00000000" w:rsidR="00000000" w:rsidRPr="00000000">
          <w:rPr>
            <w:rFonts w:ascii="Google Sans" w:cs="Google Sans" w:eastAsia="Google Sans" w:hAnsi="Google Sans"/>
            <w:color w:val="0000ee"/>
            <w:sz w:val="24"/>
            <w:szCs w:val="24"/>
            <w:u w:val="single"/>
            <w:rtl w:val="0"/>
          </w:rPr>
          <w:t xml:space="preserve">https://www.ziehl.com/media/32/17/91/1781870467/VDE%204105_2026-06-16_Flyer_Neuerungen%202026-03_V01_DE_ZIEHL.pdf?ts=1781870467</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Wechselrichter-Dimensionierung fürs Eigenheim: Die 5 häufigsten, </w:t>
      </w:r>
      <w:hyperlink r:id="rId88">
        <w:r w:rsidDel="00000000" w:rsidR="00000000" w:rsidRPr="00000000">
          <w:rPr>
            <w:rFonts w:ascii="Google Sans" w:cs="Google Sans" w:eastAsia="Google Sans" w:hAnsi="Google Sans"/>
            <w:color w:val="0000ee"/>
            <w:sz w:val="24"/>
            <w:szCs w:val="24"/>
            <w:u w:val="single"/>
            <w:rtl w:val="0"/>
          </w:rPr>
          <w:t xml:space="preserve">https://de.jackery.com/blogs/knowledge/wechselrichter-dimensionierung-f-rs-eigenheim-die-5-h-ufigsten-fehler</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steht in der VDE-Norm 0100-712? - Solaranlage.blog, </w:t>
      </w:r>
      <w:hyperlink r:id="rId89">
        <w:r w:rsidDel="00000000" w:rsidR="00000000" w:rsidRPr="00000000">
          <w:rPr>
            <w:rFonts w:ascii="Google Sans" w:cs="Google Sans" w:eastAsia="Google Sans" w:hAnsi="Google Sans"/>
            <w:color w:val="0000ee"/>
            <w:sz w:val="24"/>
            <w:szCs w:val="24"/>
            <w:u w:val="single"/>
            <w:rtl w:val="0"/>
          </w:rPr>
          <w:t xml:space="preserve">https://solaranlage.blog/photovoltaik-grundlagen/was-steht-in-der-vde-norm-0100-712-alles-was-sie-zur-photovoltaik-norm-wissen-muessen/</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Schutzpotentialausgleich bei Solaranlagen – Normen und Tipps, </w:t>
      </w:r>
      <w:hyperlink r:id="rId90">
        <w:r w:rsidDel="00000000" w:rsidR="00000000" w:rsidRPr="00000000">
          <w:rPr>
            <w:rFonts w:ascii="Google Sans" w:cs="Google Sans" w:eastAsia="Google Sans" w:hAnsi="Google Sans"/>
            <w:color w:val="0000ee"/>
            <w:sz w:val="24"/>
            <w:szCs w:val="24"/>
            <w:u w:val="single"/>
            <w:rtl w:val="0"/>
          </w:rPr>
          <w:t xml:space="preserve">https://www.kbe-elektrotechnik.com/ratgeber/schutzpotentialausgleich-bei-solarleitungen/</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Engine Pattern | Welcome to Yini's blog - GitHub Pages, </w:t>
      </w:r>
      <w:hyperlink r:id="rId91">
        <w:r w:rsidDel="00000000" w:rsidR="00000000" w:rsidRPr="00000000">
          <w:rPr>
            <w:rFonts w:ascii="Google Sans" w:cs="Google Sans" w:eastAsia="Google Sans" w:hAnsi="Google Sans"/>
            <w:color w:val="0000ee"/>
            <w:sz w:val="24"/>
            <w:szCs w:val="24"/>
            <w:u w:val="single"/>
            <w:rtl w:val="0"/>
          </w:rPr>
          <w:t xml:space="preserve">https://enrose.github.io/c-sharp/rule-engine/rule-engine-pattern.html</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Model Validation - Kamil Grzybek, </w:t>
      </w:r>
      <w:hyperlink r:id="rId92">
        <w:r w:rsidDel="00000000" w:rsidR="00000000" w:rsidRPr="00000000">
          <w:rPr>
            <w:rFonts w:ascii="Google Sans" w:cs="Google Sans" w:eastAsia="Google Sans" w:hAnsi="Google Sans"/>
            <w:color w:val="0000ee"/>
            <w:sz w:val="24"/>
            <w:szCs w:val="24"/>
            <w:u w:val="single"/>
            <w:rtl w:val="0"/>
          </w:rPr>
          <w:t xml:space="preserve">https://www.kamilgrzybek.com/blog/posts/domain-model-validation</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Rule Pattern in C# - DEV Community, </w:t>
      </w:r>
      <w:hyperlink r:id="rId93">
        <w:r w:rsidDel="00000000" w:rsidR="00000000" w:rsidRPr="00000000">
          <w:rPr>
            <w:rFonts w:ascii="Google Sans" w:cs="Google Sans" w:eastAsia="Google Sans" w:hAnsi="Google Sans"/>
            <w:color w:val="0000ee"/>
            <w:sz w:val="24"/>
            <w:szCs w:val="24"/>
            <w:u w:val="single"/>
            <w:rtl w:val="0"/>
          </w:rPr>
          <w:t xml:space="preserve">https://dev.to/stevsharp/the-rule-pattern-in-c-2ed0</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Pattern in C#: A Practical Guide for Modern .NET, </w:t>
      </w:r>
      <w:hyperlink r:id="rId94">
        <w:r w:rsidDel="00000000" w:rsidR="00000000" w:rsidRPr="00000000">
          <w:rPr>
            <w:rFonts w:ascii="Google Sans" w:cs="Google Sans" w:eastAsia="Google Sans" w:hAnsi="Google Sans"/>
            <w:color w:val="0000ee"/>
            <w:sz w:val="24"/>
            <w:szCs w:val="24"/>
            <w:u w:val="single"/>
            <w:rtl w:val="0"/>
          </w:rPr>
          <w:t xml:space="preserve">https://www.devleader.ca/2026/08/13/specification-pattern-in-c-a-practical-guide-for-modern-net</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Always-Valid Domain Model - Enterprise Craftsmanship, </w:t>
      </w:r>
      <w:hyperlink r:id="rId95">
        <w:r w:rsidDel="00000000" w:rsidR="00000000" w:rsidRPr="00000000">
          <w:rPr>
            <w:rFonts w:ascii="Google Sans" w:cs="Google Sans" w:eastAsia="Google Sans" w:hAnsi="Google Sans"/>
            <w:color w:val="0000ee"/>
            <w:sz w:val="24"/>
            <w:szCs w:val="24"/>
            <w:u w:val="single"/>
            <w:rtl w:val="0"/>
          </w:rPr>
          <w:t xml:space="preserve">https://enterprisecraftsmanship.com/posts/always-valid-domain-model/</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in Domain Driven Design - Stack Overflow, </w:t>
      </w:r>
      <w:hyperlink r:id="rId96">
        <w:r w:rsidDel="00000000" w:rsidR="00000000" w:rsidRPr="00000000">
          <w:rPr>
            <w:rFonts w:ascii="Google Sans" w:cs="Google Sans" w:eastAsia="Google Sans" w:hAnsi="Google Sans"/>
            <w:color w:val="0000ee"/>
            <w:sz w:val="24"/>
            <w:szCs w:val="24"/>
            <w:u w:val="single"/>
            <w:rtl w:val="0"/>
          </w:rPr>
          <w:t xml:space="preserve">https://stackoverflow.com/questions/52883013/validation-in-domain-driven-design</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Modern Way to Manage C# Business Rules: Rule Engine Pattern, </w:t>
      </w:r>
      <w:hyperlink r:id="rId97">
        <w:r w:rsidDel="00000000" w:rsidR="00000000" w:rsidRPr="00000000">
          <w:rPr>
            <w:rFonts w:ascii="Google Sans" w:cs="Google Sans" w:eastAsia="Google Sans" w:hAnsi="Google Sans"/>
            <w:color w:val="0000ee"/>
            <w:sz w:val="24"/>
            <w:szCs w:val="24"/>
            <w:u w:val="single"/>
            <w:rtl w:val="0"/>
          </w:rPr>
          <w:t xml:space="preserve">https://senrecep.medium.com/the-modern-way-to-manage-c-business-rules-rule-engine-pattern-14bb1c72d700</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Rules Engine Pattern : r/csharp - Reddit, </w:t>
      </w:r>
      <w:hyperlink r:id="rId98">
        <w:r w:rsidDel="00000000" w:rsidR="00000000" w:rsidRPr="00000000">
          <w:rPr>
            <w:rFonts w:ascii="Google Sans" w:cs="Google Sans" w:eastAsia="Google Sans" w:hAnsi="Google Sans"/>
            <w:color w:val="0000ee"/>
            <w:sz w:val="24"/>
            <w:szCs w:val="24"/>
            <w:u w:val="single"/>
            <w:rtl w:val="0"/>
          </w:rPr>
          <w:t xml:space="preserve">https://www.reddit.com/r/csharp/comments/sxo091/the_rules_engine_pattern/</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 Sunny Boy 6.0 | Einphasiger Wechselrichter - HUSATECH, </w:t>
      </w:r>
      <w:hyperlink r:id="rId99">
        <w:r w:rsidDel="00000000" w:rsidR="00000000" w:rsidRPr="00000000">
          <w:rPr>
            <w:rFonts w:ascii="Google Sans" w:cs="Google Sans" w:eastAsia="Google Sans" w:hAnsi="Google Sans"/>
            <w:color w:val="0000ee"/>
            <w:sz w:val="24"/>
            <w:szCs w:val="24"/>
            <w:u w:val="single"/>
            <w:rtl w:val="0"/>
          </w:rPr>
          <w:t xml:space="preserve">https://husatech.de/sma-sunny-boy-sb-6-0</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 Sunny Boy SB 6.0 trafoloser Solar Wechselrichter SB6.0-1AV-41, </w:t>
      </w:r>
      <w:hyperlink r:id="rId100">
        <w:r w:rsidDel="00000000" w:rsidR="00000000" w:rsidRPr="00000000">
          <w:rPr>
            <w:rFonts w:ascii="Google Sans" w:cs="Google Sans" w:eastAsia="Google Sans" w:hAnsi="Google Sans"/>
            <w:color w:val="0000ee"/>
            <w:sz w:val="24"/>
            <w:szCs w:val="24"/>
            <w:u w:val="single"/>
            <w:rtl w:val="0"/>
          </w:rPr>
          <w:t xml:space="preserve">https://www.mg-solar-shop.de/sma-sunny-boy-sb-6-0-trafoloser-solar-wechselrichter-sb6-0-1av-41</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Sunny Highpower PEAK3 - SMA Manuals, </w:t>
      </w:r>
      <w:hyperlink r:id="rId101">
        <w:r w:rsidDel="00000000" w:rsidR="00000000" w:rsidRPr="00000000">
          <w:rPr>
            <w:rFonts w:ascii="Google Sans" w:cs="Google Sans" w:eastAsia="Google Sans" w:hAnsi="Google Sans"/>
            <w:color w:val="0000ee"/>
            <w:sz w:val="24"/>
            <w:szCs w:val="24"/>
            <w:u w:val="single"/>
            <w:rtl w:val="0"/>
          </w:rPr>
          <w:t xml:space="preserve">https://manuals.sma.de/Business-Systeme-PL/en-US/15114414859.html</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SUNNY HIGHPOWER PEAK3, </w:t>
      </w:r>
      <w:hyperlink r:id="rId102">
        <w:r w:rsidDel="00000000" w:rsidR="00000000" w:rsidRPr="00000000">
          <w:rPr>
            <w:rFonts w:ascii="Google Sans" w:cs="Google Sans" w:eastAsia="Google Sans" w:hAnsi="Google Sans"/>
            <w:color w:val="0000ee"/>
            <w:sz w:val="24"/>
            <w:szCs w:val="24"/>
            <w:u w:val="single"/>
            <w:rtl w:val="0"/>
          </w:rPr>
          <w:t xml:space="preserve">https://www.pvo-int.com/wp-content/uploads/2019/06/Datasheet-SHP100-150-20-EN.pdf</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 Sunny HighPower Peak3 (SHP 100-20) – MAXSEL, </w:t>
      </w:r>
      <w:hyperlink r:id="rId103">
        <w:r w:rsidDel="00000000" w:rsidR="00000000" w:rsidRPr="00000000">
          <w:rPr>
            <w:rFonts w:ascii="Google Sans" w:cs="Google Sans" w:eastAsia="Google Sans" w:hAnsi="Google Sans"/>
            <w:color w:val="0000ee"/>
            <w:sz w:val="24"/>
            <w:szCs w:val="24"/>
            <w:u w:val="single"/>
            <w:rtl w:val="0"/>
          </w:rPr>
          <w:t xml:space="preserve">https://www.maxsel.de/produkt/sma-sunny-highpower-peak3-shp-100-20/</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Zu wenig Leerlaufspannung im Solarmodulstrang, woran liegt's, </w:t>
      </w:r>
      <w:hyperlink r:id="rId104">
        <w:r w:rsidDel="00000000" w:rsidR="00000000" w:rsidRPr="00000000">
          <w:rPr>
            <w:rFonts w:ascii="Google Sans" w:cs="Google Sans" w:eastAsia="Google Sans" w:hAnsi="Google Sans"/>
            <w:color w:val="0000ee"/>
            <w:sz w:val="24"/>
            <w:szCs w:val="24"/>
            <w:u w:val="single"/>
            <w:rtl w:val="0"/>
          </w:rPr>
          <w:t xml:space="preserve">https://photovoltaikbuero.de/pv-know-how-blog/zu-wenig-leerlaufspannung-solarmodulstrang/</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Clipping-Showdown: DC:AC-Verhältnisse sind nicht gleich, </w:t>
      </w:r>
      <w:hyperlink r:id="rId105">
        <w:r w:rsidDel="00000000" w:rsidR="00000000" w:rsidRPr="00000000">
          <w:rPr>
            <w:rFonts w:ascii="Google Sans" w:cs="Google Sans" w:eastAsia="Google Sans" w:hAnsi="Google Sans"/>
            <w:color w:val="0000ee"/>
            <w:sz w:val="24"/>
            <w:szCs w:val="24"/>
            <w:u w:val="single"/>
            <w:rtl w:val="0"/>
          </w:rPr>
          <w:t xml:space="preserve">https://de.tigoenergy.com/post/microinverter-tax-7-clipping-showdown-dc-ac-ratios-arent-equal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9.png"/><Relationship Id="rId41" Type="http://schemas.openxmlformats.org/officeDocument/2006/relationships/image" Target="media/image39.png"/><Relationship Id="rId44" Type="http://schemas.openxmlformats.org/officeDocument/2006/relationships/image" Target="media/image31.png"/><Relationship Id="rId43" Type="http://schemas.openxmlformats.org/officeDocument/2006/relationships/image" Target="media/image19.png"/><Relationship Id="rId46" Type="http://schemas.openxmlformats.org/officeDocument/2006/relationships/hyperlink" Target="https://powmr.com/de/blogs/news/oversizing-solar-panels" TargetMode="External"/><Relationship Id="rId45" Type="http://schemas.openxmlformats.org/officeDocument/2006/relationships/image" Target="media/image34.png"/><Relationship Id="rId105" Type="http://schemas.openxmlformats.org/officeDocument/2006/relationships/hyperlink" Target="https://de.tigoenergy.com/post/microinverter-tax-7-clipping-showdown-dc-ac-ratios-arent-equal" TargetMode="External"/><Relationship Id="rId104" Type="http://schemas.openxmlformats.org/officeDocument/2006/relationships/hyperlink" Target="https://photovoltaikbuero.de/pv-know-how-blog/zu-wenig-leerlaufspannung-solarmodulstrang/" TargetMode="External"/><Relationship Id="rId48" Type="http://schemas.openxmlformats.org/officeDocument/2006/relationships/hyperlink" Target="https://solar.red/temperaturkoeffizient/" TargetMode="External"/><Relationship Id="rId47" Type="http://schemas.openxmlformats.org/officeDocument/2006/relationships/hyperlink" Target="https://photovoltaiksolarstrom.com/photovoltaiklexikon/noct/" TargetMode="External"/><Relationship Id="rId49" Type="http://schemas.openxmlformats.org/officeDocument/2006/relationships/hyperlink" Target="https://gruenes.haus/solarmodule-parallel-schalten/" TargetMode="External"/><Relationship Id="rId103" Type="http://schemas.openxmlformats.org/officeDocument/2006/relationships/hyperlink" Target="https://www.maxsel.de/produkt/sma-sunny-highpower-peak3-shp-100-20/" TargetMode="External"/><Relationship Id="rId102" Type="http://schemas.openxmlformats.org/officeDocument/2006/relationships/hyperlink" Target="https://www.pvo-int.com/wp-content/uploads/2019/06/Datasheet-SHP100-150-20-EN.pdf" TargetMode="External"/><Relationship Id="rId101" Type="http://schemas.openxmlformats.org/officeDocument/2006/relationships/hyperlink" Target="https://manuals.sma.de/Business-Systeme-PL/en-US/15114414859.html" TargetMode="External"/><Relationship Id="rId100" Type="http://schemas.openxmlformats.org/officeDocument/2006/relationships/hyperlink" Target="https://www.mg-solar-shop.de/sma-sunny-boy-sb-6-0-trafoloser-solar-wechselrichter-sb6-0-1av-41" TargetMode="External"/><Relationship Id="rId31" Type="http://schemas.openxmlformats.org/officeDocument/2006/relationships/image" Target="media/image3.png"/><Relationship Id="rId30" Type="http://schemas.openxmlformats.org/officeDocument/2006/relationships/image" Target="media/image12.png"/><Relationship Id="rId33" Type="http://schemas.openxmlformats.org/officeDocument/2006/relationships/image" Target="media/image30.png"/><Relationship Id="rId32" Type="http://schemas.openxmlformats.org/officeDocument/2006/relationships/image" Target="media/image36.png"/><Relationship Id="rId35" Type="http://schemas.openxmlformats.org/officeDocument/2006/relationships/image" Target="media/image21.png"/><Relationship Id="rId34" Type="http://schemas.openxmlformats.org/officeDocument/2006/relationships/image" Target="media/image17.png"/><Relationship Id="rId37" Type="http://schemas.openxmlformats.org/officeDocument/2006/relationships/image" Target="media/image20.png"/><Relationship Id="rId36" Type="http://schemas.openxmlformats.org/officeDocument/2006/relationships/image" Target="media/image11.png"/><Relationship Id="rId39" Type="http://schemas.openxmlformats.org/officeDocument/2006/relationships/image" Target="media/image25.png"/><Relationship Id="rId38" Type="http://schemas.openxmlformats.org/officeDocument/2006/relationships/image" Target="media/image15.png"/><Relationship Id="rId20" Type="http://schemas.openxmlformats.org/officeDocument/2006/relationships/image" Target="media/image38.png"/><Relationship Id="rId22" Type="http://schemas.openxmlformats.org/officeDocument/2006/relationships/image" Target="media/image24.png"/><Relationship Id="rId21" Type="http://schemas.openxmlformats.org/officeDocument/2006/relationships/image" Target="media/image37.png"/><Relationship Id="rId24" Type="http://schemas.openxmlformats.org/officeDocument/2006/relationships/image" Target="media/image27.png"/><Relationship Id="rId23" Type="http://schemas.openxmlformats.org/officeDocument/2006/relationships/image" Target="media/image33.png"/><Relationship Id="rId26" Type="http://schemas.openxmlformats.org/officeDocument/2006/relationships/image" Target="media/image26.png"/><Relationship Id="rId25" Type="http://schemas.openxmlformats.org/officeDocument/2006/relationships/image" Target="media/image29.png"/><Relationship Id="rId28" Type="http://schemas.openxmlformats.org/officeDocument/2006/relationships/image" Target="media/image23.png"/><Relationship Id="rId27" Type="http://schemas.openxmlformats.org/officeDocument/2006/relationships/image" Target="media/image4.png"/><Relationship Id="rId29" Type="http://schemas.openxmlformats.org/officeDocument/2006/relationships/image" Target="media/image6.png"/><Relationship Id="rId95" Type="http://schemas.openxmlformats.org/officeDocument/2006/relationships/hyperlink" Target="https://enterprisecraftsmanship.com/posts/always-valid-domain-model/" TargetMode="External"/><Relationship Id="rId94" Type="http://schemas.openxmlformats.org/officeDocument/2006/relationships/hyperlink" Target="https://www.devleader.ca/2026/08/13/specification-pattern-in-c-a-practical-guide-for-modern-net" TargetMode="External"/><Relationship Id="rId97" Type="http://schemas.openxmlformats.org/officeDocument/2006/relationships/hyperlink" Target="https://senrecep.medium.com/the-modern-way-to-manage-c-business-rules-rule-engine-pattern-14bb1c72d700" TargetMode="External"/><Relationship Id="rId96" Type="http://schemas.openxmlformats.org/officeDocument/2006/relationships/hyperlink" Target="https://stackoverflow.com/questions/52883013/validation-in-domain-driven-design" TargetMode="External"/><Relationship Id="rId11" Type="http://schemas.openxmlformats.org/officeDocument/2006/relationships/image" Target="media/image18.png"/><Relationship Id="rId99" Type="http://schemas.openxmlformats.org/officeDocument/2006/relationships/hyperlink" Target="https://husatech.de/sma-sunny-boy-sb-6-0" TargetMode="External"/><Relationship Id="rId10" Type="http://schemas.openxmlformats.org/officeDocument/2006/relationships/image" Target="media/image5.png"/><Relationship Id="rId98" Type="http://schemas.openxmlformats.org/officeDocument/2006/relationships/hyperlink" Target="https://www.reddit.com/r/csharp/comments/sxo091/the_rules_engine_pattern/" TargetMode="External"/><Relationship Id="rId13" Type="http://schemas.openxmlformats.org/officeDocument/2006/relationships/image" Target="media/image13.png"/><Relationship Id="rId12" Type="http://schemas.openxmlformats.org/officeDocument/2006/relationships/image" Target="media/image10.png"/><Relationship Id="rId91" Type="http://schemas.openxmlformats.org/officeDocument/2006/relationships/hyperlink" Target="https://enrose.github.io/c-sharp/rule-engine/rule-engine-pattern.html" TargetMode="External"/><Relationship Id="rId90" Type="http://schemas.openxmlformats.org/officeDocument/2006/relationships/hyperlink" Target="https://www.kbe-elektrotechnik.com/ratgeber/schutzpotentialausgleich-bei-solarleitungen/" TargetMode="External"/><Relationship Id="rId93" Type="http://schemas.openxmlformats.org/officeDocument/2006/relationships/hyperlink" Target="https://dev.to/stevsharp/the-rule-pattern-in-c-2ed0" TargetMode="External"/><Relationship Id="rId92" Type="http://schemas.openxmlformats.org/officeDocument/2006/relationships/hyperlink" Target="https://www.kamilgrzybek.com/blog/posts/domain-model-validation" TargetMode="External"/><Relationship Id="rId15" Type="http://schemas.openxmlformats.org/officeDocument/2006/relationships/image" Target="media/image28.png"/><Relationship Id="rId14" Type="http://schemas.openxmlformats.org/officeDocument/2006/relationships/image" Target="media/image8.png"/><Relationship Id="rId17" Type="http://schemas.openxmlformats.org/officeDocument/2006/relationships/image" Target="media/image35.png"/><Relationship Id="rId16" Type="http://schemas.openxmlformats.org/officeDocument/2006/relationships/image" Target="media/image32.png"/><Relationship Id="rId19" Type="http://schemas.openxmlformats.org/officeDocument/2006/relationships/image" Target="media/image2.png"/><Relationship Id="rId18" Type="http://schemas.openxmlformats.org/officeDocument/2006/relationships/image" Target="media/image1.png"/><Relationship Id="rId84" Type="http://schemas.openxmlformats.org/officeDocument/2006/relationships/hyperlink" Target="https://kleineskraftwerk.de/blogs/magazin/neue-vde-richtlinie-bringt-durchbruch" TargetMode="External"/><Relationship Id="rId83" Type="http://schemas.openxmlformats.org/officeDocument/2006/relationships/hyperlink" Target="https://priwatt.de/blog/vde-ar-n-4105/" TargetMode="External"/><Relationship Id="rId86" Type="http://schemas.openxmlformats.org/officeDocument/2006/relationships/hyperlink" Target="https://www.vde.com/de/fnn/themen/tar/tar-niederspannung/erzeugungsanlagen-am-niederspannungsnetz-vde-ar-n-4105-2018" TargetMode="External"/><Relationship Id="rId85" Type="http://schemas.openxmlformats.org/officeDocument/2006/relationships/hyperlink" Target="https://solago.de/blogs/news/balkonkraftwerk-7000-watt-was-laut-gesetz-erlaubt-ist" TargetMode="External"/><Relationship Id="rId88" Type="http://schemas.openxmlformats.org/officeDocument/2006/relationships/hyperlink" Target="https://de.jackery.com/blogs/knowledge/wechselrichter-dimensionierung-f-rs-eigenheim-die-5-h-ufigsten-fehler" TargetMode="External"/><Relationship Id="rId87" Type="http://schemas.openxmlformats.org/officeDocument/2006/relationships/hyperlink" Target="https://www.ziehl.com/media/32/17/91/1781870467/VDE%204105_2026-06-16_Flyer_Neuerungen%202026-03_V01_DE_ZIEHL.pdf?ts=1781870467" TargetMode="External"/><Relationship Id="rId89" Type="http://schemas.openxmlformats.org/officeDocument/2006/relationships/hyperlink" Target="https://solaranlage.blog/photovoltaik-grundlagen/was-steht-in-der-vde-norm-0100-712-alles-was-sie-zur-photovoltaik-norm-wissen-muessen/" TargetMode="External"/><Relationship Id="rId80" Type="http://schemas.openxmlformats.org/officeDocument/2006/relationships/hyperlink" Target="https://energy.ecoflow.com/de/blog/uberspannungsschutz-pv-anlage" TargetMode="External"/><Relationship Id="rId82" Type="http://schemas.openxmlformats.org/officeDocument/2006/relationships/hyperlink" Target="https://solarmars.de/blogs/installation-rechtliches/balkonkraftwerk-vde-ar-n-4105-2026" TargetMode="External"/><Relationship Id="rId81" Type="http://schemas.openxmlformats.org/officeDocument/2006/relationships/hyperlink" Target="https://myvoltaics.de/blogs/news-blog/mehr-als-2-000-watt-was-die-neue-vde-norm-2026-fur-balkonkraftwerke-wirklich-erlaub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14.png"/><Relationship Id="rId8" Type="http://schemas.openxmlformats.org/officeDocument/2006/relationships/image" Target="media/image22.png"/><Relationship Id="rId73" Type="http://schemas.openxmlformats.org/officeDocument/2006/relationships/hyperlink" Target="https://www.dke.de/de/normen-standards/dokument?id=7080146&amp;type=dke%7Cdokument" TargetMode="External"/><Relationship Id="rId72" Type="http://schemas.openxmlformats.org/officeDocument/2006/relationships/hyperlink" Target="https://www.dehn.de/de/wissen/normen/din-vde-0100-712" TargetMode="External"/><Relationship Id="rId75" Type="http://schemas.openxmlformats.org/officeDocument/2006/relationships/hyperlink" Target="https://www.elektrofachkraft.de/sicheres-arbeiten/e-books/e-book-photovoltaikanlagen-normkonform-errichten?file=files/userdata_EFK/Downloads/e-books/leseprobe-photovoltaikanlagen-normkonform-errichten.pdf&amp;cid=33952" TargetMode="External"/><Relationship Id="rId74" Type="http://schemas.openxmlformats.org/officeDocument/2006/relationships/hyperlink" Target="https://marcfengel.de/page/2" TargetMode="External"/><Relationship Id="rId77" Type="http://schemas.openxmlformats.org/officeDocument/2006/relationships/hyperlink" Target="https://www.forum-verlag.com/fachwissen/elektrosicherheit-und-elektrotechnik/din-vde-0100-712/" TargetMode="External"/><Relationship Id="rId76" Type="http://schemas.openxmlformats.org/officeDocument/2006/relationships/hyperlink" Target="https://marcfengel.de/tag/vorschriftsmaessige-elektroinstallation-photovoltaik-leerlaufspannung" TargetMode="External"/><Relationship Id="rId79" Type="http://schemas.openxmlformats.org/officeDocument/2006/relationships/hyperlink" Target="https://www.photovoltaik4all.de/media/84/bc/4d/1707489728/Citel_Photovoltaikanlagen_V5.1.1_GER_XL.pdf?ts=1707489728" TargetMode="External"/><Relationship Id="rId78" Type="http://schemas.openxmlformats.org/officeDocument/2006/relationships/hyperlink" Target="https://reonic.com/de-de/blog/leitungsquerschnitt-berechnen-pv-anlagen/" TargetMode="External"/><Relationship Id="rId71" Type="http://schemas.openxmlformats.org/officeDocument/2006/relationships/hyperlink" Target="https://solvebility.com/pv-array-string-configuration-calculator/" TargetMode="External"/><Relationship Id="rId70" Type="http://schemas.openxmlformats.org/officeDocument/2006/relationships/hyperlink" Target="https://www.heizung.de/photovoltaik/wissen/kwp-wofuer-steht-kilowatt-peak.html" TargetMode="External"/><Relationship Id="rId62" Type="http://schemas.openxmlformats.org/officeDocument/2006/relationships/hyperlink" Target="https://www.researchgate.net/publication/363405815_Improving_Common_PV_Module_Temperature_Models_by_Incorporating_Radiative_Losses_to_the_Sky" TargetMode="External"/><Relationship Id="rId61" Type="http://schemas.openxmlformats.org/officeDocument/2006/relationships/hyperlink" Target="https://pvpmc.sandia.gov/modeling-guide/2-dc-module-iv/cell-temperature/sandia-cell-temperature-model/" TargetMode="External"/><Relationship Id="rId64" Type="http://schemas.openxmlformats.org/officeDocument/2006/relationships/hyperlink" Target="https://16557801101891546621.googlegroups.com/attach/26b831f2f3c9/IEC%2062548_2016%20-%20Photovoltaic%20(PV)%20arrays%20-%20Design%20requirement.pdf?part=0.3&amp;vt=ANaJVrF857odSZAZ5xgwoJmNm1e7g0PfjbRix_iPg7ExzEcXsj_MIsn5s8bU4FZ-ZUpzYzOE07yVygdrBovlSeaALODoYrL-uO3IpnSWlHcZ_vIhUxbictE" TargetMode="External"/><Relationship Id="rId63" Type="http://schemas.openxmlformats.org/officeDocument/2006/relationships/hyperlink" Target="https://arxiv.org/pdf/2211.11593" TargetMode="External"/><Relationship Id="rId66" Type="http://schemas.openxmlformats.org/officeDocument/2006/relationships/hyperlink" Target="https://cnkuangya.com/blog/iec-62548-explained/" TargetMode="External"/><Relationship Id="rId65" Type="http://schemas.openxmlformats.org/officeDocument/2006/relationships/hyperlink" Target="https://askas5.lovable.app/blog/temperature-coefficients-and-real-world-yield" TargetMode="External"/><Relationship Id="rId68" Type="http://schemas.openxmlformats.org/officeDocument/2006/relationships/hyperlink" Target="https://medium.com/@amrit.mandal0191/how-to-calculate-solar-pv-string-sizing-temperature-corrected-voc-mppt-range-and-the-four-ab76a2fb021b" TargetMode="External"/><Relationship Id="rId67" Type="http://schemas.openxmlformats.org/officeDocument/2006/relationships/hyperlink" Target="https://www.mayfield.energy/technical-articles/2023-update-how-to-calculate-pv-string-size/" TargetMode="External"/><Relationship Id="rId60" Type="http://schemas.openxmlformats.org/officeDocument/2006/relationships/hyperlink" Target="https://pvlib-python.readthedocs.io/en/latest/gallery/floating-pv/plot_floating_pv_cell_temperature.html" TargetMode="External"/><Relationship Id="rId69" Type="http://schemas.openxmlformats.org/officeDocument/2006/relationships/hyperlink" Target="https://priwatt.de/blog/temperaturkoeffizient-einfach-erklaert/" TargetMode="External"/><Relationship Id="rId51" Type="http://schemas.openxmlformats.org/officeDocument/2006/relationships/hyperlink" Target="https://www.elektro-reimer.com/mpp-tracker-ulm/" TargetMode="External"/><Relationship Id="rId50" Type="http://schemas.openxmlformats.org/officeDocument/2006/relationships/hyperlink" Target="https://www.energiefluss24.de/photovoltaik/solarmodule-in-reihe-schalten" TargetMode="External"/><Relationship Id="rId53" Type="http://schemas.openxmlformats.org/officeDocument/2006/relationships/hyperlink" Target="https://reonic.com/de-de/blog/mpp-tracker/" TargetMode="External"/><Relationship Id="rId52" Type="http://schemas.openxmlformats.org/officeDocument/2006/relationships/hyperlink" Target="https://zolar.de/blog/maximum-power-point-tracker" TargetMode="External"/><Relationship Id="rId55" Type="http://schemas.openxmlformats.org/officeDocument/2006/relationships/hyperlink" Target="https://www.reddit.com/r/solar/comments/12fdpe6/can_someone_explain_clipping_and_eli5_inverter/?tl=de" TargetMode="External"/><Relationship Id="rId54" Type="http://schemas.openxmlformats.org/officeDocument/2006/relationships/hyperlink" Target="https://voltmax.lu/de/uberdimensionierung-von-paneelen-und-wechselrichtern/" TargetMode="External"/><Relationship Id="rId57" Type="http://schemas.openxmlformats.org/officeDocument/2006/relationships/hyperlink" Target="https://pvpmc.sandia.gov/modeling-guide/2-dc-module-iv/cell-temperature/noct-cell-temperature/" TargetMode="External"/><Relationship Id="rId56" Type="http://schemas.openxmlformats.org/officeDocument/2006/relationships/hyperlink" Target="https://www.aforenergy.com/de/inverter-clipping-explained-maximize-your-solar-output/" TargetMode="External"/><Relationship Id="rId59" Type="http://schemas.openxmlformats.org/officeDocument/2006/relationships/hyperlink" Target="https://pvpmc.sandia.gov/modeling-guide/2-dc-module-iv/module-temperature/faiman-module-temperature-model/" TargetMode="External"/><Relationship Id="rId58" Type="http://schemas.openxmlformats.org/officeDocument/2006/relationships/hyperlink" Target="https://solantiq.com/glossar/no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