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rPr>
          <w:noProof/>
        </w:rPr>
        <w:t xml:space="preserve">{{#wenn hat.kaelte.kaeltefolge}}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and the decentralised split units cover </w:t>
      </w:r>
      <w:r>
        <w:rPr>
          <w:noProof/>
        </w:rPr>
        <w:t xml:space="preserve">{{stamm.kennzahl.kaelte.deckungsgrad_gesamt}}</w:t>
      </w:r>
      <w:r>
        <w:t xml:space="preserve"> of it, of which the cooling sequence covers </w:t>
      </w:r>
      <w:r>
        <w:rPr>
          <w:noProof/>
        </w:rPr>
        <w:t xml:space="preserve">{{stamm.kennzahl.kaelte.deckungsgrad_kaeltefolge}}</w:t>
      </w:r>
      <w:r>
        <w:t xml:space="preserve"> of the centrally supplied cooling demand.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nicht hat.kaelte.kaeltefolge}}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decentralised split units cover </w:t>
      </w:r>
      <w:r>
        <w:rPr>
          <w:noProof/>
        </w:rPr>
        <w:t xml:space="preserve">{{stamm.kennzahl.kaelte.deckungsgrad_gesamt}}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  <w:p>
      <w:r>
        <w:t xml:space="preserve">Inside stands the sentence without local cooling ({{#wenn nicht hat.kaelte.dezentral}}). If a cooling demand row is covered locally by split units, the block {{#wenn hat.kaelte.dezentral}} after it states the coverage including the split units and, with {{#wenn hat.kaelte.kaeltefolge}}, the share of the cooling sequence; without a cooling generator ({{#wenn nicht hat.kaelte.kaeltefolge}}) only the share of the split units. Blocks can be nested at most two levels deep.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heat; with effective rapid heat-up it ends with “, with rapid heat-up (+2.0 K)”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23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